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D1192" w14:textId="0A24BB36" w:rsidR="00E65E1C" w:rsidRPr="001C59D5" w:rsidRDefault="00E65E1C" w:rsidP="00B70B22">
      <w:pPr>
        <w:jc w:val="center"/>
      </w:pPr>
      <w:bookmarkStart w:id="0" w:name="_Hlk102572374"/>
    </w:p>
    <w:p w14:paraId="502938FA" w14:textId="587BB971" w:rsidR="00B70B22" w:rsidRPr="001C59D5" w:rsidRDefault="00B70B22" w:rsidP="00B70B22"/>
    <w:p w14:paraId="1D86101A" w14:textId="3B246613" w:rsidR="00B70B22" w:rsidRPr="001C59D5" w:rsidRDefault="00B70B22" w:rsidP="00B70B22"/>
    <w:p w14:paraId="7E6CBC51" w14:textId="602A70CA" w:rsidR="00B70B22" w:rsidRPr="001C59D5" w:rsidRDefault="00C47A76" w:rsidP="001C2DD7">
      <w:pPr>
        <w:jc w:val="center"/>
      </w:pPr>
      <w:r w:rsidRPr="00296B03">
        <w:rPr>
          <w:noProof/>
        </w:rPr>
        <w:drawing>
          <wp:inline distT="0" distB="0" distL="0" distR="0" wp14:anchorId="5735DCDC" wp14:editId="4866B7D7">
            <wp:extent cx="4128247" cy="1145825"/>
            <wp:effectExtent l="0" t="0" r="5715" b="0"/>
            <wp:docPr id="1940926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926119" name=""/>
                    <pic:cNvPicPr/>
                  </pic:nvPicPr>
                  <pic:blipFill>
                    <a:blip r:embed="rId8"/>
                    <a:stretch>
                      <a:fillRect/>
                    </a:stretch>
                  </pic:blipFill>
                  <pic:spPr>
                    <a:xfrm>
                      <a:off x="0" y="0"/>
                      <a:ext cx="4144269" cy="1150272"/>
                    </a:xfrm>
                    <a:prstGeom prst="rect">
                      <a:avLst/>
                    </a:prstGeom>
                  </pic:spPr>
                </pic:pic>
              </a:graphicData>
            </a:graphic>
          </wp:inline>
        </w:drawing>
      </w:r>
    </w:p>
    <w:p w14:paraId="7D0BC093" w14:textId="587A915E" w:rsidR="00B70B22" w:rsidRPr="001C59D5" w:rsidRDefault="00B70B22" w:rsidP="00B70B22">
      <w:pPr>
        <w:tabs>
          <w:tab w:val="left" w:pos="7875"/>
        </w:tabs>
      </w:pPr>
      <w:r w:rsidRPr="001C59D5">
        <w:tab/>
      </w:r>
    </w:p>
    <w:p w14:paraId="2BDBE470" w14:textId="77777777" w:rsidR="00B70B22" w:rsidRPr="001C59D5" w:rsidRDefault="00B70B22" w:rsidP="00B70B22">
      <w:pPr>
        <w:tabs>
          <w:tab w:val="left" w:pos="7875"/>
        </w:tabs>
        <w:jc w:val="center"/>
        <w:rPr>
          <w:b/>
          <w:bCs/>
          <w:sz w:val="28"/>
          <w:szCs w:val="28"/>
        </w:rPr>
      </w:pPr>
    </w:p>
    <w:p w14:paraId="60A7E7AE" w14:textId="77777777" w:rsidR="00EE67F0" w:rsidRDefault="00EE67F0" w:rsidP="001C2DD7">
      <w:pPr>
        <w:tabs>
          <w:tab w:val="left" w:pos="7875"/>
        </w:tabs>
        <w:rPr>
          <w:b/>
          <w:bCs/>
          <w:sz w:val="28"/>
          <w:szCs w:val="28"/>
        </w:rPr>
      </w:pPr>
    </w:p>
    <w:p w14:paraId="31EF2A60" w14:textId="77777777" w:rsidR="001C2DD7" w:rsidRPr="001C59D5" w:rsidRDefault="001C2DD7" w:rsidP="001C2DD7">
      <w:pPr>
        <w:tabs>
          <w:tab w:val="left" w:pos="7875"/>
        </w:tabs>
        <w:rPr>
          <w:b/>
          <w:bCs/>
          <w:sz w:val="28"/>
          <w:szCs w:val="28"/>
        </w:rPr>
      </w:pPr>
    </w:p>
    <w:p w14:paraId="2688017C" w14:textId="77777777" w:rsidR="00B70B22" w:rsidRDefault="00B70B22" w:rsidP="00B70B22">
      <w:pPr>
        <w:tabs>
          <w:tab w:val="left" w:pos="7875"/>
        </w:tabs>
        <w:jc w:val="center"/>
        <w:rPr>
          <w:b/>
          <w:bCs/>
          <w:sz w:val="28"/>
          <w:szCs w:val="28"/>
        </w:rPr>
      </w:pPr>
    </w:p>
    <w:p w14:paraId="671F5090" w14:textId="77777777" w:rsidR="00024D45" w:rsidRDefault="00024D45" w:rsidP="00B70B22">
      <w:pPr>
        <w:tabs>
          <w:tab w:val="left" w:pos="7875"/>
        </w:tabs>
        <w:jc w:val="center"/>
        <w:rPr>
          <w:b/>
          <w:bCs/>
          <w:sz w:val="28"/>
          <w:szCs w:val="28"/>
        </w:rPr>
      </w:pPr>
    </w:p>
    <w:p w14:paraId="5D6B17D7" w14:textId="77777777" w:rsidR="00024D45" w:rsidRPr="001C59D5" w:rsidRDefault="00024D45" w:rsidP="00B70B22">
      <w:pPr>
        <w:tabs>
          <w:tab w:val="left" w:pos="7875"/>
        </w:tabs>
        <w:jc w:val="center"/>
        <w:rPr>
          <w:b/>
          <w:bCs/>
          <w:sz w:val="28"/>
          <w:szCs w:val="28"/>
        </w:rPr>
      </w:pPr>
    </w:p>
    <w:p w14:paraId="71279CD6" w14:textId="7E1EE55D" w:rsidR="00B70B22" w:rsidRPr="001C59D5" w:rsidRDefault="00B70B22" w:rsidP="00B70B22">
      <w:pPr>
        <w:tabs>
          <w:tab w:val="left" w:pos="7875"/>
        </w:tabs>
        <w:jc w:val="center"/>
        <w:rPr>
          <w:b/>
          <w:bCs/>
          <w:sz w:val="40"/>
          <w:szCs w:val="40"/>
        </w:rPr>
      </w:pPr>
      <w:r w:rsidRPr="001C59D5">
        <w:rPr>
          <w:b/>
          <w:bCs/>
          <w:sz w:val="40"/>
          <w:szCs w:val="40"/>
        </w:rPr>
        <w:t>IZVJEŠĆE O POSLOVANJU ZA 20</w:t>
      </w:r>
      <w:r w:rsidR="003A7D6F" w:rsidRPr="001C59D5">
        <w:rPr>
          <w:b/>
          <w:bCs/>
          <w:sz w:val="40"/>
          <w:szCs w:val="40"/>
        </w:rPr>
        <w:t>2</w:t>
      </w:r>
      <w:r w:rsidR="003579CC">
        <w:rPr>
          <w:b/>
          <w:bCs/>
          <w:sz w:val="40"/>
          <w:szCs w:val="40"/>
        </w:rPr>
        <w:t>4</w:t>
      </w:r>
      <w:r w:rsidRPr="001C59D5">
        <w:rPr>
          <w:b/>
          <w:bCs/>
          <w:sz w:val="40"/>
          <w:szCs w:val="40"/>
        </w:rPr>
        <w:t>. GODINU</w:t>
      </w:r>
    </w:p>
    <w:p w14:paraId="0468C3B3" w14:textId="42285077" w:rsidR="00B70B22" w:rsidRPr="001C59D5" w:rsidRDefault="00B70B22" w:rsidP="00B70B22">
      <w:pPr>
        <w:tabs>
          <w:tab w:val="left" w:pos="7875"/>
        </w:tabs>
        <w:jc w:val="center"/>
        <w:rPr>
          <w:b/>
          <w:bCs/>
          <w:sz w:val="32"/>
          <w:szCs w:val="32"/>
        </w:rPr>
      </w:pPr>
    </w:p>
    <w:p w14:paraId="1FA3C60A" w14:textId="68F13B2E" w:rsidR="00B70B22" w:rsidRPr="001C59D5" w:rsidRDefault="00B70B22" w:rsidP="00B70B22">
      <w:pPr>
        <w:tabs>
          <w:tab w:val="left" w:pos="7875"/>
        </w:tabs>
        <w:jc w:val="center"/>
        <w:rPr>
          <w:b/>
          <w:bCs/>
          <w:sz w:val="32"/>
          <w:szCs w:val="32"/>
        </w:rPr>
      </w:pPr>
    </w:p>
    <w:p w14:paraId="097853D8" w14:textId="683529CF" w:rsidR="00B70B22" w:rsidRPr="001C59D5" w:rsidRDefault="00B70B22" w:rsidP="00B70B22">
      <w:pPr>
        <w:tabs>
          <w:tab w:val="left" w:pos="7875"/>
        </w:tabs>
        <w:jc w:val="center"/>
        <w:rPr>
          <w:b/>
          <w:bCs/>
          <w:sz w:val="32"/>
          <w:szCs w:val="32"/>
        </w:rPr>
      </w:pPr>
    </w:p>
    <w:p w14:paraId="5A91C7B5" w14:textId="25A75EF8" w:rsidR="00B70B22" w:rsidRPr="001C59D5" w:rsidRDefault="00B70B22" w:rsidP="00B70B22">
      <w:pPr>
        <w:tabs>
          <w:tab w:val="left" w:pos="7875"/>
        </w:tabs>
        <w:jc w:val="center"/>
        <w:rPr>
          <w:b/>
          <w:bCs/>
          <w:sz w:val="32"/>
          <w:szCs w:val="32"/>
        </w:rPr>
      </w:pPr>
    </w:p>
    <w:p w14:paraId="20F31F5F" w14:textId="2A0739BC" w:rsidR="00B70B22" w:rsidRPr="001C59D5" w:rsidRDefault="00B70B22" w:rsidP="00B70B22">
      <w:pPr>
        <w:tabs>
          <w:tab w:val="left" w:pos="7875"/>
        </w:tabs>
        <w:jc w:val="center"/>
        <w:rPr>
          <w:b/>
          <w:bCs/>
          <w:sz w:val="32"/>
          <w:szCs w:val="32"/>
        </w:rPr>
      </w:pPr>
    </w:p>
    <w:p w14:paraId="723E99F1" w14:textId="66A498AD" w:rsidR="00B70B22" w:rsidRPr="001C59D5" w:rsidRDefault="00B70B22" w:rsidP="00B70B22">
      <w:pPr>
        <w:tabs>
          <w:tab w:val="left" w:pos="7875"/>
        </w:tabs>
        <w:jc w:val="center"/>
        <w:rPr>
          <w:b/>
          <w:bCs/>
          <w:sz w:val="32"/>
          <w:szCs w:val="32"/>
        </w:rPr>
      </w:pPr>
    </w:p>
    <w:p w14:paraId="72E7119B" w14:textId="2DD76897" w:rsidR="00B70B22" w:rsidRPr="001C59D5" w:rsidRDefault="00B70B22" w:rsidP="00B70B22">
      <w:pPr>
        <w:tabs>
          <w:tab w:val="left" w:pos="7875"/>
        </w:tabs>
        <w:jc w:val="center"/>
        <w:rPr>
          <w:b/>
          <w:bCs/>
          <w:sz w:val="32"/>
          <w:szCs w:val="32"/>
        </w:rPr>
      </w:pPr>
    </w:p>
    <w:p w14:paraId="5717D87E" w14:textId="48D937E2" w:rsidR="00B70B22" w:rsidRDefault="00B70B22" w:rsidP="00B70B22">
      <w:pPr>
        <w:tabs>
          <w:tab w:val="left" w:pos="7875"/>
        </w:tabs>
        <w:jc w:val="center"/>
        <w:rPr>
          <w:b/>
          <w:bCs/>
          <w:sz w:val="24"/>
          <w:szCs w:val="24"/>
        </w:rPr>
      </w:pPr>
    </w:p>
    <w:p w14:paraId="188ABB37" w14:textId="77777777" w:rsidR="003D2F39" w:rsidRDefault="003D2F39" w:rsidP="00B70B22">
      <w:pPr>
        <w:tabs>
          <w:tab w:val="left" w:pos="7875"/>
        </w:tabs>
        <w:jc w:val="center"/>
        <w:rPr>
          <w:b/>
          <w:bCs/>
          <w:sz w:val="24"/>
          <w:szCs w:val="24"/>
        </w:rPr>
      </w:pPr>
    </w:p>
    <w:p w14:paraId="434ADC60" w14:textId="77777777" w:rsidR="003D2F39" w:rsidRDefault="003D2F39" w:rsidP="00B70B22">
      <w:pPr>
        <w:tabs>
          <w:tab w:val="left" w:pos="7875"/>
        </w:tabs>
        <w:jc w:val="center"/>
        <w:rPr>
          <w:b/>
          <w:bCs/>
          <w:sz w:val="24"/>
          <w:szCs w:val="24"/>
        </w:rPr>
      </w:pPr>
    </w:p>
    <w:p w14:paraId="19493BEA" w14:textId="77777777" w:rsidR="003D2F39" w:rsidRPr="001C59D5" w:rsidRDefault="003D2F39" w:rsidP="00B70B22">
      <w:pPr>
        <w:tabs>
          <w:tab w:val="left" w:pos="7875"/>
        </w:tabs>
        <w:jc w:val="center"/>
        <w:rPr>
          <w:b/>
          <w:bCs/>
          <w:sz w:val="24"/>
          <w:szCs w:val="24"/>
        </w:rPr>
      </w:pPr>
    </w:p>
    <w:p w14:paraId="7B4175A4" w14:textId="0E4F616E" w:rsidR="00D67110" w:rsidRPr="001C59D5" w:rsidRDefault="00B70B22" w:rsidP="008A6124">
      <w:pPr>
        <w:tabs>
          <w:tab w:val="left" w:pos="7875"/>
        </w:tabs>
        <w:jc w:val="center"/>
        <w:rPr>
          <w:b/>
          <w:bCs/>
          <w:sz w:val="24"/>
          <w:szCs w:val="24"/>
        </w:rPr>
      </w:pPr>
      <w:r w:rsidRPr="001C59D5">
        <w:rPr>
          <w:b/>
          <w:bCs/>
          <w:sz w:val="24"/>
          <w:szCs w:val="24"/>
        </w:rPr>
        <w:t xml:space="preserve">Viškovo, </w:t>
      </w:r>
      <w:r w:rsidR="002B3E3A">
        <w:rPr>
          <w:b/>
          <w:bCs/>
          <w:sz w:val="24"/>
          <w:szCs w:val="24"/>
        </w:rPr>
        <w:t>lipa</w:t>
      </w:r>
      <w:r w:rsidR="0020442C">
        <w:rPr>
          <w:b/>
          <w:bCs/>
          <w:sz w:val="24"/>
          <w:szCs w:val="24"/>
        </w:rPr>
        <w:t>nj</w:t>
      </w:r>
      <w:r w:rsidRPr="001C59D5">
        <w:rPr>
          <w:b/>
          <w:bCs/>
          <w:sz w:val="24"/>
          <w:szCs w:val="24"/>
        </w:rPr>
        <w:t xml:space="preserve"> 202</w:t>
      </w:r>
      <w:r w:rsidR="008A6124">
        <w:rPr>
          <w:b/>
          <w:bCs/>
          <w:sz w:val="24"/>
          <w:szCs w:val="24"/>
        </w:rPr>
        <w:t>5</w:t>
      </w:r>
      <w:r w:rsidRPr="001C59D5">
        <w:rPr>
          <w:b/>
          <w:bCs/>
          <w:sz w:val="24"/>
          <w:szCs w:val="24"/>
        </w:rPr>
        <w:t>. godine</w:t>
      </w:r>
    </w:p>
    <w:sdt>
      <w:sdtPr>
        <w:rPr>
          <w:rFonts w:eastAsiaTheme="minorHAnsi" w:cstheme="minorBidi"/>
          <w:color w:val="auto"/>
          <w:szCs w:val="22"/>
          <w:lang w:val="hr-HR"/>
        </w:rPr>
        <w:id w:val="-1720117264"/>
        <w:docPartObj>
          <w:docPartGallery w:val="Table of Contents"/>
          <w:docPartUnique/>
        </w:docPartObj>
      </w:sdtPr>
      <w:sdtEndPr>
        <w:rPr>
          <w:b/>
          <w:bCs/>
          <w:noProof/>
          <w:sz w:val="24"/>
          <w:szCs w:val="24"/>
        </w:rPr>
      </w:sdtEndPr>
      <w:sdtContent>
        <w:p w14:paraId="4000D56E" w14:textId="77777777" w:rsidR="001A1065" w:rsidRPr="00F41B67" w:rsidRDefault="001A1065" w:rsidP="00367E52">
          <w:pPr>
            <w:pStyle w:val="TOCHeading"/>
            <w:spacing w:line="240" w:lineRule="auto"/>
            <w:rPr>
              <w:rFonts w:cstheme="minorHAnsi"/>
              <w:b/>
              <w:bCs/>
              <w:color w:val="auto"/>
            </w:rPr>
          </w:pPr>
          <w:r w:rsidRPr="00730E88">
            <w:rPr>
              <w:rFonts w:cstheme="minorHAnsi"/>
              <w:b/>
              <w:bCs/>
              <w:color w:val="auto"/>
              <w:sz w:val="24"/>
              <w:szCs w:val="24"/>
            </w:rPr>
            <w:t>SADRŽAJ</w:t>
          </w:r>
          <w:r w:rsidRPr="00F41B67">
            <w:rPr>
              <w:rFonts w:cstheme="minorHAnsi"/>
              <w:b/>
              <w:bCs/>
              <w:color w:val="auto"/>
            </w:rPr>
            <w:t>:</w:t>
          </w:r>
        </w:p>
        <w:p w14:paraId="14914CE7" w14:textId="77777777" w:rsidR="00BB5FC9" w:rsidRPr="001C59D5" w:rsidRDefault="00BB5FC9" w:rsidP="00367E52">
          <w:pPr>
            <w:spacing w:line="240" w:lineRule="auto"/>
            <w:rPr>
              <w:lang w:val="en-US"/>
            </w:rPr>
          </w:pPr>
        </w:p>
        <w:p w14:paraId="3844780E" w14:textId="152C032F" w:rsidR="00EF2FC5" w:rsidRDefault="001A1065" w:rsidP="00EF2FC5">
          <w:pPr>
            <w:pStyle w:val="TOC1"/>
            <w:rPr>
              <w:rFonts w:eastAsiaTheme="minorEastAsia"/>
              <w:noProof/>
              <w:kern w:val="2"/>
              <w:sz w:val="24"/>
              <w:szCs w:val="24"/>
              <w:lang w:eastAsia="hr-HR"/>
              <w14:ligatures w14:val="standardContextual"/>
            </w:rPr>
          </w:pPr>
          <w:r w:rsidRPr="001C59D5">
            <w:rPr>
              <w:sz w:val="24"/>
              <w:szCs w:val="24"/>
            </w:rPr>
            <w:fldChar w:fldCharType="begin"/>
          </w:r>
          <w:r w:rsidRPr="001C59D5">
            <w:rPr>
              <w:sz w:val="24"/>
              <w:szCs w:val="24"/>
            </w:rPr>
            <w:instrText xml:space="preserve"> TOC \o "1-3" \h \z \u </w:instrText>
          </w:r>
          <w:r w:rsidRPr="001C59D5">
            <w:rPr>
              <w:sz w:val="24"/>
              <w:szCs w:val="24"/>
            </w:rPr>
            <w:fldChar w:fldCharType="separate"/>
          </w:r>
          <w:hyperlink w:anchor="_Toc200094264" w:history="1">
            <w:r w:rsidR="00EF2FC5" w:rsidRPr="008410B2">
              <w:rPr>
                <w:rStyle w:val="Hyperlink"/>
                <w:rFonts w:cstheme="minorHAnsi"/>
                <w:noProof/>
              </w:rPr>
              <w:t>I. BILJEŠKE UZ TEMELJNA FINANCIJSKA IZVJEŠĆA</w:t>
            </w:r>
            <w:r w:rsidR="00EF2FC5">
              <w:rPr>
                <w:noProof/>
                <w:webHidden/>
              </w:rPr>
              <w:tab/>
            </w:r>
            <w:r w:rsidR="00EF2FC5">
              <w:rPr>
                <w:noProof/>
                <w:webHidden/>
              </w:rPr>
              <w:fldChar w:fldCharType="begin"/>
            </w:r>
            <w:r w:rsidR="00EF2FC5">
              <w:rPr>
                <w:noProof/>
                <w:webHidden/>
              </w:rPr>
              <w:instrText xml:space="preserve"> PAGEREF _Toc200094264 \h </w:instrText>
            </w:r>
            <w:r w:rsidR="00EF2FC5">
              <w:rPr>
                <w:noProof/>
                <w:webHidden/>
              </w:rPr>
            </w:r>
            <w:r w:rsidR="00EF2FC5">
              <w:rPr>
                <w:noProof/>
                <w:webHidden/>
              </w:rPr>
              <w:fldChar w:fldCharType="separate"/>
            </w:r>
            <w:r w:rsidR="00A1075A">
              <w:rPr>
                <w:noProof/>
                <w:webHidden/>
              </w:rPr>
              <w:t>3</w:t>
            </w:r>
            <w:r w:rsidR="00EF2FC5">
              <w:rPr>
                <w:noProof/>
                <w:webHidden/>
              </w:rPr>
              <w:fldChar w:fldCharType="end"/>
            </w:r>
          </w:hyperlink>
        </w:p>
        <w:p w14:paraId="35BE7772" w14:textId="6CB37F76"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65" w:history="1">
            <w:r w:rsidRPr="008410B2">
              <w:rPr>
                <w:rStyle w:val="Hyperlink"/>
                <w:rFonts w:cstheme="minorHAnsi"/>
                <w:noProof/>
              </w:rPr>
              <w:t>1. UVOD</w:t>
            </w:r>
            <w:r>
              <w:rPr>
                <w:noProof/>
                <w:webHidden/>
              </w:rPr>
              <w:tab/>
            </w:r>
            <w:r>
              <w:rPr>
                <w:noProof/>
                <w:webHidden/>
              </w:rPr>
              <w:fldChar w:fldCharType="begin"/>
            </w:r>
            <w:r>
              <w:rPr>
                <w:noProof/>
                <w:webHidden/>
              </w:rPr>
              <w:instrText xml:space="preserve"> PAGEREF _Toc200094265 \h </w:instrText>
            </w:r>
            <w:r>
              <w:rPr>
                <w:noProof/>
                <w:webHidden/>
              </w:rPr>
            </w:r>
            <w:r>
              <w:rPr>
                <w:noProof/>
                <w:webHidden/>
              </w:rPr>
              <w:fldChar w:fldCharType="separate"/>
            </w:r>
            <w:r w:rsidR="00A1075A">
              <w:rPr>
                <w:noProof/>
                <w:webHidden/>
              </w:rPr>
              <w:t>3</w:t>
            </w:r>
            <w:r>
              <w:rPr>
                <w:noProof/>
                <w:webHidden/>
              </w:rPr>
              <w:fldChar w:fldCharType="end"/>
            </w:r>
          </w:hyperlink>
        </w:p>
        <w:p w14:paraId="66F91964" w14:textId="1D54A2BD"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66" w:history="1">
            <w:r w:rsidRPr="008410B2">
              <w:rPr>
                <w:rStyle w:val="Hyperlink"/>
                <w:rFonts w:cstheme="minorHAnsi"/>
                <w:noProof/>
              </w:rPr>
              <w:t>2. BILJEŠKE UZ BILANCU</w:t>
            </w:r>
            <w:r>
              <w:rPr>
                <w:noProof/>
                <w:webHidden/>
              </w:rPr>
              <w:tab/>
            </w:r>
            <w:r>
              <w:rPr>
                <w:noProof/>
                <w:webHidden/>
              </w:rPr>
              <w:fldChar w:fldCharType="begin"/>
            </w:r>
            <w:r>
              <w:rPr>
                <w:noProof/>
                <w:webHidden/>
              </w:rPr>
              <w:instrText xml:space="preserve"> PAGEREF _Toc200094266 \h </w:instrText>
            </w:r>
            <w:r>
              <w:rPr>
                <w:noProof/>
                <w:webHidden/>
              </w:rPr>
            </w:r>
            <w:r>
              <w:rPr>
                <w:noProof/>
                <w:webHidden/>
              </w:rPr>
              <w:fldChar w:fldCharType="separate"/>
            </w:r>
            <w:r w:rsidR="00A1075A">
              <w:rPr>
                <w:noProof/>
                <w:webHidden/>
              </w:rPr>
              <w:t>6</w:t>
            </w:r>
            <w:r>
              <w:rPr>
                <w:noProof/>
                <w:webHidden/>
              </w:rPr>
              <w:fldChar w:fldCharType="end"/>
            </w:r>
          </w:hyperlink>
        </w:p>
        <w:p w14:paraId="7D500E61" w14:textId="75D8579C"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67" w:history="1">
            <w:r w:rsidRPr="008410B2">
              <w:rPr>
                <w:rStyle w:val="Hyperlink"/>
                <w:noProof/>
              </w:rPr>
              <w:t>2.1. Bilješke uz pozicije aktive</w:t>
            </w:r>
            <w:r>
              <w:rPr>
                <w:noProof/>
                <w:webHidden/>
              </w:rPr>
              <w:tab/>
            </w:r>
            <w:r>
              <w:rPr>
                <w:noProof/>
                <w:webHidden/>
              </w:rPr>
              <w:fldChar w:fldCharType="begin"/>
            </w:r>
            <w:r>
              <w:rPr>
                <w:noProof/>
                <w:webHidden/>
              </w:rPr>
              <w:instrText xml:space="preserve"> PAGEREF _Toc200094267 \h </w:instrText>
            </w:r>
            <w:r>
              <w:rPr>
                <w:noProof/>
                <w:webHidden/>
              </w:rPr>
            </w:r>
            <w:r>
              <w:rPr>
                <w:noProof/>
                <w:webHidden/>
              </w:rPr>
              <w:fldChar w:fldCharType="separate"/>
            </w:r>
            <w:r w:rsidR="00A1075A">
              <w:rPr>
                <w:noProof/>
                <w:webHidden/>
              </w:rPr>
              <w:t>6</w:t>
            </w:r>
            <w:r>
              <w:rPr>
                <w:noProof/>
                <w:webHidden/>
              </w:rPr>
              <w:fldChar w:fldCharType="end"/>
            </w:r>
          </w:hyperlink>
        </w:p>
        <w:p w14:paraId="0344A584" w14:textId="04C27D4D"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68" w:history="1">
            <w:r w:rsidRPr="008410B2">
              <w:rPr>
                <w:rStyle w:val="Hyperlink"/>
                <w:noProof/>
              </w:rPr>
              <w:t>2.2. Bilješke uz pozicije pasive</w:t>
            </w:r>
            <w:r>
              <w:rPr>
                <w:noProof/>
                <w:webHidden/>
              </w:rPr>
              <w:tab/>
            </w:r>
            <w:r>
              <w:rPr>
                <w:noProof/>
                <w:webHidden/>
              </w:rPr>
              <w:fldChar w:fldCharType="begin"/>
            </w:r>
            <w:r>
              <w:rPr>
                <w:noProof/>
                <w:webHidden/>
              </w:rPr>
              <w:instrText xml:space="preserve"> PAGEREF _Toc200094268 \h </w:instrText>
            </w:r>
            <w:r>
              <w:rPr>
                <w:noProof/>
                <w:webHidden/>
              </w:rPr>
            </w:r>
            <w:r>
              <w:rPr>
                <w:noProof/>
                <w:webHidden/>
              </w:rPr>
              <w:fldChar w:fldCharType="separate"/>
            </w:r>
            <w:r w:rsidR="00A1075A">
              <w:rPr>
                <w:noProof/>
                <w:webHidden/>
              </w:rPr>
              <w:t>11</w:t>
            </w:r>
            <w:r>
              <w:rPr>
                <w:noProof/>
                <w:webHidden/>
              </w:rPr>
              <w:fldChar w:fldCharType="end"/>
            </w:r>
          </w:hyperlink>
        </w:p>
        <w:p w14:paraId="7B8E593E" w14:textId="23E2E556"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69" w:history="1">
            <w:r w:rsidRPr="008410B2">
              <w:rPr>
                <w:rStyle w:val="Hyperlink"/>
                <w:noProof/>
              </w:rPr>
              <w:t>2.3 Rezultat razdoblja</w:t>
            </w:r>
            <w:r>
              <w:rPr>
                <w:noProof/>
                <w:webHidden/>
              </w:rPr>
              <w:tab/>
            </w:r>
            <w:r>
              <w:rPr>
                <w:noProof/>
                <w:webHidden/>
              </w:rPr>
              <w:fldChar w:fldCharType="begin"/>
            </w:r>
            <w:r>
              <w:rPr>
                <w:noProof/>
                <w:webHidden/>
              </w:rPr>
              <w:instrText xml:space="preserve"> PAGEREF _Toc200094269 \h </w:instrText>
            </w:r>
            <w:r>
              <w:rPr>
                <w:noProof/>
                <w:webHidden/>
              </w:rPr>
            </w:r>
            <w:r>
              <w:rPr>
                <w:noProof/>
                <w:webHidden/>
              </w:rPr>
              <w:fldChar w:fldCharType="separate"/>
            </w:r>
            <w:r w:rsidR="00A1075A">
              <w:rPr>
                <w:noProof/>
                <w:webHidden/>
              </w:rPr>
              <w:t>19</w:t>
            </w:r>
            <w:r>
              <w:rPr>
                <w:noProof/>
                <w:webHidden/>
              </w:rPr>
              <w:fldChar w:fldCharType="end"/>
            </w:r>
          </w:hyperlink>
        </w:p>
        <w:p w14:paraId="445D184F" w14:textId="4E7DE685"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1" w:history="1">
            <w:r w:rsidRPr="008410B2">
              <w:rPr>
                <w:rStyle w:val="Hyperlink"/>
                <w:rFonts w:cstheme="minorHAnsi"/>
                <w:noProof/>
              </w:rPr>
              <w:t>3. IZVJEŠĆE O NOVČANOM TOKU</w:t>
            </w:r>
            <w:r>
              <w:rPr>
                <w:noProof/>
                <w:webHidden/>
              </w:rPr>
              <w:tab/>
            </w:r>
            <w:r>
              <w:rPr>
                <w:noProof/>
                <w:webHidden/>
              </w:rPr>
              <w:fldChar w:fldCharType="begin"/>
            </w:r>
            <w:r>
              <w:rPr>
                <w:noProof/>
                <w:webHidden/>
              </w:rPr>
              <w:instrText xml:space="preserve"> PAGEREF _Toc200094271 \h </w:instrText>
            </w:r>
            <w:r>
              <w:rPr>
                <w:noProof/>
                <w:webHidden/>
              </w:rPr>
            </w:r>
            <w:r>
              <w:rPr>
                <w:noProof/>
                <w:webHidden/>
              </w:rPr>
              <w:fldChar w:fldCharType="separate"/>
            </w:r>
            <w:r w:rsidR="00A1075A">
              <w:rPr>
                <w:noProof/>
                <w:webHidden/>
              </w:rPr>
              <w:t>20</w:t>
            </w:r>
            <w:r>
              <w:rPr>
                <w:noProof/>
                <w:webHidden/>
              </w:rPr>
              <w:fldChar w:fldCharType="end"/>
            </w:r>
          </w:hyperlink>
        </w:p>
        <w:p w14:paraId="427A6E02" w14:textId="00F4327A"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2" w:history="1">
            <w:r w:rsidRPr="008410B2">
              <w:rPr>
                <w:rStyle w:val="Hyperlink"/>
                <w:rFonts w:cstheme="minorHAnsi"/>
                <w:noProof/>
              </w:rPr>
              <w:t>4. IZVJEŠĆE O PROMJENAMA KAPITALA</w:t>
            </w:r>
            <w:r>
              <w:rPr>
                <w:noProof/>
                <w:webHidden/>
              </w:rPr>
              <w:tab/>
            </w:r>
            <w:r>
              <w:rPr>
                <w:noProof/>
                <w:webHidden/>
              </w:rPr>
              <w:fldChar w:fldCharType="begin"/>
            </w:r>
            <w:r>
              <w:rPr>
                <w:noProof/>
                <w:webHidden/>
              </w:rPr>
              <w:instrText xml:space="preserve"> PAGEREF _Toc200094272 \h </w:instrText>
            </w:r>
            <w:r>
              <w:rPr>
                <w:noProof/>
                <w:webHidden/>
              </w:rPr>
            </w:r>
            <w:r>
              <w:rPr>
                <w:noProof/>
                <w:webHidden/>
              </w:rPr>
              <w:fldChar w:fldCharType="separate"/>
            </w:r>
            <w:r w:rsidR="00A1075A">
              <w:rPr>
                <w:noProof/>
                <w:webHidden/>
              </w:rPr>
              <w:t>22</w:t>
            </w:r>
            <w:r>
              <w:rPr>
                <w:noProof/>
                <w:webHidden/>
              </w:rPr>
              <w:fldChar w:fldCharType="end"/>
            </w:r>
          </w:hyperlink>
        </w:p>
        <w:p w14:paraId="6DDB1E5D" w14:textId="62A4D3B1"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3" w:history="1">
            <w:r w:rsidRPr="008410B2">
              <w:rPr>
                <w:rStyle w:val="Hyperlink"/>
                <w:rFonts w:cstheme="minorHAnsi"/>
                <w:noProof/>
              </w:rPr>
              <w:t>5. FINANCIJSKI POKAZATELJI POSLOVANJA</w:t>
            </w:r>
            <w:r>
              <w:rPr>
                <w:noProof/>
                <w:webHidden/>
              </w:rPr>
              <w:tab/>
            </w:r>
            <w:r>
              <w:rPr>
                <w:noProof/>
                <w:webHidden/>
              </w:rPr>
              <w:fldChar w:fldCharType="begin"/>
            </w:r>
            <w:r>
              <w:rPr>
                <w:noProof/>
                <w:webHidden/>
              </w:rPr>
              <w:instrText xml:space="preserve"> PAGEREF _Toc200094273 \h </w:instrText>
            </w:r>
            <w:r>
              <w:rPr>
                <w:noProof/>
                <w:webHidden/>
              </w:rPr>
            </w:r>
            <w:r>
              <w:rPr>
                <w:noProof/>
                <w:webHidden/>
              </w:rPr>
              <w:fldChar w:fldCharType="separate"/>
            </w:r>
            <w:r w:rsidR="00A1075A">
              <w:rPr>
                <w:noProof/>
                <w:webHidden/>
              </w:rPr>
              <w:t>23</w:t>
            </w:r>
            <w:r>
              <w:rPr>
                <w:noProof/>
                <w:webHidden/>
              </w:rPr>
              <w:fldChar w:fldCharType="end"/>
            </w:r>
          </w:hyperlink>
        </w:p>
        <w:p w14:paraId="0A28B53F" w14:textId="6098B43C"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4" w:history="1">
            <w:r w:rsidRPr="008410B2">
              <w:rPr>
                <w:rStyle w:val="Hyperlink"/>
                <w:noProof/>
              </w:rPr>
              <w:t>5.1. Pokazatelji likvidnosti</w:t>
            </w:r>
            <w:r>
              <w:rPr>
                <w:noProof/>
                <w:webHidden/>
              </w:rPr>
              <w:tab/>
            </w:r>
            <w:r>
              <w:rPr>
                <w:noProof/>
                <w:webHidden/>
              </w:rPr>
              <w:fldChar w:fldCharType="begin"/>
            </w:r>
            <w:r>
              <w:rPr>
                <w:noProof/>
                <w:webHidden/>
              </w:rPr>
              <w:instrText xml:space="preserve"> PAGEREF _Toc200094274 \h </w:instrText>
            </w:r>
            <w:r>
              <w:rPr>
                <w:noProof/>
                <w:webHidden/>
              </w:rPr>
            </w:r>
            <w:r>
              <w:rPr>
                <w:noProof/>
                <w:webHidden/>
              </w:rPr>
              <w:fldChar w:fldCharType="separate"/>
            </w:r>
            <w:r w:rsidR="00A1075A">
              <w:rPr>
                <w:noProof/>
                <w:webHidden/>
              </w:rPr>
              <w:t>23</w:t>
            </w:r>
            <w:r>
              <w:rPr>
                <w:noProof/>
                <w:webHidden/>
              </w:rPr>
              <w:fldChar w:fldCharType="end"/>
            </w:r>
          </w:hyperlink>
        </w:p>
        <w:p w14:paraId="56BDF53F" w14:textId="10BC2E68"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5" w:history="1">
            <w:r w:rsidRPr="008410B2">
              <w:rPr>
                <w:rStyle w:val="Hyperlink"/>
                <w:noProof/>
              </w:rPr>
              <w:t>5.2. Pokazatelji zaduženosti</w:t>
            </w:r>
            <w:r>
              <w:rPr>
                <w:noProof/>
                <w:webHidden/>
              </w:rPr>
              <w:tab/>
            </w:r>
            <w:r>
              <w:rPr>
                <w:noProof/>
                <w:webHidden/>
              </w:rPr>
              <w:fldChar w:fldCharType="begin"/>
            </w:r>
            <w:r>
              <w:rPr>
                <w:noProof/>
                <w:webHidden/>
              </w:rPr>
              <w:instrText xml:space="preserve"> PAGEREF _Toc200094275 \h </w:instrText>
            </w:r>
            <w:r>
              <w:rPr>
                <w:noProof/>
                <w:webHidden/>
              </w:rPr>
            </w:r>
            <w:r>
              <w:rPr>
                <w:noProof/>
                <w:webHidden/>
              </w:rPr>
              <w:fldChar w:fldCharType="separate"/>
            </w:r>
            <w:r w:rsidR="00A1075A">
              <w:rPr>
                <w:noProof/>
                <w:webHidden/>
              </w:rPr>
              <w:t>24</w:t>
            </w:r>
            <w:r>
              <w:rPr>
                <w:noProof/>
                <w:webHidden/>
              </w:rPr>
              <w:fldChar w:fldCharType="end"/>
            </w:r>
          </w:hyperlink>
        </w:p>
        <w:p w14:paraId="5076570A" w14:textId="0D507CFA"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6" w:history="1">
            <w:r w:rsidRPr="008410B2">
              <w:rPr>
                <w:rStyle w:val="Hyperlink"/>
                <w:noProof/>
              </w:rPr>
              <w:t>5.3. Pokazatelji aktivnosti</w:t>
            </w:r>
            <w:r>
              <w:rPr>
                <w:noProof/>
                <w:webHidden/>
              </w:rPr>
              <w:tab/>
            </w:r>
            <w:r>
              <w:rPr>
                <w:noProof/>
                <w:webHidden/>
              </w:rPr>
              <w:fldChar w:fldCharType="begin"/>
            </w:r>
            <w:r>
              <w:rPr>
                <w:noProof/>
                <w:webHidden/>
              </w:rPr>
              <w:instrText xml:space="preserve"> PAGEREF _Toc200094276 \h </w:instrText>
            </w:r>
            <w:r>
              <w:rPr>
                <w:noProof/>
                <w:webHidden/>
              </w:rPr>
            </w:r>
            <w:r>
              <w:rPr>
                <w:noProof/>
                <w:webHidden/>
              </w:rPr>
              <w:fldChar w:fldCharType="separate"/>
            </w:r>
            <w:r w:rsidR="00A1075A">
              <w:rPr>
                <w:noProof/>
                <w:webHidden/>
              </w:rPr>
              <w:t>25</w:t>
            </w:r>
            <w:r>
              <w:rPr>
                <w:noProof/>
                <w:webHidden/>
              </w:rPr>
              <w:fldChar w:fldCharType="end"/>
            </w:r>
          </w:hyperlink>
        </w:p>
        <w:p w14:paraId="66F5FCB6" w14:textId="524AD348"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7" w:history="1">
            <w:r w:rsidRPr="008410B2">
              <w:rPr>
                <w:rStyle w:val="Hyperlink"/>
                <w:noProof/>
              </w:rPr>
              <w:t>5.4. Pokazatelji uspješnosti</w:t>
            </w:r>
            <w:r>
              <w:rPr>
                <w:noProof/>
                <w:webHidden/>
              </w:rPr>
              <w:tab/>
            </w:r>
            <w:r>
              <w:rPr>
                <w:noProof/>
                <w:webHidden/>
              </w:rPr>
              <w:fldChar w:fldCharType="begin"/>
            </w:r>
            <w:r>
              <w:rPr>
                <w:noProof/>
                <w:webHidden/>
              </w:rPr>
              <w:instrText xml:space="preserve"> PAGEREF _Toc200094277 \h </w:instrText>
            </w:r>
            <w:r>
              <w:rPr>
                <w:noProof/>
                <w:webHidden/>
              </w:rPr>
            </w:r>
            <w:r>
              <w:rPr>
                <w:noProof/>
                <w:webHidden/>
              </w:rPr>
              <w:fldChar w:fldCharType="separate"/>
            </w:r>
            <w:r w:rsidR="00A1075A">
              <w:rPr>
                <w:noProof/>
                <w:webHidden/>
              </w:rPr>
              <w:t>26</w:t>
            </w:r>
            <w:r>
              <w:rPr>
                <w:noProof/>
                <w:webHidden/>
              </w:rPr>
              <w:fldChar w:fldCharType="end"/>
            </w:r>
          </w:hyperlink>
        </w:p>
        <w:p w14:paraId="05ECC968" w14:textId="3C70AB16" w:rsidR="00EF2FC5" w:rsidRDefault="00EF2FC5" w:rsidP="00EF2FC5">
          <w:pPr>
            <w:pStyle w:val="TOC1"/>
            <w:rPr>
              <w:rFonts w:eastAsiaTheme="minorEastAsia"/>
              <w:noProof/>
              <w:kern w:val="2"/>
              <w:sz w:val="24"/>
              <w:szCs w:val="24"/>
              <w:lang w:eastAsia="hr-HR"/>
              <w14:ligatures w14:val="standardContextual"/>
            </w:rPr>
          </w:pPr>
          <w:hyperlink w:anchor="_Toc200094278" w:history="1">
            <w:r w:rsidRPr="008410B2">
              <w:rPr>
                <w:rStyle w:val="Hyperlink"/>
                <w:rFonts w:cstheme="minorHAnsi"/>
                <w:noProof/>
              </w:rPr>
              <w:t>II. IZVJEŠĆE O REALIZACIJI PLANA RADA I POSLOVANJA</w:t>
            </w:r>
            <w:r>
              <w:rPr>
                <w:noProof/>
                <w:webHidden/>
              </w:rPr>
              <w:tab/>
            </w:r>
            <w:r>
              <w:rPr>
                <w:noProof/>
                <w:webHidden/>
              </w:rPr>
              <w:fldChar w:fldCharType="begin"/>
            </w:r>
            <w:r>
              <w:rPr>
                <w:noProof/>
                <w:webHidden/>
              </w:rPr>
              <w:instrText xml:space="preserve"> PAGEREF _Toc200094278 \h </w:instrText>
            </w:r>
            <w:r>
              <w:rPr>
                <w:noProof/>
                <w:webHidden/>
              </w:rPr>
            </w:r>
            <w:r>
              <w:rPr>
                <w:noProof/>
                <w:webHidden/>
              </w:rPr>
              <w:fldChar w:fldCharType="separate"/>
            </w:r>
            <w:r w:rsidR="00A1075A">
              <w:rPr>
                <w:noProof/>
                <w:webHidden/>
              </w:rPr>
              <w:t>27</w:t>
            </w:r>
            <w:r>
              <w:rPr>
                <w:noProof/>
                <w:webHidden/>
              </w:rPr>
              <w:fldChar w:fldCharType="end"/>
            </w:r>
          </w:hyperlink>
        </w:p>
        <w:p w14:paraId="67F754D9" w14:textId="0B21095E"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79" w:history="1">
            <w:r w:rsidRPr="008410B2">
              <w:rPr>
                <w:rStyle w:val="Hyperlink"/>
                <w:rFonts w:cstheme="minorHAnsi"/>
                <w:noProof/>
              </w:rPr>
              <w:t>1. UVOD</w:t>
            </w:r>
            <w:r>
              <w:rPr>
                <w:noProof/>
                <w:webHidden/>
              </w:rPr>
              <w:tab/>
            </w:r>
            <w:r>
              <w:rPr>
                <w:noProof/>
                <w:webHidden/>
              </w:rPr>
              <w:fldChar w:fldCharType="begin"/>
            </w:r>
            <w:r>
              <w:rPr>
                <w:noProof/>
                <w:webHidden/>
              </w:rPr>
              <w:instrText xml:space="preserve"> PAGEREF _Toc200094279 \h </w:instrText>
            </w:r>
            <w:r>
              <w:rPr>
                <w:noProof/>
                <w:webHidden/>
              </w:rPr>
            </w:r>
            <w:r>
              <w:rPr>
                <w:noProof/>
                <w:webHidden/>
              </w:rPr>
              <w:fldChar w:fldCharType="separate"/>
            </w:r>
            <w:r w:rsidR="00A1075A">
              <w:rPr>
                <w:noProof/>
                <w:webHidden/>
              </w:rPr>
              <w:t>27</w:t>
            </w:r>
            <w:r>
              <w:rPr>
                <w:noProof/>
                <w:webHidden/>
              </w:rPr>
              <w:fldChar w:fldCharType="end"/>
            </w:r>
          </w:hyperlink>
        </w:p>
        <w:p w14:paraId="167F0045" w14:textId="465915A4"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80" w:history="1">
            <w:r w:rsidRPr="008410B2">
              <w:rPr>
                <w:rStyle w:val="Hyperlink"/>
                <w:rFonts w:cstheme="minorHAnsi"/>
                <w:noProof/>
              </w:rPr>
              <w:t>2. KADROVI</w:t>
            </w:r>
            <w:r>
              <w:rPr>
                <w:noProof/>
                <w:webHidden/>
              </w:rPr>
              <w:tab/>
            </w:r>
            <w:r>
              <w:rPr>
                <w:noProof/>
                <w:webHidden/>
              </w:rPr>
              <w:fldChar w:fldCharType="begin"/>
            </w:r>
            <w:r>
              <w:rPr>
                <w:noProof/>
                <w:webHidden/>
              </w:rPr>
              <w:instrText xml:space="preserve"> PAGEREF _Toc200094280 \h </w:instrText>
            </w:r>
            <w:r>
              <w:rPr>
                <w:noProof/>
                <w:webHidden/>
              </w:rPr>
            </w:r>
            <w:r>
              <w:rPr>
                <w:noProof/>
                <w:webHidden/>
              </w:rPr>
              <w:fldChar w:fldCharType="separate"/>
            </w:r>
            <w:r w:rsidR="00A1075A">
              <w:rPr>
                <w:noProof/>
                <w:webHidden/>
              </w:rPr>
              <w:t>30</w:t>
            </w:r>
            <w:r>
              <w:rPr>
                <w:noProof/>
                <w:webHidden/>
              </w:rPr>
              <w:fldChar w:fldCharType="end"/>
            </w:r>
          </w:hyperlink>
        </w:p>
        <w:p w14:paraId="213A1F13" w14:textId="30B4F7C9"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81" w:history="1">
            <w:r w:rsidRPr="008410B2">
              <w:rPr>
                <w:rStyle w:val="Hyperlink"/>
                <w:noProof/>
              </w:rPr>
              <w:t>2.1. Organizacijska struktura</w:t>
            </w:r>
            <w:r>
              <w:rPr>
                <w:noProof/>
                <w:webHidden/>
              </w:rPr>
              <w:tab/>
            </w:r>
            <w:r>
              <w:rPr>
                <w:noProof/>
                <w:webHidden/>
              </w:rPr>
              <w:fldChar w:fldCharType="begin"/>
            </w:r>
            <w:r>
              <w:rPr>
                <w:noProof/>
                <w:webHidden/>
              </w:rPr>
              <w:instrText xml:space="preserve"> PAGEREF _Toc200094281 \h </w:instrText>
            </w:r>
            <w:r>
              <w:rPr>
                <w:noProof/>
                <w:webHidden/>
              </w:rPr>
            </w:r>
            <w:r>
              <w:rPr>
                <w:noProof/>
                <w:webHidden/>
              </w:rPr>
              <w:fldChar w:fldCharType="separate"/>
            </w:r>
            <w:r w:rsidR="00A1075A">
              <w:rPr>
                <w:noProof/>
                <w:webHidden/>
              </w:rPr>
              <w:t>30</w:t>
            </w:r>
            <w:r>
              <w:rPr>
                <w:noProof/>
                <w:webHidden/>
              </w:rPr>
              <w:fldChar w:fldCharType="end"/>
            </w:r>
          </w:hyperlink>
        </w:p>
        <w:p w14:paraId="4DC6E4BB" w14:textId="7C109055"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82" w:history="1">
            <w:r w:rsidRPr="008410B2">
              <w:rPr>
                <w:rStyle w:val="Hyperlink"/>
                <w:noProof/>
              </w:rPr>
              <w:t>2.2. Prikaz iskorištenosti radnog vremena u satima za 2024. godinu</w:t>
            </w:r>
            <w:r>
              <w:rPr>
                <w:noProof/>
                <w:webHidden/>
              </w:rPr>
              <w:tab/>
            </w:r>
            <w:r>
              <w:rPr>
                <w:noProof/>
                <w:webHidden/>
              </w:rPr>
              <w:fldChar w:fldCharType="begin"/>
            </w:r>
            <w:r>
              <w:rPr>
                <w:noProof/>
                <w:webHidden/>
              </w:rPr>
              <w:instrText xml:space="preserve"> PAGEREF _Toc200094282 \h </w:instrText>
            </w:r>
            <w:r>
              <w:rPr>
                <w:noProof/>
                <w:webHidden/>
              </w:rPr>
            </w:r>
            <w:r>
              <w:rPr>
                <w:noProof/>
                <w:webHidden/>
              </w:rPr>
              <w:fldChar w:fldCharType="separate"/>
            </w:r>
            <w:r w:rsidR="00A1075A">
              <w:rPr>
                <w:noProof/>
                <w:webHidden/>
              </w:rPr>
              <w:t>35</w:t>
            </w:r>
            <w:r>
              <w:rPr>
                <w:noProof/>
                <w:webHidden/>
              </w:rPr>
              <w:fldChar w:fldCharType="end"/>
            </w:r>
          </w:hyperlink>
        </w:p>
        <w:p w14:paraId="6241C90D" w14:textId="577B3F60"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83" w:history="1">
            <w:r w:rsidRPr="008410B2">
              <w:rPr>
                <w:rStyle w:val="Hyperlink"/>
                <w:rFonts w:cstheme="minorHAnsi"/>
                <w:noProof/>
              </w:rPr>
              <w:t>3. REDOVNO POSLOVANJE</w:t>
            </w:r>
            <w:r>
              <w:rPr>
                <w:noProof/>
                <w:webHidden/>
              </w:rPr>
              <w:tab/>
            </w:r>
            <w:r>
              <w:rPr>
                <w:noProof/>
                <w:webHidden/>
              </w:rPr>
              <w:fldChar w:fldCharType="begin"/>
            </w:r>
            <w:r>
              <w:rPr>
                <w:noProof/>
                <w:webHidden/>
              </w:rPr>
              <w:instrText xml:space="preserve"> PAGEREF _Toc200094283 \h </w:instrText>
            </w:r>
            <w:r>
              <w:rPr>
                <w:noProof/>
                <w:webHidden/>
              </w:rPr>
            </w:r>
            <w:r>
              <w:rPr>
                <w:noProof/>
                <w:webHidden/>
              </w:rPr>
              <w:fldChar w:fldCharType="separate"/>
            </w:r>
            <w:r w:rsidR="00A1075A">
              <w:rPr>
                <w:noProof/>
                <w:webHidden/>
              </w:rPr>
              <w:t>37</w:t>
            </w:r>
            <w:r>
              <w:rPr>
                <w:noProof/>
                <w:webHidden/>
              </w:rPr>
              <w:fldChar w:fldCharType="end"/>
            </w:r>
          </w:hyperlink>
        </w:p>
        <w:p w14:paraId="10CADFE0" w14:textId="30DCF762"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84" w:history="1">
            <w:r w:rsidRPr="008410B2">
              <w:rPr>
                <w:rStyle w:val="Hyperlink"/>
                <w:noProof/>
              </w:rPr>
              <w:t>3.1. Ostvareni prihodi u 2024. godini prema analitičkoj strukturi</w:t>
            </w:r>
            <w:r>
              <w:rPr>
                <w:noProof/>
                <w:webHidden/>
              </w:rPr>
              <w:tab/>
            </w:r>
            <w:r>
              <w:rPr>
                <w:noProof/>
                <w:webHidden/>
              </w:rPr>
              <w:fldChar w:fldCharType="begin"/>
            </w:r>
            <w:r>
              <w:rPr>
                <w:noProof/>
                <w:webHidden/>
              </w:rPr>
              <w:instrText xml:space="preserve"> PAGEREF _Toc200094284 \h </w:instrText>
            </w:r>
            <w:r>
              <w:rPr>
                <w:noProof/>
                <w:webHidden/>
              </w:rPr>
            </w:r>
            <w:r>
              <w:rPr>
                <w:noProof/>
                <w:webHidden/>
              </w:rPr>
              <w:fldChar w:fldCharType="separate"/>
            </w:r>
            <w:r w:rsidR="00A1075A">
              <w:rPr>
                <w:noProof/>
                <w:webHidden/>
              </w:rPr>
              <w:t>38</w:t>
            </w:r>
            <w:r>
              <w:rPr>
                <w:noProof/>
                <w:webHidden/>
              </w:rPr>
              <w:fldChar w:fldCharType="end"/>
            </w:r>
          </w:hyperlink>
        </w:p>
        <w:p w14:paraId="51FB5A48" w14:textId="4F3A03AB"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85" w:history="1">
            <w:r w:rsidRPr="008410B2">
              <w:rPr>
                <w:rStyle w:val="Hyperlink"/>
                <w:noProof/>
              </w:rPr>
              <w:t>3.2. Ostvareni rashodi u 2024. godini prema analitičkoj strukturi</w:t>
            </w:r>
            <w:r>
              <w:rPr>
                <w:noProof/>
                <w:webHidden/>
              </w:rPr>
              <w:tab/>
            </w:r>
            <w:r>
              <w:rPr>
                <w:noProof/>
                <w:webHidden/>
              </w:rPr>
              <w:fldChar w:fldCharType="begin"/>
            </w:r>
            <w:r>
              <w:rPr>
                <w:noProof/>
                <w:webHidden/>
              </w:rPr>
              <w:instrText xml:space="preserve"> PAGEREF _Toc200094285 \h </w:instrText>
            </w:r>
            <w:r>
              <w:rPr>
                <w:noProof/>
                <w:webHidden/>
              </w:rPr>
            </w:r>
            <w:r>
              <w:rPr>
                <w:noProof/>
                <w:webHidden/>
              </w:rPr>
              <w:fldChar w:fldCharType="separate"/>
            </w:r>
            <w:r w:rsidR="00A1075A">
              <w:rPr>
                <w:noProof/>
                <w:webHidden/>
              </w:rPr>
              <w:t>42</w:t>
            </w:r>
            <w:r>
              <w:rPr>
                <w:noProof/>
                <w:webHidden/>
              </w:rPr>
              <w:fldChar w:fldCharType="end"/>
            </w:r>
          </w:hyperlink>
        </w:p>
        <w:p w14:paraId="32C3680E" w14:textId="73CB2033"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86" w:history="1">
            <w:r w:rsidRPr="008410B2">
              <w:rPr>
                <w:rStyle w:val="Hyperlink"/>
                <w:noProof/>
              </w:rPr>
              <w:t>3.2.1.Troškovi sirovina i materijala</w:t>
            </w:r>
            <w:r>
              <w:rPr>
                <w:noProof/>
                <w:webHidden/>
              </w:rPr>
              <w:tab/>
            </w:r>
            <w:r>
              <w:rPr>
                <w:noProof/>
                <w:webHidden/>
              </w:rPr>
              <w:fldChar w:fldCharType="begin"/>
            </w:r>
            <w:r>
              <w:rPr>
                <w:noProof/>
                <w:webHidden/>
              </w:rPr>
              <w:instrText xml:space="preserve"> PAGEREF _Toc200094286 \h </w:instrText>
            </w:r>
            <w:r>
              <w:rPr>
                <w:noProof/>
                <w:webHidden/>
              </w:rPr>
            </w:r>
            <w:r>
              <w:rPr>
                <w:noProof/>
                <w:webHidden/>
              </w:rPr>
              <w:fldChar w:fldCharType="separate"/>
            </w:r>
            <w:r w:rsidR="00A1075A">
              <w:rPr>
                <w:noProof/>
                <w:webHidden/>
              </w:rPr>
              <w:t>43</w:t>
            </w:r>
            <w:r>
              <w:rPr>
                <w:noProof/>
                <w:webHidden/>
              </w:rPr>
              <w:fldChar w:fldCharType="end"/>
            </w:r>
          </w:hyperlink>
        </w:p>
        <w:p w14:paraId="0D7BAA25" w14:textId="42DD4E87"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87" w:history="1">
            <w:r w:rsidRPr="008410B2">
              <w:rPr>
                <w:rStyle w:val="Hyperlink"/>
                <w:noProof/>
              </w:rPr>
              <w:t>3.2.2.Ostali vanjski troškovi</w:t>
            </w:r>
            <w:r>
              <w:rPr>
                <w:noProof/>
                <w:webHidden/>
              </w:rPr>
              <w:tab/>
            </w:r>
            <w:r>
              <w:rPr>
                <w:noProof/>
                <w:webHidden/>
              </w:rPr>
              <w:fldChar w:fldCharType="begin"/>
            </w:r>
            <w:r>
              <w:rPr>
                <w:noProof/>
                <w:webHidden/>
              </w:rPr>
              <w:instrText xml:space="preserve"> PAGEREF _Toc200094287 \h </w:instrText>
            </w:r>
            <w:r>
              <w:rPr>
                <w:noProof/>
                <w:webHidden/>
              </w:rPr>
            </w:r>
            <w:r>
              <w:rPr>
                <w:noProof/>
                <w:webHidden/>
              </w:rPr>
              <w:fldChar w:fldCharType="separate"/>
            </w:r>
            <w:r w:rsidR="00A1075A">
              <w:rPr>
                <w:noProof/>
                <w:webHidden/>
              </w:rPr>
              <w:t>44</w:t>
            </w:r>
            <w:r>
              <w:rPr>
                <w:noProof/>
                <w:webHidden/>
              </w:rPr>
              <w:fldChar w:fldCharType="end"/>
            </w:r>
          </w:hyperlink>
        </w:p>
        <w:p w14:paraId="5C3B04BD" w14:textId="70D430AE"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88" w:history="1">
            <w:r w:rsidRPr="008410B2">
              <w:rPr>
                <w:rStyle w:val="Hyperlink"/>
                <w:noProof/>
              </w:rPr>
              <w:t>3.2.3.Troškovi osoblja</w:t>
            </w:r>
            <w:r>
              <w:rPr>
                <w:noProof/>
                <w:webHidden/>
              </w:rPr>
              <w:tab/>
            </w:r>
            <w:r>
              <w:rPr>
                <w:noProof/>
                <w:webHidden/>
              </w:rPr>
              <w:fldChar w:fldCharType="begin"/>
            </w:r>
            <w:r>
              <w:rPr>
                <w:noProof/>
                <w:webHidden/>
              </w:rPr>
              <w:instrText xml:space="preserve"> PAGEREF _Toc200094288 \h </w:instrText>
            </w:r>
            <w:r>
              <w:rPr>
                <w:noProof/>
                <w:webHidden/>
              </w:rPr>
            </w:r>
            <w:r>
              <w:rPr>
                <w:noProof/>
                <w:webHidden/>
              </w:rPr>
              <w:fldChar w:fldCharType="separate"/>
            </w:r>
            <w:r w:rsidR="00A1075A">
              <w:rPr>
                <w:noProof/>
                <w:webHidden/>
              </w:rPr>
              <w:t>53</w:t>
            </w:r>
            <w:r>
              <w:rPr>
                <w:noProof/>
                <w:webHidden/>
              </w:rPr>
              <w:fldChar w:fldCharType="end"/>
            </w:r>
          </w:hyperlink>
        </w:p>
        <w:p w14:paraId="5F31A272" w14:textId="513901B4"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89" w:history="1">
            <w:r w:rsidRPr="008410B2">
              <w:rPr>
                <w:rStyle w:val="Hyperlink"/>
                <w:noProof/>
              </w:rPr>
              <w:t>3.2.4.Trošak amortizacije</w:t>
            </w:r>
            <w:r>
              <w:rPr>
                <w:noProof/>
                <w:webHidden/>
              </w:rPr>
              <w:tab/>
            </w:r>
            <w:r>
              <w:rPr>
                <w:noProof/>
                <w:webHidden/>
              </w:rPr>
              <w:fldChar w:fldCharType="begin"/>
            </w:r>
            <w:r>
              <w:rPr>
                <w:noProof/>
                <w:webHidden/>
              </w:rPr>
              <w:instrText xml:space="preserve"> PAGEREF _Toc200094289 \h </w:instrText>
            </w:r>
            <w:r>
              <w:rPr>
                <w:noProof/>
                <w:webHidden/>
              </w:rPr>
            </w:r>
            <w:r>
              <w:rPr>
                <w:noProof/>
                <w:webHidden/>
              </w:rPr>
              <w:fldChar w:fldCharType="separate"/>
            </w:r>
            <w:r w:rsidR="00A1075A">
              <w:rPr>
                <w:noProof/>
                <w:webHidden/>
              </w:rPr>
              <w:t>53</w:t>
            </w:r>
            <w:r>
              <w:rPr>
                <w:noProof/>
                <w:webHidden/>
              </w:rPr>
              <w:fldChar w:fldCharType="end"/>
            </w:r>
          </w:hyperlink>
        </w:p>
        <w:p w14:paraId="0E31DCD0" w14:textId="7BFF3D5F"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0" w:history="1">
            <w:r w:rsidRPr="008410B2">
              <w:rPr>
                <w:rStyle w:val="Hyperlink"/>
                <w:noProof/>
              </w:rPr>
              <w:t>3.2.5.Ostali troškovi poslovanja</w:t>
            </w:r>
            <w:r>
              <w:rPr>
                <w:noProof/>
                <w:webHidden/>
              </w:rPr>
              <w:tab/>
            </w:r>
            <w:r>
              <w:rPr>
                <w:noProof/>
                <w:webHidden/>
              </w:rPr>
              <w:fldChar w:fldCharType="begin"/>
            </w:r>
            <w:r>
              <w:rPr>
                <w:noProof/>
                <w:webHidden/>
              </w:rPr>
              <w:instrText xml:space="preserve"> PAGEREF _Toc200094290 \h </w:instrText>
            </w:r>
            <w:r>
              <w:rPr>
                <w:noProof/>
                <w:webHidden/>
              </w:rPr>
            </w:r>
            <w:r>
              <w:rPr>
                <w:noProof/>
                <w:webHidden/>
              </w:rPr>
              <w:fldChar w:fldCharType="separate"/>
            </w:r>
            <w:r w:rsidR="00A1075A">
              <w:rPr>
                <w:noProof/>
                <w:webHidden/>
              </w:rPr>
              <w:t>54</w:t>
            </w:r>
            <w:r>
              <w:rPr>
                <w:noProof/>
                <w:webHidden/>
              </w:rPr>
              <w:fldChar w:fldCharType="end"/>
            </w:r>
          </w:hyperlink>
        </w:p>
        <w:p w14:paraId="29F0D288" w14:textId="4AB5EE10"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1" w:history="1">
            <w:r w:rsidRPr="008410B2">
              <w:rPr>
                <w:rStyle w:val="Hyperlink"/>
                <w:noProof/>
              </w:rPr>
              <w:t>3.2.6. Vrijednosna usklađenja</w:t>
            </w:r>
            <w:r>
              <w:rPr>
                <w:noProof/>
                <w:webHidden/>
              </w:rPr>
              <w:tab/>
            </w:r>
            <w:r>
              <w:rPr>
                <w:noProof/>
                <w:webHidden/>
              </w:rPr>
              <w:fldChar w:fldCharType="begin"/>
            </w:r>
            <w:r>
              <w:rPr>
                <w:noProof/>
                <w:webHidden/>
              </w:rPr>
              <w:instrText xml:space="preserve"> PAGEREF _Toc200094291 \h </w:instrText>
            </w:r>
            <w:r>
              <w:rPr>
                <w:noProof/>
                <w:webHidden/>
              </w:rPr>
            </w:r>
            <w:r>
              <w:rPr>
                <w:noProof/>
                <w:webHidden/>
              </w:rPr>
              <w:fldChar w:fldCharType="separate"/>
            </w:r>
            <w:r w:rsidR="00A1075A">
              <w:rPr>
                <w:noProof/>
                <w:webHidden/>
              </w:rPr>
              <w:t>55</w:t>
            </w:r>
            <w:r>
              <w:rPr>
                <w:noProof/>
                <w:webHidden/>
              </w:rPr>
              <w:fldChar w:fldCharType="end"/>
            </w:r>
          </w:hyperlink>
        </w:p>
        <w:p w14:paraId="16C98360" w14:textId="3CA64FB7"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2" w:history="1">
            <w:r w:rsidRPr="008410B2">
              <w:rPr>
                <w:rStyle w:val="Hyperlink"/>
                <w:noProof/>
              </w:rPr>
              <w:t>3.2.7. Rezerviranja</w:t>
            </w:r>
            <w:r>
              <w:rPr>
                <w:noProof/>
                <w:webHidden/>
              </w:rPr>
              <w:tab/>
            </w:r>
            <w:r>
              <w:rPr>
                <w:noProof/>
                <w:webHidden/>
              </w:rPr>
              <w:fldChar w:fldCharType="begin"/>
            </w:r>
            <w:r>
              <w:rPr>
                <w:noProof/>
                <w:webHidden/>
              </w:rPr>
              <w:instrText xml:space="preserve"> PAGEREF _Toc200094292 \h </w:instrText>
            </w:r>
            <w:r>
              <w:rPr>
                <w:noProof/>
                <w:webHidden/>
              </w:rPr>
            </w:r>
            <w:r>
              <w:rPr>
                <w:noProof/>
                <w:webHidden/>
              </w:rPr>
              <w:fldChar w:fldCharType="separate"/>
            </w:r>
            <w:r w:rsidR="00A1075A">
              <w:rPr>
                <w:noProof/>
                <w:webHidden/>
              </w:rPr>
              <w:t>55</w:t>
            </w:r>
            <w:r>
              <w:rPr>
                <w:noProof/>
                <w:webHidden/>
              </w:rPr>
              <w:fldChar w:fldCharType="end"/>
            </w:r>
          </w:hyperlink>
        </w:p>
        <w:p w14:paraId="4BC1B6CB" w14:textId="48900CC8"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3" w:history="1">
            <w:r w:rsidRPr="008410B2">
              <w:rPr>
                <w:rStyle w:val="Hyperlink"/>
                <w:noProof/>
              </w:rPr>
              <w:t>3.2.8. Ostali poslovni rashodi</w:t>
            </w:r>
            <w:r>
              <w:rPr>
                <w:noProof/>
                <w:webHidden/>
              </w:rPr>
              <w:tab/>
            </w:r>
            <w:r>
              <w:rPr>
                <w:noProof/>
                <w:webHidden/>
              </w:rPr>
              <w:fldChar w:fldCharType="begin"/>
            </w:r>
            <w:r>
              <w:rPr>
                <w:noProof/>
                <w:webHidden/>
              </w:rPr>
              <w:instrText xml:space="preserve"> PAGEREF _Toc200094293 \h </w:instrText>
            </w:r>
            <w:r>
              <w:rPr>
                <w:noProof/>
                <w:webHidden/>
              </w:rPr>
            </w:r>
            <w:r>
              <w:rPr>
                <w:noProof/>
                <w:webHidden/>
              </w:rPr>
              <w:fldChar w:fldCharType="separate"/>
            </w:r>
            <w:r w:rsidR="00A1075A">
              <w:rPr>
                <w:noProof/>
                <w:webHidden/>
              </w:rPr>
              <w:t>56</w:t>
            </w:r>
            <w:r>
              <w:rPr>
                <w:noProof/>
                <w:webHidden/>
              </w:rPr>
              <w:fldChar w:fldCharType="end"/>
            </w:r>
          </w:hyperlink>
        </w:p>
        <w:p w14:paraId="618E5712" w14:textId="1DC38DCC"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4" w:history="1">
            <w:r w:rsidRPr="008410B2">
              <w:rPr>
                <w:rStyle w:val="Hyperlink"/>
                <w:noProof/>
              </w:rPr>
              <w:t>3.2.9. Financijski rashodi</w:t>
            </w:r>
            <w:r>
              <w:rPr>
                <w:noProof/>
                <w:webHidden/>
              </w:rPr>
              <w:tab/>
            </w:r>
            <w:r>
              <w:rPr>
                <w:noProof/>
                <w:webHidden/>
              </w:rPr>
              <w:fldChar w:fldCharType="begin"/>
            </w:r>
            <w:r>
              <w:rPr>
                <w:noProof/>
                <w:webHidden/>
              </w:rPr>
              <w:instrText xml:space="preserve"> PAGEREF _Toc200094294 \h </w:instrText>
            </w:r>
            <w:r>
              <w:rPr>
                <w:noProof/>
                <w:webHidden/>
              </w:rPr>
            </w:r>
            <w:r>
              <w:rPr>
                <w:noProof/>
                <w:webHidden/>
              </w:rPr>
              <w:fldChar w:fldCharType="separate"/>
            </w:r>
            <w:r w:rsidR="00A1075A">
              <w:rPr>
                <w:noProof/>
                <w:webHidden/>
              </w:rPr>
              <w:t>56</w:t>
            </w:r>
            <w:r>
              <w:rPr>
                <w:noProof/>
                <w:webHidden/>
              </w:rPr>
              <w:fldChar w:fldCharType="end"/>
            </w:r>
          </w:hyperlink>
        </w:p>
        <w:p w14:paraId="2CAF38C3" w14:textId="5AF7C168"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95" w:history="1">
            <w:r w:rsidRPr="008410B2">
              <w:rPr>
                <w:rStyle w:val="Hyperlink"/>
                <w:noProof/>
              </w:rPr>
              <w:t>4. INVESTICIJSKA ULAGANJA</w:t>
            </w:r>
            <w:r>
              <w:rPr>
                <w:noProof/>
                <w:webHidden/>
              </w:rPr>
              <w:tab/>
            </w:r>
            <w:r>
              <w:rPr>
                <w:noProof/>
                <w:webHidden/>
              </w:rPr>
              <w:fldChar w:fldCharType="begin"/>
            </w:r>
            <w:r>
              <w:rPr>
                <w:noProof/>
                <w:webHidden/>
              </w:rPr>
              <w:instrText xml:space="preserve"> PAGEREF _Toc200094295 \h </w:instrText>
            </w:r>
            <w:r>
              <w:rPr>
                <w:noProof/>
                <w:webHidden/>
              </w:rPr>
            </w:r>
            <w:r>
              <w:rPr>
                <w:noProof/>
                <w:webHidden/>
              </w:rPr>
              <w:fldChar w:fldCharType="separate"/>
            </w:r>
            <w:r w:rsidR="00A1075A">
              <w:rPr>
                <w:noProof/>
                <w:webHidden/>
              </w:rPr>
              <w:t>58</w:t>
            </w:r>
            <w:r>
              <w:rPr>
                <w:noProof/>
                <w:webHidden/>
              </w:rPr>
              <w:fldChar w:fldCharType="end"/>
            </w:r>
          </w:hyperlink>
        </w:p>
        <w:p w14:paraId="592167E8" w14:textId="04CAE0D9"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6" w:history="1">
            <w:r w:rsidRPr="008410B2">
              <w:rPr>
                <w:rStyle w:val="Hyperlink"/>
                <w:noProof/>
              </w:rPr>
              <w:t>4.1. Realizacija plana investicijskih ulaganja</w:t>
            </w:r>
            <w:r>
              <w:rPr>
                <w:noProof/>
                <w:webHidden/>
              </w:rPr>
              <w:tab/>
            </w:r>
            <w:r>
              <w:rPr>
                <w:noProof/>
                <w:webHidden/>
              </w:rPr>
              <w:fldChar w:fldCharType="begin"/>
            </w:r>
            <w:r>
              <w:rPr>
                <w:noProof/>
                <w:webHidden/>
              </w:rPr>
              <w:instrText xml:space="preserve"> PAGEREF _Toc200094296 \h </w:instrText>
            </w:r>
            <w:r>
              <w:rPr>
                <w:noProof/>
                <w:webHidden/>
              </w:rPr>
            </w:r>
            <w:r>
              <w:rPr>
                <w:noProof/>
                <w:webHidden/>
              </w:rPr>
              <w:fldChar w:fldCharType="separate"/>
            </w:r>
            <w:r w:rsidR="00A1075A">
              <w:rPr>
                <w:noProof/>
                <w:webHidden/>
              </w:rPr>
              <w:t>58</w:t>
            </w:r>
            <w:r>
              <w:rPr>
                <w:noProof/>
                <w:webHidden/>
              </w:rPr>
              <w:fldChar w:fldCharType="end"/>
            </w:r>
          </w:hyperlink>
        </w:p>
        <w:p w14:paraId="719C0BAA" w14:textId="5B0CE58B" w:rsidR="00EF2FC5" w:rsidRDefault="00EF2FC5" w:rsidP="00EF2FC5">
          <w:pPr>
            <w:pStyle w:val="TOC3"/>
            <w:tabs>
              <w:tab w:val="right" w:leader="dot" w:pos="9344"/>
            </w:tabs>
            <w:spacing w:line="240" w:lineRule="auto"/>
            <w:rPr>
              <w:rFonts w:eastAsiaTheme="minorEastAsia"/>
              <w:noProof/>
              <w:kern w:val="2"/>
              <w:sz w:val="24"/>
              <w:szCs w:val="24"/>
              <w:lang w:eastAsia="hr-HR"/>
              <w14:ligatures w14:val="standardContextual"/>
            </w:rPr>
          </w:pPr>
          <w:hyperlink w:anchor="_Toc200094297" w:history="1">
            <w:r w:rsidRPr="008410B2">
              <w:rPr>
                <w:rStyle w:val="Hyperlink"/>
                <w:rFonts w:cs="Calibri"/>
                <w:noProof/>
              </w:rPr>
              <w:t>4.2</w:t>
            </w:r>
            <w:r w:rsidRPr="008410B2">
              <w:rPr>
                <w:rStyle w:val="Hyperlink"/>
                <w:noProof/>
              </w:rPr>
              <w:t>. Povrat kredita Ministarstvu financija iz sredstava EIB-a</w:t>
            </w:r>
            <w:r>
              <w:rPr>
                <w:noProof/>
                <w:webHidden/>
              </w:rPr>
              <w:tab/>
            </w:r>
            <w:r>
              <w:rPr>
                <w:noProof/>
                <w:webHidden/>
              </w:rPr>
              <w:fldChar w:fldCharType="begin"/>
            </w:r>
            <w:r>
              <w:rPr>
                <w:noProof/>
                <w:webHidden/>
              </w:rPr>
              <w:instrText xml:space="preserve"> PAGEREF _Toc200094297 \h </w:instrText>
            </w:r>
            <w:r>
              <w:rPr>
                <w:noProof/>
                <w:webHidden/>
              </w:rPr>
            </w:r>
            <w:r>
              <w:rPr>
                <w:noProof/>
                <w:webHidden/>
              </w:rPr>
              <w:fldChar w:fldCharType="separate"/>
            </w:r>
            <w:r w:rsidR="00A1075A">
              <w:rPr>
                <w:noProof/>
                <w:webHidden/>
              </w:rPr>
              <w:t>60</w:t>
            </w:r>
            <w:r>
              <w:rPr>
                <w:noProof/>
                <w:webHidden/>
              </w:rPr>
              <w:fldChar w:fldCharType="end"/>
            </w:r>
          </w:hyperlink>
        </w:p>
        <w:p w14:paraId="0A78778A" w14:textId="550424C6" w:rsidR="00EF2FC5" w:rsidRDefault="00EF2FC5" w:rsidP="00EF2FC5">
          <w:pPr>
            <w:pStyle w:val="TOC2"/>
            <w:spacing w:line="240" w:lineRule="auto"/>
            <w:rPr>
              <w:rFonts w:eastAsiaTheme="minorEastAsia"/>
              <w:noProof/>
              <w:kern w:val="2"/>
              <w:sz w:val="24"/>
              <w:szCs w:val="24"/>
              <w:lang w:eastAsia="hr-HR"/>
              <w14:ligatures w14:val="standardContextual"/>
            </w:rPr>
          </w:pPr>
          <w:hyperlink w:anchor="_Toc200094298" w:history="1">
            <w:r w:rsidRPr="008410B2">
              <w:rPr>
                <w:rStyle w:val="Hyperlink"/>
                <w:noProof/>
              </w:rPr>
              <w:t>5. INSPEKCIJSKI NADZORI, IZVLAŠTENJA I SUDSKI POSTUPCI</w:t>
            </w:r>
            <w:r>
              <w:rPr>
                <w:noProof/>
                <w:webHidden/>
              </w:rPr>
              <w:tab/>
            </w:r>
            <w:r>
              <w:rPr>
                <w:noProof/>
                <w:webHidden/>
              </w:rPr>
              <w:fldChar w:fldCharType="begin"/>
            </w:r>
            <w:r>
              <w:rPr>
                <w:noProof/>
                <w:webHidden/>
              </w:rPr>
              <w:instrText xml:space="preserve"> PAGEREF _Toc200094298 \h </w:instrText>
            </w:r>
            <w:r>
              <w:rPr>
                <w:noProof/>
                <w:webHidden/>
              </w:rPr>
            </w:r>
            <w:r>
              <w:rPr>
                <w:noProof/>
                <w:webHidden/>
              </w:rPr>
              <w:fldChar w:fldCharType="separate"/>
            </w:r>
            <w:r w:rsidR="00A1075A">
              <w:rPr>
                <w:noProof/>
                <w:webHidden/>
              </w:rPr>
              <w:t>61</w:t>
            </w:r>
            <w:r>
              <w:rPr>
                <w:noProof/>
                <w:webHidden/>
              </w:rPr>
              <w:fldChar w:fldCharType="end"/>
            </w:r>
          </w:hyperlink>
        </w:p>
        <w:p w14:paraId="4A8EA97F" w14:textId="74B32649" w:rsidR="00EF2FC5" w:rsidRDefault="00EF2FC5" w:rsidP="00EF2FC5">
          <w:pPr>
            <w:pStyle w:val="TOC1"/>
            <w:rPr>
              <w:rFonts w:eastAsiaTheme="minorEastAsia"/>
              <w:noProof/>
              <w:kern w:val="2"/>
              <w:sz w:val="24"/>
              <w:szCs w:val="24"/>
              <w:lang w:eastAsia="hr-HR"/>
              <w14:ligatures w14:val="standardContextual"/>
            </w:rPr>
          </w:pPr>
          <w:hyperlink w:anchor="_Toc200094299" w:history="1">
            <w:r w:rsidRPr="008410B2">
              <w:rPr>
                <w:rStyle w:val="Hyperlink"/>
                <w:rFonts w:cstheme="minorHAnsi"/>
                <w:noProof/>
              </w:rPr>
              <w:t>Popis tablica:</w:t>
            </w:r>
            <w:r>
              <w:rPr>
                <w:noProof/>
                <w:webHidden/>
              </w:rPr>
              <w:tab/>
            </w:r>
            <w:r>
              <w:rPr>
                <w:noProof/>
                <w:webHidden/>
              </w:rPr>
              <w:fldChar w:fldCharType="begin"/>
            </w:r>
            <w:r>
              <w:rPr>
                <w:noProof/>
                <w:webHidden/>
              </w:rPr>
              <w:instrText xml:space="preserve"> PAGEREF _Toc200094299 \h </w:instrText>
            </w:r>
            <w:r>
              <w:rPr>
                <w:noProof/>
                <w:webHidden/>
              </w:rPr>
            </w:r>
            <w:r>
              <w:rPr>
                <w:noProof/>
                <w:webHidden/>
              </w:rPr>
              <w:fldChar w:fldCharType="separate"/>
            </w:r>
            <w:r w:rsidR="00A1075A">
              <w:rPr>
                <w:noProof/>
                <w:webHidden/>
              </w:rPr>
              <w:t>64</w:t>
            </w:r>
            <w:r>
              <w:rPr>
                <w:noProof/>
                <w:webHidden/>
              </w:rPr>
              <w:fldChar w:fldCharType="end"/>
            </w:r>
          </w:hyperlink>
        </w:p>
        <w:p w14:paraId="7B08BBBE" w14:textId="5E094819" w:rsidR="001A1065" w:rsidRPr="001C59D5" w:rsidRDefault="001A1065" w:rsidP="00367E52">
          <w:pPr>
            <w:spacing w:line="240" w:lineRule="auto"/>
            <w:rPr>
              <w:sz w:val="24"/>
              <w:szCs w:val="24"/>
            </w:rPr>
          </w:pPr>
          <w:r w:rsidRPr="001C59D5">
            <w:rPr>
              <w:b/>
              <w:bCs/>
              <w:noProof/>
              <w:sz w:val="24"/>
              <w:szCs w:val="24"/>
            </w:rPr>
            <w:fldChar w:fldCharType="end"/>
          </w:r>
        </w:p>
      </w:sdtContent>
    </w:sdt>
    <w:p w14:paraId="4F4DA9A1" w14:textId="26AB4934" w:rsidR="006E70DE" w:rsidRPr="00117EFF" w:rsidRDefault="006E70DE" w:rsidP="00281FBE">
      <w:pPr>
        <w:pStyle w:val="Heading1"/>
        <w:rPr>
          <w:rFonts w:cstheme="minorHAnsi"/>
          <w:sz w:val="24"/>
          <w:szCs w:val="24"/>
        </w:rPr>
      </w:pPr>
      <w:bookmarkStart w:id="1" w:name="_Toc200094264"/>
      <w:r w:rsidRPr="00117EFF">
        <w:rPr>
          <w:rFonts w:cstheme="minorHAnsi"/>
          <w:sz w:val="24"/>
          <w:szCs w:val="24"/>
        </w:rPr>
        <w:lastRenderedPageBreak/>
        <w:t>I. BILJEŠKE UZ TEMELJNA FINANCIJSKA IZVJEŠĆA</w:t>
      </w:r>
      <w:bookmarkEnd w:id="1"/>
    </w:p>
    <w:p w14:paraId="14241654" w14:textId="77777777" w:rsidR="00A21219" w:rsidRPr="001C59D5" w:rsidRDefault="00A21219" w:rsidP="00A21219"/>
    <w:p w14:paraId="61634CFB" w14:textId="77777777" w:rsidR="00140AEB" w:rsidRPr="00117EFF" w:rsidRDefault="00140AEB" w:rsidP="00140AEB">
      <w:pPr>
        <w:pStyle w:val="Heading2"/>
        <w:rPr>
          <w:rFonts w:asciiTheme="minorHAnsi" w:hAnsiTheme="minorHAnsi" w:cstheme="minorHAnsi"/>
          <w:szCs w:val="24"/>
        </w:rPr>
      </w:pPr>
      <w:bookmarkStart w:id="2" w:name="_Toc200094265"/>
      <w:r w:rsidRPr="00117EFF">
        <w:rPr>
          <w:rFonts w:asciiTheme="minorHAnsi" w:hAnsiTheme="minorHAnsi" w:cstheme="minorHAnsi"/>
          <w:szCs w:val="24"/>
        </w:rPr>
        <w:t>1. UVOD</w:t>
      </w:r>
      <w:bookmarkEnd w:id="2"/>
    </w:p>
    <w:p w14:paraId="398D1978" w14:textId="77777777" w:rsidR="00140AEB" w:rsidRPr="001C59D5" w:rsidRDefault="00140AEB" w:rsidP="00140AEB"/>
    <w:p w14:paraId="6A5ACD31" w14:textId="77777777" w:rsidR="00C12AEA" w:rsidRDefault="00140AEB" w:rsidP="00140AEB">
      <w:pPr>
        <w:pStyle w:val="NoSpacing"/>
        <w:spacing w:line="360" w:lineRule="auto"/>
        <w:jc w:val="both"/>
        <w:rPr>
          <w:rStyle w:val="Strong"/>
          <w:rFonts w:ascii="Calibri" w:hAnsi="Calibri" w:cs="Calibri"/>
          <w:b w:val="0"/>
          <w:bCs w:val="0"/>
          <w:szCs w:val="20"/>
        </w:rPr>
      </w:pPr>
      <w:r w:rsidRPr="00CA4637">
        <w:rPr>
          <w:rStyle w:val="Strong"/>
          <w:rFonts w:ascii="Calibri" w:hAnsi="Calibri" w:cs="Calibri"/>
          <w:b w:val="0"/>
          <w:bCs w:val="0"/>
          <w:szCs w:val="20"/>
        </w:rPr>
        <w:t>Društveni ugovor o osnivanju TD EKOPLUS d.o.o., društva s ograničenom odgovornošću za gospodarenje otpadom, zaključen je dana 29. lipnja 2000. godine. Trgovački sud u Rijeci je dana 22. veljače 2001. godine u Sudski registar upisao osnivanje Društva sa temeljnim kapitalom od 1</w:t>
      </w:r>
      <w:r w:rsidR="00CA4637" w:rsidRPr="00CA4637">
        <w:rPr>
          <w:rStyle w:val="Strong"/>
          <w:rFonts w:ascii="Calibri" w:hAnsi="Calibri" w:cs="Calibri"/>
          <w:b w:val="0"/>
          <w:bCs w:val="0"/>
          <w:szCs w:val="20"/>
        </w:rPr>
        <w:t>32.723 eura</w:t>
      </w:r>
      <w:r w:rsidRPr="00CA4637">
        <w:rPr>
          <w:rStyle w:val="Strong"/>
          <w:rFonts w:ascii="Calibri" w:hAnsi="Calibri" w:cs="Calibri"/>
          <w:b w:val="0"/>
          <w:bCs w:val="0"/>
          <w:szCs w:val="20"/>
        </w:rPr>
        <w:t>.</w:t>
      </w:r>
    </w:p>
    <w:p w14:paraId="7516D3BA" w14:textId="7A1224E8" w:rsidR="00140AEB" w:rsidRPr="00C12AEA" w:rsidRDefault="00140AEB" w:rsidP="00140AEB">
      <w:pPr>
        <w:pStyle w:val="NoSpacing"/>
        <w:spacing w:line="360" w:lineRule="auto"/>
        <w:jc w:val="both"/>
        <w:rPr>
          <w:rStyle w:val="Strong"/>
          <w:rFonts w:ascii="Calibri" w:hAnsi="Calibri" w:cs="Calibri"/>
          <w:b w:val="0"/>
          <w:bCs w:val="0"/>
          <w:szCs w:val="20"/>
        </w:rPr>
      </w:pPr>
      <w:r w:rsidRPr="00CA4637">
        <w:rPr>
          <w:rStyle w:val="Strong"/>
          <w:rFonts w:ascii="Calibri" w:hAnsi="Calibri" w:cs="Calibri"/>
          <w:b w:val="0"/>
          <w:bCs w:val="0"/>
          <w:szCs w:val="20"/>
        </w:rPr>
        <w:t>U prosincu 2006. godine u vlasničku strukturu TD Ekoplus ulazi novi član</w:t>
      </w:r>
      <w:r w:rsidR="00C12AEA">
        <w:rPr>
          <w:rStyle w:val="Strong"/>
          <w:rFonts w:ascii="Calibri" w:hAnsi="Calibri" w:cs="Calibri"/>
          <w:b w:val="0"/>
          <w:bCs w:val="0"/>
          <w:szCs w:val="20"/>
        </w:rPr>
        <w:t xml:space="preserve"> - </w:t>
      </w:r>
      <w:r w:rsidRPr="00CA4637">
        <w:rPr>
          <w:rStyle w:val="Strong"/>
          <w:rFonts w:ascii="Calibri" w:hAnsi="Calibri" w:cs="Calibri"/>
          <w:b w:val="0"/>
          <w:bCs w:val="0"/>
          <w:szCs w:val="20"/>
        </w:rPr>
        <w:t>Općina Viškovo</w:t>
      </w:r>
      <w:r w:rsidR="00C12AEA">
        <w:rPr>
          <w:rStyle w:val="Strong"/>
          <w:rFonts w:ascii="Calibri" w:hAnsi="Calibri" w:cs="Calibri"/>
          <w:b w:val="0"/>
          <w:bCs w:val="0"/>
          <w:szCs w:val="20"/>
        </w:rPr>
        <w:t xml:space="preserve"> - </w:t>
      </w:r>
      <w:r w:rsidRPr="00CA4637">
        <w:rPr>
          <w:rStyle w:val="Strong"/>
          <w:rFonts w:ascii="Calibri" w:hAnsi="Calibri" w:cs="Calibri"/>
          <w:b w:val="0"/>
          <w:bCs w:val="0"/>
          <w:szCs w:val="20"/>
        </w:rPr>
        <w:t xml:space="preserve">unosom zemljišta u vrijednosti </w:t>
      </w:r>
      <w:r w:rsidR="00CA4637" w:rsidRPr="00CA4637">
        <w:rPr>
          <w:rStyle w:val="Strong"/>
          <w:rFonts w:ascii="Calibri" w:hAnsi="Calibri" w:cs="Calibri"/>
          <w:b w:val="0"/>
          <w:bCs w:val="0"/>
          <w:szCs w:val="20"/>
        </w:rPr>
        <w:t>494.392 eura</w:t>
      </w:r>
      <w:r w:rsidRPr="00C12AEA">
        <w:rPr>
          <w:rStyle w:val="Strong"/>
          <w:rFonts w:ascii="Calibri" w:hAnsi="Calibri" w:cs="Calibri"/>
          <w:b w:val="0"/>
          <w:bCs w:val="0"/>
          <w:szCs w:val="20"/>
        </w:rPr>
        <w:t>. Stanje upisanog temeljnog kapitala na dan 31.12.202</w:t>
      </w:r>
      <w:r w:rsidR="00C12AEA" w:rsidRPr="00C12AEA">
        <w:rPr>
          <w:rStyle w:val="Strong"/>
          <w:rFonts w:ascii="Calibri" w:hAnsi="Calibri" w:cs="Calibri"/>
          <w:b w:val="0"/>
          <w:bCs w:val="0"/>
          <w:szCs w:val="20"/>
        </w:rPr>
        <w:t>4</w:t>
      </w:r>
      <w:r w:rsidRPr="00C12AEA">
        <w:rPr>
          <w:rStyle w:val="Strong"/>
          <w:rFonts w:ascii="Calibri" w:hAnsi="Calibri" w:cs="Calibri"/>
          <w:b w:val="0"/>
          <w:bCs w:val="0"/>
          <w:szCs w:val="20"/>
        </w:rPr>
        <w:t xml:space="preserve">. godine iznosi </w:t>
      </w:r>
      <w:r w:rsidR="00CA4637" w:rsidRPr="00C12AEA">
        <w:rPr>
          <w:rStyle w:val="Strong"/>
          <w:rFonts w:ascii="Calibri" w:hAnsi="Calibri" w:cs="Calibri"/>
          <w:b w:val="0"/>
          <w:bCs w:val="0"/>
          <w:szCs w:val="20"/>
        </w:rPr>
        <w:t>6.962.307 eura</w:t>
      </w:r>
      <w:r w:rsidRPr="00C12AEA">
        <w:rPr>
          <w:rStyle w:val="Strong"/>
          <w:rFonts w:ascii="Calibri" w:hAnsi="Calibri" w:cs="Calibri"/>
          <w:b w:val="0"/>
          <w:bCs w:val="0"/>
          <w:szCs w:val="20"/>
        </w:rPr>
        <w:t xml:space="preserve">, </w:t>
      </w:r>
      <w:r w:rsidR="00C12AEA">
        <w:rPr>
          <w:rStyle w:val="Strong"/>
          <w:rFonts w:ascii="Calibri" w:hAnsi="Calibri" w:cs="Calibri"/>
          <w:b w:val="0"/>
          <w:bCs w:val="0"/>
          <w:szCs w:val="20"/>
        </w:rPr>
        <w:t>o</w:t>
      </w:r>
      <w:r w:rsidR="00C12AEA" w:rsidRPr="00C12AEA">
        <w:rPr>
          <w:rStyle w:val="Strong"/>
          <w:rFonts w:ascii="Calibri" w:hAnsi="Calibri" w:cs="Calibri"/>
          <w:b w:val="0"/>
          <w:bCs w:val="0"/>
          <w:szCs w:val="20"/>
        </w:rPr>
        <w:t>d čega je 6.467.914 eura uplaćeno u novcu, a 494.392 eura u nekretninama.</w:t>
      </w:r>
    </w:p>
    <w:p w14:paraId="26BB8FE0" w14:textId="77777777" w:rsidR="00A14C1E" w:rsidRDefault="00A14C1E" w:rsidP="00840E6B">
      <w:pPr>
        <w:pStyle w:val="NormalWeb"/>
        <w:spacing w:before="0" w:beforeAutospacing="0" w:after="0" w:afterAutospacing="0" w:line="360" w:lineRule="auto"/>
        <w:rPr>
          <w:rStyle w:val="Strong"/>
          <w:rFonts w:ascii="Calibri" w:hAnsi="Calibri" w:cs="Calibri"/>
          <w:sz w:val="22"/>
          <w:szCs w:val="20"/>
          <w:lang w:val="hr-HR"/>
        </w:rPr>
      </w:pPr>
    </w:p>
    <w:p w14:paraId="3E603C3B" w14:textId="50DC1918" w:rsidR="00140AEB" w:rsidRPr="001C59D5" w:rsidRDefault="00140AEB" w:rsidP="00840E6B">
      <w:pPr>
        <w:pStyle w:val="NormalWeb"/>
        <w:spacing w:before="0" w:beforeAutospacing="0" w:after="0" w:afterAutospacing="0" w:line="360" w:lineRule="auto"/>
        <w:rPr>
          <w:rFonts w:ascii="Calibri" w:hAnsi="Calibri" w:cs="Calibri"/>
          <w:sz w:val="22"/>
          <w:szCs w:val="20"/>
          <w:lang w:val="hr-HR"/>
        </w:rPr>
      </w:pPr>
      <w:r w:rsidRPr="001C59D5">
        <w:rPr>
          <w:rStyle w:val="Strong"/>
          <w:rFonts w:ascii="Calibri" w:hAnsi="Calibri" w:cs="Calibri"/>
          <w:sz w:val="22"/>
          <w:szCs w:val="20"/>
          <w:lang w:val="hr-HR"/>
        </w:rPr>
        <w:t>Poslovni udjeli članova Društva iznose:</w:t>
      </w:r>
      <w:r w:rsidRPr="001C59D5">
        <w:rPr>
          <w:rFonts w:ascii="Calibri" w:hAnsi="Calibri" w:cs="Calibri"/>
          <w:sz w:val="22"/>
          <w:szCs w:val="20"/>
          <w:lang w:val="hr-HR"/>
        </w:rPr>
        <w:br/>
        <w:t>-  Primorsko-goranska  županija</w:t>
      </w:r>
      <w:r w:rsidRPr="001C59D5">
        <w:rPr>
          <w:rFonts w:ascii="Calibri" w:hAnsi="Calibri" w:cs="Calibri"/>
          <w:sz w:val="22"/>
          <w:szCs w:val="20"/>
          <w:lang w:val="hr-HR"/>
        </w:rPr>
        <w:tab/>
      </w:r>
      <w:r w:rsidRPr="001C59D5">
        <w:rPr>
          <w:rFonts w:ascii="Calibri" w:hAnsi="Calibri" w:cs="Calibri"/>
          <w:sz w:val="22"/>
          <w:szCs w:val="20"/>
          <w:lang w:val="hr-HR"/>
        </w:rPr>
        <w:tab/>
        <w:t>48,72 %</w:t>
      </w:r>
    </w:p>
    <w:p w14:paraId="0CF37A34" w14:textId="77777777" w:rsidR="00140AEB" w:rsidRPr="001C59D5" w:rsidRDefault="00140AEB" w:rsidP="00840E6B">
      <w:pPr>
        <w:pStyle w:val="NormalWeb"/>
        <w:spacing w:before="0" w:beforeAutospacing="0" w:after="0" w:afterAutospacing="0" w:line="360" w:lineRule="auto"/>
        <w:rPr>
          <w:rFonts w:ascii="Calibri" w:hAnsi="Calibri" w:cs="Calibri"/>
          <w:sz w:val="22"/>
          <w:szCs w:val="20"/>
          <w:lang w:val="hr-HR"/>
        </w:rPr>
      </w:pPr>
      <w:r w:rsidRPr="001C59D5">
        <w:rPr>
          <w:rFonts w:ascii="Calibri" w:hAnsi="Calibri" w:cs="Calibri"/>
          <w:sz w:val="22"/>
          <w:szCs w:val="20"/>
          <w:lang w:val="hr-HR"/>
        </w:rPr>
        <w:t>-  Grad Rijeka</w:t>
      </w:r>
      <w:r w:rsidRPr="001C59D5">
        <w:rPr>
          <w:rFonts w:ascii="Calibri" w:hAnsi="Calibri" w:cs="Calibri"/>
          <w:sz w:val="22"/>
          <w:szCs w:val="20"/>
          <w:lang w:val="hr-HR"/>
        </w:rPr>
        <w:tab/>
      </w:r>
      <w:r w:rsidRPr="001C59D5">
        <w:rPr>
          <w:rFonts w:ascii="Calibri" w:hAnsi="Calibri" w:cs="Calibri"/>
          <w:sz w:val="22"/>
          <w:szCs w:val="20"/>
          <w:lang w:val="hr-HR"/>
        </w:rPr>
        <w:tab/>
      </w:r>
      <w:r w:rsidRPr="001C59D5">
        <w:rPr>
          <w:rFonts w:ascii="Calibri" w:hAnsi="Calibri" w:cs="Calibri"/>
          <w:sz w:val="22"/>
          <w:szCs w:val="20"/>
          <w:lang w:val="hr-HR"/>
        </w:rPr>
        <w:tab/>
      </w:r>
      <w:r w:rsidRPr="001C59D5">
        <w:rPr>
          <w:rFonts w:ascii="Calibri" w:hAnsi="Calibri" w:cs="Calibri"/>
          <w:sz w:val="22"/>
          <w:szCs w:val="20"/>
          <w:lang w:val="hr-HR"/>
        </w:rPr>
        <w:tab/>
        <w:t>41,10 %</w:t>
      </w:r>
    </w:p>
    <w:p w14:paraId="73A3DD67" w14:textId="77777777" w:rsidR="00140AEB" w:rsidRPr="001C59D5" w:rsidRDefault="00140AEB" w:rsidP="00840E6B">
      <w:pPr>
        <w:pStyle w:val="NormalWeb"/>
        <w:spacing w:before="0" w:beforeAutospacing="0" w:after="0" w:afterAutospacing="0" w:line="360" w:lineRule="auto"/>
        <w:rPr>
          <w:rFonts w:ascii="Calibri" w:hAnsi="Calibri" w:cs="Calibri"/>
          <w:sz w:val="22"/>
          <w:szCs w:val="20"/>
          <w:lang w:val="hr-HR"/>
        </w:rPr>
      </w:pPr>
      <w:r w:rsidRPr="001C59D5">
        <w:rPr>
          <w:rFonts w:ascii="Calibri" w:hAnsi="Calibri" w:cs="Calibri"/>
          <w:sz w:val="22"/>
          <w:szCs w:val="20"/>
          <w:lang w:val="hr-HR"/>
        </w:rPr>
        <w:t>-  Općina Viškovo</w:t>
      </w:r>
      <w:r w:rsidRPr="001C59D5">
        <w:rPr>
          <w:rFonts w:ascii="Calibri" w:hAnsi="Calibri" w:cs="Calibri"/>
          <w:sz w:val="22"/>
          <w:szCs w:val="20"/>
          <w:lang w:val="hr-HR"/>
        </w:rPr>
        <w:tab/>
      </w:r>
      <w:r w:rsidRPr="001C59D5">
        <w:rPr>
          <w:rFonts w:ascii="Calibri" w:hAnsi="Calibri" w:cs="Calibri"/>
          <w:sz w:val="22"/>
          <w:szCs w:val="20"/>
          <w:lang w:val="hr-HR"/>
        </w:rPr>
        <w:tab/>
      </w:r>
      <w:r w:rsidRPr="001C59D5">
        <w:rPr>
          <w:rFonts w:ascii="Calibri" w:hAnsi="Calibri" w:cs="Calibri"/>
          <w:sz w:val="22"/>
          <w:szCs w:val="20"/>
          <w:lang w:val="hr-HR"/>
        </w:rPr>
        <w:tab/>
        <w:t xml:space="preserve">  8,00 %</w:t>
      </w:r>
    </w:p>
    <w:p w14:paraId="7071A151" w14:textId="77777777" w:rsidR="00140AEB" w:rsidRPr="001C59D5" w:rsidRDefault="00140AEB" w:rsidP="00840E6B">
      <w:pPr>
        <w:pStyle w:val="NormalWeb"/>
        <w:spacing w:before="0" w:beforeAutospacing="0" w:after="0" w:afterAutospacing="0" w:line="360" w:lineRule="auto"/>
        <w:rPr>
          <w:rFonts w:ascii="Calibri" w:hAnsi="Calibri" w:cs="Calibri"/>
          <w:sz w:val="22"/>
          <w:szCs w:val="20"/>
          <w:lang w:val="hr-HR"/>
        </w:rPr>
      </w:pPr>
      <w:r w:rsidRPr="001C59D5">
        <w:rPr>
          <w:rFonts w:ascii="Calibri" w:hAnsi="Calibri" w:cs="Calibri"/>
          <w:sz w:val="22"/>
          <w:szCs w:val="20"/>
          <w:lang w:val="hr-HR"/>
        </w:rPr>
        <w:t>-  KD Čistoća</w:t>
      </w:r>
      <w:r w:rsidRPr="001C59D5">
        <w:rPr>
          <w:rFonts w:ascii="Calibri" w:hAnsi="Calibri" w:cs="Calibri"/>
          <w:sz w:val="22"/>
          <w:szCs w:val="20"/>
          <w:lang w:val="hr-HR"/>
        </w:rPr>
        <w:tab/>
      </w:r>
      <w:r w:rsidRPr="001C59D5">
        <w:rPr>
          <w:rFonts w:ascii="Calibri" w:hAnsi="Calibri" w:cs="Calibri"/>
          <w:sz w:val="22"/>
          <w:szCs w:val="20"/>
          <w:lang w:val="hr-HR"/>
        </w:rPr>
        <w:tab/>
      </w:r>
      <w:r w:rsidRPr="001C59D5">
        <w:rPr>
          <w:rFonts w:ascii="Calibri" w:hAnsi="Calibri" w:cs="Calibri"/>
          <w:sz w:val="22"/>
          <w:szCs w:val="20"/>
          <w:lang w:val="hr-HR"/>
        </w:rPr>
        <w:tab/>
      </w:r>
      <w:r w:rsidRPr="001C59D5">
        <w:rPr>
          <w:rFonts w:ascii="Calibri" w:hAnsi="Calibri" w:cs="Calibri"/>
          <w:sz w:val="22"/>
          <w:szCs w:val="20"/>
          <w:lang w:val="hr-HR"/>
        </w:rPr>
        <w:tab/>
        <w:t xml:space="preserve">  2,18 %</w:t>
      </w:r>
    </w:p>
    <w:p w14:paraId="524685A7" w14:textId="77777777" w:rsidR="00140AEB" w:rsidRPr="001C59D5" w:rsidRDefault="00140AEB" w:rsidP="00140AEB">
      <w:pPr>
        <w:pStyle w:val="NormalWeb"/>
        <w:spacing w:before="0" w:beforeAutospacing="0" w:after="0" w:afterAutospacing="0" w:line="360" w:lineRule="auto"/>
        <w:rPr>
          <w:rFonts w:ascii="Calibri" w:hAnsi="Calibri" w:cs="Calibri"/>
          <w:sz w:val="22"/>
          <w:szCs w:val="20"/>
          <w:lang w:val="hr-HR"/>
        </w:rPr>
      </w:pPr>
    </w:p>
    <w:p w14:paraId="768240CA" w14:textId="77777777" w:rsidR="00140AEB" w:rsidRPr="001C59D5" w:rsidRDefault="00140AEB" w:rsidP="00140AEB">
      <w:pPr>
        <w:pStyle w:val="NormalWeb"/>
        <w:spacing w:before="0" w:beforeAutospacing="0" w:after="0" w:afterAutospacing="0" w:line="360" w:lineRule="auto"/>
        <w:rPr>
          <w:rFonts w:ascii="Calibri" w:hAnsi="Calibri" w:cs="Calibri"/>
          <w:b/>
          <w:bCs/>
          <w:sz w:val="22"/>
          <w:szCs w:val="20"/>
          <w:lang w:val="hr-HR"/>
        </w:rPr>
      </w:pPr>
      <w:r w:rsidRPr="001C59D5">
        <w:rPr>
          <w:rFonts w:ascii="Calibri" w:hAnsi="Calibri" w:cs="Calibri"/>
          <w:b/>
          <w:bCs/>
          <w:sz w:val="22"/>
          <w:szCs w:val="20"/>
          <w:lang w:val="hr-HR"/>
        </w:rPr>
        <w:t>Društvo je registrirano za obavljanje sljedećih djelatnosti:</w:t>
      </w:r>
    </w:p>
    <w:p w14:paraId="7DFC7F83" w14:textId="77777777" w:rsidR="00140AEB" w:rsidRPr="001C59D5" w:rsidRDefault="00140AEB" w:rsidP="00840E6B">
      <w:pPr>
        <w:pStyle w:val="NormalWeb"/>
        <w:numPr>
          <w:ilvl w:val="0"/>
          <w:numId w:val="1"/>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Reciklaža</w:t>
      </w:r>
    </w:p>
    <w:p w14:paraId="5AB4C7CA" w14:textId="77777777" w:rsidR="00140AEB" w:rsidRPr="001C59D5" w:rsidRDefault="00140AEB" w:rsidP="00840E6B">
      <w:pPr>
        <w:pStyle w:val="NormalWeb"/>
        <w:numPr>
          <w:ilvl w:val="1"/>
          <w:numId w:val="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Proizvodnja plina, distribucija plinovitih goriva distribucijskom mrežom</w:t>
      </w:r>
    </w:p>
    <w:p w14:paraId="64616C51" w14:textId="77777777" w:rsidR="00140AEB" w:rsidRPr="001C59D5" w:rsidRDefault="00140AEB" w:rsidP="00840E6B">
      <w:pPr>
        <w:pStyle w:val="NormalWeb"/>
        <w:numPr>
          <w:ilvl w:val="1"/>
          <w:numId w:val="3"/>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Opskrba parom i toplom vodom</w:t>
      </w:r>
    </w:p>
    <w:p w14:paraId="08855AC3" w14:textId="77777777" w:rsidR="00140AEB" w:rsidRPr="001C59D5" w:rsidRDefault="00140AEB" w:rsidP="00840E6B">
      <w:pPr>
        <w:pStyle w:val="NormalWeb"/>
        <w:spacing w:before="0" w:beforeAutospacing="0" w:after="0" w:afterAutospacing="0" w:line="360" w:lineRule="auto"/>
        <w:ind w:left="720"/>
        <w:jc w:val="both"/>
        <w:rPr>
          <w:rFonts w:ascii="Calibri" w:hAnsi="Calibri" w:cs="Calibri"/>
          <w:sz w:val="22"/>
          <w:szCs w:val="20"/>
          <w:lang w:val="hr-HR"/>
        </w:rPr>
      </w:pPr>
      <w:r w:rsidRPr="001C59D5">
        <w:rPr>
          <w:rFonts w:ascii="Calibri" w:hAnsi="Calibri" w:cs="Calibri"/>
          <w:sz w:val="22"/>
          <w:szCs w:val="20"/>
          <w:lang w:val="hr-HR"/>
        </w:rPr>
        <w:t>74.40    Promidžba (reklama i propaganda)</w:t>
      </w:r>
    </w:p>
    <w:p w14:paraId="7EF79D90" w14:textId="77777777" w:rsidR="00140AEB" w:rsidRPr="001C59D5" w:rsidRDefault="00140AEB" w:rsidP="00840E6B">
      <w:pPr>
        <w:pStyle w:val="NormalWeb"/>
        <w:spacing w:before="0" w:beforeAutospacing="0" w:after="0" w:afterAutospacing="0" w:line="360" w:lineRule="auto"/>
        <w:ind w:left="720"/>
        <w:jc w:val="both"/>
        <w:rPr>
          <w:rFonts w:ascii="Calibri" w:hAnsi="Calibri" w:cs="Calibri"/>
          <w:sz w:val="22"/>
          <w:szCs w:val="20"/>
          <w:lang w:val="hr-HR"/>
        </w:rPr>
      </w:pPr>
      <w:r w:rsidRPr="001C59D5">
        <w:rPr>
          <w:rFonts w:ascii="Calibri" w:hAnsi="Calibri" w:cs="Calibri"/>
          <w:sz w:val="22"/>
          <w:szCs w:val="20"/>
          <w:lang w:val="hr-HR"/>
        </w:rPr>
        <w:t>74.30</w:t>
      </w:r>
      <w:r w:rsidRPr="001C59D5">
        <w:rPr>
          <w:rFonts w:ascii="Calibri" w:hAnsi="Calibri" w:cs="Calibri"/>
          <w:sz w:val="22"/>
          <w:szCs w:val="20"/>
          <w:lang w:val="hr-HR"/>
        </w:rPr>
        <w:tab/>
        <w:t>Tehničko ispitivanje i analiza</w:t>
      </w:r>
    </w:p>
    <w:p w14:paraId="7C649C63" w14:textId="08126BA4"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Kupnja i prodaja robe i trgovačko posredovanje na domaćem i inozemnom tržištu</w:t>
      </w:r>
    </w:p>
    <w:p w14:paraId="3AD08491" w14:textId="34850884"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Proizvodnja električne energije</w:t>
      </w:r>
    </w:p>
    <w:p w14:paraId="6C7A793A" w14:textId="6EA47496"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Trgovina na veliko metalnim i nemetalnim ostacima i otpacima i materijalom za reciklažu</w:t>
      </w:r>
    </w:p>
    <w:p w14:paraId="31899C02" w14:textId="36198705"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Istraživanje i razvoj sustava gospodarenja otpadom</w:t>
      </w:r>
    </w:p>
    <w:p w14:paraId="0732CEF9" w14:textId="0C5D8D48"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Održavanje seminara iz područja gospodarenja otpadom</w:t>
      </w:r>
    </w:p>
    <w:p w14:paraId="433ADC8E" w14:textId="7C01BB0D"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Odlaganje komu. otpada: obrađivanje i trajno odlaganje komunalnog otpada na odlagališta komunalnog otpada te saniranje i zatvaranje odlagališta, na temelju posebnih propisa</w:t>
      </w:r>
    </w:p>
    <w:p w14:paraId="442C12F8" w14:textId="6971CEE4"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Zbrinjavanje otpada</w:t>
      </w:r>
    </w:p>
    <w:p w14:paraId="69E096B2" w14:textId="4E1AF3B1"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Oporaba otpada</w:t>
      </w:r>
    </w:p>
    <w:p w14:paraId="68022C5D" w14:textId="7B03B898"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Gospodarenje posebnim kategorijama otpada</w:t>
      </w:r>
    </w:p>
    <w:p w14:paraId="366CD5BC" w14:textId="58CDA39E" w:rsidR="00140AEB" w:rsidRPr="001C59D5" w:rsidRDefault="00140AEB">
      <w:pPr>
        <w:pStyle w:val="NormalWeb"/>
        <w:numPr>
          <w:ilvl w:val="0"/>
          <w:numId w:val="12"/>
        </w:numPr>
        <w:spacing w:before="0" w:beforeAutospacing="0" w:after="0" w:afterAutospacing="0" w:line="360" w:lineRule="auto"/>
        <w:jc w:val="both"/>
        <w:rPr>
          <w:rFonts w:ascii="Calibri" w:hAnsi="Calibri" w:cs="Calibri"/>
          <w:sz w:val="22"/>
          <w:szCs w:val="20"/>
          <w:lang w:val="hr-HR"/>
        </w:rPr>
      </w:pPr>
      <w:r w:rsidRPr="001C59D5">
        <w:rPr>
          <w:rFonts w:ascii="Calibri" w:hAnsi="Calibri" w:cs="Calibri"/>
          <w:sz w:val="22"/>
          <w:szCs w:val="20"/>
          <w:lang w:val="hr-HR"/>
        </w:rPr>
        <w:t>Skladištenje otpada</w:t>
      </w:r>
    </w:p>
    <w:p w14:paraId="085060FF" w14:textId="32037DB7" w:rsidR="00140AEB" w:rsidRPr="001C59D5" w:rsidRDefault="00814661">
      <w:pPr>
        <w:pStyle w:val="Default"/>
        <w:numPr>
          <w:ilvl w:val="0"/>
          <w:numId w:val="12"/>
        </w:numPr>
        <w:spacing w:line="360" w:lineRule="auto"/>
        <w:jc w:val="both"/>
        <w:rPr>
          <w:rFonts w:asciiTheme="minorHAnsi" w:hAnsiTheme="minorHAnsi" w:cstheme="minorHAnsi"/>
          <w:sz w:val="22"/>
          <w:szCs w:val="22"/>
        </w:rPr>
      </w:pPr>
      <w:r>
        <w:rPr>
          <w:rFonts w:asciiTheme="minorHAnsi" w:hAnsiTheme="minorHAnsi" w:cstheme="minorHAnsi"/>
          <w:sz w:val="22"/>
          <w:szCs w:val="22"/>
        </w:rPr>
        <w:t>P</w:t>
      </w:r>
      <w:r w:rsidR="00140AEB" w:rsidRPr="001C59D5">
        <w:rPr>
          <w:rFonts w:asciiTheme="minorHAnsi" w:hAnsiTheme="minorHAnsi" w:cstheme="minorHAnsi"/>
          <w:sz w:val="22"/>
          <w:szCs w:val="22"/>
        </w:rPr>
        <w:t xml:space="preserve">rijevoz otpada </w:t>
      </w:r>
    </w:p>
    <w:p w14:paraId="0EA5C5FF" w14:textId="0A30DBFD" w:rsidR="00140AEB" w:rsidRPr="001C59D5" w:rsidRDefault="00814661">
      <w:pPr>
        <w:pStyle w:val="Default"/>
        <w:numPr>
          <w:ilvl w:val="0"/>
          <w:numId w:val="12"/>
        </w:numPr>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S</w:t>
      </w:r>
      <w:r w:rsidR="00140AEB" w:rsidRPr="001C59D5">
        <w:rPr>
          <w:rFonts w:asciiTheme="minorHAnsi" w:hAnsiTheme="minorHAnsi" w:cstheme="minorHAnsi"/>
          <w:color w:val="auto"/>
          <w:sz w:val="22"/>
          <w:szCs w:val="22"/>
        </w:rPr>
        <w:t xml:space="preserve">avjetovanje u vezi s poslovanjem i ostalim upravljanjem </w:t>
      </w:r>
    </w:p>
    <w:p w14:paraId="08A97353" w14:textId="4F507CED" w:rsidR="00140AEB" w:rsidRDefault="00814661">
      <w:pPr>
        <w:pStyle w:val="NormalWeb"/>
        <w:numPr>
          <w:ilvl w:val="0"/>
          <w:numId w:val="12"/>
        </w:numPr>
        <w:spacing w:before="0" w:beforeAutospacing="0" w:after="0" w:afterAutospacing="0" w:line="360" w:lineRule="auto"/>
        <w:jc w:val="both"/>
        <w:rPr>
          <w:rFonts w:asciiTheme="minorHAnsi" w:hAnsiTheme="minorHAnsi" w:cstheme="minorHAnsi"/>
          <w:sz w:val="22"/>
          <w:szCs w:val="22"/>
          <w:lang w:val="hr-HR"/>
        </w:rPr>
      </w:pPr>
      <w:r>
        <w:rPr>
          <w:rFonts w:asciiTheme="minorHAnsi" w:hAnsiTheme="minorHAnsi" w:cstheme="minorHAnsi"/>
          <w:sz w:val="22"/>
          <w:szCs w:val="22"/>
          <w:lang w:val="hr-HR"/>
        </w:rPr>
        <w:t>I</w:t>
      </w:r>
      <w:r w:rsidR="00140AEB" w:rsidRPr="001C59D5">
        <w:rPr>
          <w:rFonts w:asciiTheme="minorHAnsi" w:hAnsiTheme="minorHAnsi" w:cstheme="minorHAnsi"/>
          <w:sz w:val="22"/>
          <w:szCs w:val="22"/>
          <w:lang w:val="hr-HR"/>
        </w:rPr>
        <w:t>nženjerstvo i s njim povezano tehničko savjetovanje</w:t>
      </w:r>
    </w:p>
    <w:p w14:paraId="6998F04C" w14:textId="230C4FBE" w:rsidR="00406404" w:rsidRPr="008B46A5" w:rsidRDefault="00814661">
      <w:pPr>
        <w:pStyle w:val="NormalWeb"/>
        <w:numPr>
          <w:ilvl w:val="0"/>
          <w:numId w:val="12"/>
        </w:numPr>
        <w:spacing w:before="0" w:beforeAutospacing="0" w:after="0" w:afterAutospacing="0" w:line="360" w:lineRule="auto"/>
        <w:jc w:val="both"/>
        <w:rPr>
          <w:rFonts w:asciiTheme="minorHAnsi" w:hAnsiTheme="minorHAnsi" w:cstheme="minorHAnsi"/>
          <w:sz w:val="22"/>
          <w:szCs w:val="22"/>
          <w:lang w:val="hr-HR"/>
        </w:rPr>
      </w:pPr>
      <w:r>
        <w:rPr>
          <w:rFonts w:asciiTheme="minorHAnsi" w:hAnsiTheme="minorHAnsi" w:cstheme="minorHAnsi"/>
          <w:sz w:val="22"/>
          <w:szCs w:val="22"/>
          <w:lang w:val="hr-HR"/>
        </w:rPr>
        <w:t>P</w:t>
      </w:r>
      <w:r w:rsidR="00406404" w:rsidRPr="008B46A5">
        <w:rPr>
          <w:rFonts w:asciiTheme="minorHAnsi" w:hAnsiTheme="minorHAnsi" w:cstheme="minorHAnsi"/>
          <w:sz w:val="22"/>
          <w:szCs w:val="22"/>
          <w:lang w:val="hr-HR"/>
        </w:rPr>
        <w:t>roizvodnja, promet i korištenje opasnih kemikalija</w:t>
      </w:r>
    </w:p>
    <w:p w14:paraId="6996F528" w14:textId="77777777" w:rsidR="00140AEB" w:rsidRDefault="00140AEB" w:rsidP="00140AEB">
      <w:pPr>
        <w:pStyle w:val="NormalWeb"/>
        <w:spacing w:before="0" w:beforeAutospacing="0" w:after="0" w:afterAutospacing="0" w:line="360" w:lineRule="auto"/>
        <w:jc w:val="both"/>
        <w:rPr>
          <w:rStyle w:val="Strong"/>
          <w:rFonts w:ascii="Calibri" w:hAnsi="Calibri" w:cs="Calibri"/>
          <w:sz w:val="22"/>
          <w:szCs w:val="22"/>
          <w:lang w:val="hr-HR"/>
        </w:rPr>
      </w:pPr>
    </w:p>
    <w:p w14:paraId="61D29B03" w14:textId="518800E3" w:rsidR="00140AEB" w:rsidRDefault="00140AEB" w:rsidP="00140AEB">
      <w:pPr>
        <w:pStyle w:val="NormalWeb"/>
        <w:spacing w:before="0" w:beforeAutospacing="0" w:after="0" w:afterAutospacing="0" w:line="360" w:lineRule="auto"/>
        <w:jc w:val="both"/>
        <w:rPr>
          <w:rFonts w:ascii="Calibri" w:hAnsi="Calibri" w:cs="Calibri"/>
          <w:b/>
          <w:sz w:val="20"/>
          <w:szCs w:val="20"/>
          <w:lang w:val="hr-HR"/>
        </w:rPr>
      </w:pPr>
      <w:r w:rsidRPr="001C59D5">
        <w:rPr>
          <w:rStyle w:val="Strong"/>
          <w:rFonts w:ascii="Calibri" w:hAnsi="Calibri" w:cs="Calibri"/>
          <w:sz w:val="22"/>
          <w:szCs w:val="22"/>
          <w:lang w:val="hr-HR"/>
        </w:rPr>
        <w:t>Organi Društva</w:t>
      </w:r>
      <w:r w:rsidRPr="001C59D5">
        <w:rPr>
          <w:rFonts w:ascii="Calibri" w:hAnsi="Calibri" w:cs="Calibri"/>
          <w:sz w:val="22"/>
          <w:szCs w:val="22"/>
          <w:lang w:val="hr-HR"/>
        </w:rPr>
        <w:t xml:space="preserve"> </w:t>
      </w:r>
      <w:r w:rsidRPr="001C59D5">
        <w:rPr>
          <w:rFonts w:ascii="Calibri" w:hAnsi="Calibri" w:cs="Calibri"/>
          <w:b/>
          <w:sz w:val="22"/>
          <w:szCs w:val="22"/>
          <w:lang w:val="hr-HR"/>
        </w:rPr>
        <w:t>su:</w:t>
      </w:r>
      <w:r w:rsidRPr="001C59D5">
        <w:rPr>
          <w:rFonts w:ascii="Calibri" w:hAnsi="Calibri" w:cs="Calibri"/>
          <w:b/>
          <w:sz w:val="20"/>
          <w:szCs w:val="20"/>
          <w:lang w:val="hr-HR"/>
        </w:rPr>
        <w:tab/>
      </w:r>
    </w:p>
    <w:p w14:paraId="1EAC8492" w14:textId="77777777" w:rsidR="00FE097A" w:rsidRPr="001C59D5" w:rsidRDefault="00FE097A" w:rsidP="00140AEB">
      <w:pPr>
        <w:pStyle w:val="NormalWeb"/>
        <w:spacing w:before="0" w:beforeAutospacing="0" w:after="0" w:afterAutospacing="0" w:line="360" w:lineRule="auto"/>
        <w:jc w:val="both"/>
        <w:rPr>
          <w:rFonts w:ascii="Calibri" w:hAnsi="Calibri" w:cs="Calibri"/>
          <w:b/>
          <w:sz w:val="20"/>
          <w:szCs w:val="20"/>
          <w:lang w:val="hr-HR"/>
        </w:rPr>
      </w:pPr>
    </w:p>
    <w:p w14:paraId="6791B614" w14:textId="77777777" w:rsidR="00140AEB" w:rsidRPr="001C59D5" w:rsidRDefault="00140AEB" w:rsidP="00FE097A">
      <w:pPr>
        <w:pStyle w:val="NoSpacing"/>
        <w:spacing w:line="360" w:lineRule="auto"/>
        <w:jc w:val="both"/>
        <w:rPr>
          <w:rStyle w:val="Strong"/>
          <w:rFonts w:ascii="Calibri" w:hAnsi="Calibri" w:cs="Calibri"/>
          <w:b w:val="0"/>
          <w:bCs w:val="0"/>
          <w:iCs/>
        </w:rPr>
      </w:pPr>
      <w:r w:rsidRPr="00093CBA">
        <w:rPr>
          <w:rStyle w:val="Strong"/>
          <w:rFonts w:ascii="Calibri" w:hAnsi="Calibri" w:cs="Calibri"/>
          <w:iCs/>
        </w:rPr>
        <w:t>Skupština</w:t>
      </w:r>
      <w:r w:rsidRPr="001C59D5">
        <w:rPr>
          <w:rStyle w:val="Strong"/>
          <w:rFonts w:ascii="Calibri" w:hAnsi="Calibri" w:cs="Calibri"/>
          <w:b w:val="0"/>
          <w:bCs w:val="0"/>
          <w:iCs/>
        </w:rPr>
        <w:t xml:space="preserve"> – čine ju predstavnici osnivača:</w:t>
      </w:r>
    </w:p>
    <w:p w14:paraId="5C02FDFF" w14:textId="0300F54E" w:rsidR="00140AEB" w:rsidRPr="001C59D5" w:rsidRDefault="00140AEB">
      <w:pPr>
        <w:pStyle w:val="NoSpacing"/>
        <w:numPr>
          <w:ilvl w:val="0"/>
          <w:numId w:val="6"/>
        </w:numPr>
        <w:spacing w:line="360" w:lineRule="auto"/>
        <w:jc w:val="both"/>
        <w:rPr>
          <w:rStyle w:val="Strong"/>
          <w:rFonts w:ascii="Calibri" w:hAnsi="Calibri" w:cs="Calibri"/>
          <w:b w:val="0"/>
          <w:bCs w:val="0"/>
          <w:iCs/>
        </w:rPr>
      </w:pPr>
      <w:r w:rsidRPr="001C59D5">
        <w:rPr>
          <w:szCs w:val="20"/>
        </w:rPr>
        <w:t>Primorsko-goranske županije</w:t>
      </w:r>
    </w:p>
    <w:p w14:paraId="79D70C94" w14:textId="7A1C33DC" w:rsidR="00140AEB" w:rsidRPr="001C59D5" w:rsidRDefault="00140AEB">
      <w:pPr>
        <w:pStyle w:val="NoSpacing"/>
        <w:numPr>
          <w:ilvl w:val="0"/>
          <w:numId w:val="7"/>
        </w:numPr>
        <w:spacing w:line="360" w:lineRule="auto"/>
        <w:jc w:val="both"/>
        <w:rPr>
          <w:rStyle w:val="Strong"/>
          <w:rFonts w:ascii="Calibri" w:hAnsi="Calibri" w:cs="Calibri"/>
          <w:b w:val="0"/>
          <w:bCs w:val="0"/>
          <w:iCs/>
        </w:rPr>
      </w:pPr>
      <w:r w:rsidRPr="001C59D5">
        <w:rPr>
          <w:rStyle w:val="Strong"/>
          <w:rFonts w:ascii="Calibri" w:hAnsi="Calibri" w:cs="Calibri"/>
          <w:b w:val="0"/>
          <w:bCs w:val="0"/>
          <w:iCs/>
        </w:rPr>
        <w:t>Grada Rijeke</w:t>
      </w:r>
      <w:r w:rsidRPr="001C59D5">
        <w:rPr>
          <w:rStyle w:val="Strong"/>
          <w:rFonts w:ascii="Calibri" w:hAnsi="Calibri" w:cs="Calibri"/>
          <w:b w:val="0"/>
          <w:bCs w:val="0"/>
          <w:iCs/>
        </w:rPr>
        <w:tab/>
      </w:r>
    </w:p>
    <w:p w14:paraId="4A0A8E04" w14:textId="26FE8592" w:rsidR="00140AEB" w:rsidRPr="001C59D5" w:rsidRDefault="00140AEB">
      <w:pPr>
        <w:pStyle w:val="NoSpacing"/>
        <w:numPr>
          <w:ilvl w:val="2"/>
          <w:numId w:val="8"/>
        </w:numPr>
        <w:spacing w:line="360" w:lineRule="auto"/>
        <w:jc w:val="both"/>
        <w:rPr>
          <w:rStyle w:val="Strong"/>
          <w:rFonts w:ascii="Calibri" w:hAnsi="Calibri" w:cs="Calibri"/>
          <w:b w:val="0"/>
          <w:bCs w:val="0"/>
          <w:iCs/>
        </w:rPr>
      </w:pPr>
      <w:r w:rsidRPr="001C59D5">
        <w:rPr>
          <w:rStyle w:val="Strong"/>
          <w:rFonts w:ascii="Calibri" w:hAnsi="Calibri" w:cs="Calibri"/>
          <w:b w:val="0"/>
          <w:bCs w:val="0"/>
          <w:iCs/>
        </w:rPr>
        <w:t>Općine Viškovo</w:t>
      </w:r>
    </w:p>
    <w:p w14:paraId="24F5B8FE" w14:textId="0D56F541" w:rsidR="00FE097A" w:rsidRDefault="00140AEB">
      <w:pPr>
        <w:pStyle w:val="NoSpacing"/>
        <w:numPr>
          <w:ilvl w:val="2"/>
          <w:numId w:val="9"/>
        </w:numPr>
        <w:spacing w:line="360" w:lineRule="auto"/>
        <w:jc w:val="both"/>
        <w:rPr>
          <w:rStyle w:val="Strong"/>
          <w:rFonts w:ascii="Calibri" w:hAnsi="Calibri" w:cs="Calibri"/>
          <w:b w:val="0"/>
          <w:bCs w:val="0"/>
          <w:iCs/>
        </w:rPr>
      </w:pPr>
      <w:r w:rsidRPr="001C59D5">
        <w:rPr>
          <w:rStyle w:val="Strong"/>
          <w:rFonts w:ascii="Calibri" w:hAnsi="Calibri" w:cs="Calibri"/>
          <w:b w:val="0"/>
          <w:bCs w:val="0"/>
          <w:iCs/>
        </w:rPr>
        <w:t>KD Čistoća</w:t>
      </w:r>
    </w:p>
    <w:p w14:paraId="6AA2734E" w14:textId="77777777" w:rsidR="00FE097A" w:rsidRDefault="00FE097A" w:rsidP="00FE097A">
      <w:pPr>
        <w:pStyle w:val="NoSpacing"/>
        <w:spacing w:line="360" w:lineRule="auto"/>
        <w:jc w:val="both"/>
        <w:rPr>
          <w:rStyle w:val="Strong"/>
          <w:rFonts w:ascii="Calibri" w:hAnsi="Calibri" w:cs="Calibri"/>
          <w:b w:val="0"/>
          <w:bCs w:val="0"/>
          <w:iCs/>
        </w:rPr>
      </w:pPr>
    </w:p>
    <w:p w14:paraId="08A72CB0" w14:textId="77777777" w:rsidR="00093CBA" w:rsidRPr="00093CBA" w:rsidRDefault="00093CBA" w:rsidP="00093CBA">
      <w:pPr>
        <w:pStyle w:val="NoSpacing"/>
        <w:spacing w:line="360" w:lineRule="auto"/>
        <w:jc w:val="both"/>
        <w:rPr>
          <w:rFonts w:ascii="Calibri" w:hAnsi="Calibri" w:cs="Calibri"/>
          <w:b/>
          <w:bCs/>
          <w:iCs/>
          <w:color w:val="000000" w:themeColor="text1"/>
        </w:rPr>
      </w:pPr>
      <w:bookmarkStart w:id="3" w:name="_Hlk102458913"/>
      <w:r w:rsidRPr="00093CBA">
        <w:rPr>
          <w:rFonts w:ascii="Calibri" w:hAnsi="Calibri" w:cs="Calibri"/>
          <w:b/>
          <w:bCs/>
          <w:iCs/>
          <w:color w:val="000000" w:themeColor="text1"/>
        </w:rPr>
        <w:t>Članovi Skupštine u 2024. godini:</w:t>
      </w:r>
    </w:p>
    <w:p w14:paraId="1638B0ED" w14:textId="581D8BD3" w:rsidR="00093CBA" w:rsidRPr="00093CBA" w:rsidRDefault="00093CBA">
      <w:pPr>
        <w:pStyle w:val="NoSpacing"/>
        <w:numPr>
          <w:ilvl w:val="2"/>
          <w:numId w:val="13"/>
        </w:numPr>
        <w:spacing w:line="360" w:lineRule="auto"/>
        <w:jc w:val="both"/>
        <w:rPr>
          <w:rFonts w:ascii="Calibri" w:hAnsi="Calibri" w:cs="Calibri"/>
          <w:iCs/>
          <w:color w:val="000000" w:themeColor="text1"/>
        </w:rPr>
      </w:pPr>
      <w:r w:rsidRPr="00093CBA">
        <w:rPr>
          <w:rFonts w:ascii="Calibri" w:hAnsi="Calibri" w:cs="Calibri"/>
          <w:iCs/>
          <w:color w:val="000000" w:themeColor="text1"/>
        </w:rPr>
        <w:t>Sanja Udović – predsjednica Skupštine, načelnica Općine Viškovo</w:t>
      </w:r>
    </w:p>
    <w:p w14:paraId="17E82567" w14:textId="0089FEFD" w:rsidR="00093CBA" w:rsidRPr="00093CBA" w:rsidRDefault="00093CBA">
      <w:pPr>
        <w:pStyle w:val="NoSpacing"/>
        <w:numPr>
          <w:ilvl w:val="2"/>
          <w:numId w:val="13"/>
        </w:numPr>
        <w:spacing w:line="360" w:lineRule="auto"/>
        <w:jc w:val="both"/>
        <w:rPr>
          <w:rFonts w:ascii="Calibri" w:hAnsi="Calibri" w:cs="Calibri"/>
          <w:iCs/>
          <w:color w:val="000000" w:themeColor="text1"/>
        </w:rPr>
      </w:pPr>
      <w:r w:rsidRPr="00093CBA">
        <w:rPr>
          <w:rFonts w:ascii="Calibri" w:hAnsi="Calibri" w:cs="Calibri"/>
          <w:iCs/>
          <w:color w:val="000000" w:themeColor="text1"/>
        </w:rPr>
        <w:t>Marko Filipović – zamjenik predsjednice, gradonačelnik Grada Rijeke</w:t>
      </w:r>
    </w:p>
    <w:p w14:paraId="3FEFA7D3" w14:textId="4907E183" w:rsidR="00093CBA" w:rsidRPr="00093CBA" w:rsidRDefault="00093CBA">
      <w:pPr>
        <w:pStyle w:val="NoSpacing"/>
        <w:numPr>
          <w:ilvl w:val="2"/>
          <w:numId w:val="13"/>
        </w:numPr>
        <w:spacing w:line="360" w:lineRule="auto"/>
        <w:jc w:val="both"/>
        <w:rPr>
          <w:rFonts w:ascii="Calibri" w:hAnsi="Calibri" w:cs="Calibri"/>
          <w:iCs/>
          <w:color w:val="000000" w:themeColor="text1"/>
        </w:rPr>
      </w:pPr>
      <w:r w:rsidRPr="00093CBA">
        <w:rPr>
          <w:rFonts w:ascii="Calibri" w:hAnsi="Calibri" w:cs="Calibri"/>
          <w:iCs/>
          <w:color w:val="000000" w:themeColor="text1"/>
        </w:rPr>
        <w:t>Zlatko Komadina – član, župan Primorsko-goranske županije</w:t>
      </w:r>
    </w:p>
    <w:p w14:paraId="68062776" w14:textId="4E6341DF" w:rsidR="00093CBA" w:rsidRPr="00093CBA" w:rsidRDefault="00093CBA">
      <w:pPr>
        <w:pStyle w:val="NoSpacing"/>
        <w:numPr>
          <w:ilvl w:val="2"/>
          <w:numId w:val="13"/>
        </w:numPr>
        <w:spacing w:line="360" w:lineRule="auto"/>
        <w:jc w:val="both"/>
        <w:rPr>
          <w:rFonts w:ascii="Calibri" w:hAnsi="Calibri" w:cs="Calibri"/>
          <w:iCs/>
          <w:color w:val="000000" w:themeColor="text1"/>
        </w:rPr>
      </w:pPr>
      <w:r w:rsidRPr="00093CBA">
        <w:rPr>
          <w:rFonts w:ascii="Calibri" w:hAnsi="Calibri" w:cs="Calibri"/>
          <w:iCs/>
          <w:color w:val="000000" w:themeColor="text1"/>
        </w:rPr>
        <w:t>Bojan Jurdana – član, direktor KD Čistoća d.o.o. Rijeka</w:t>
      </w:r>
    </w:p>
    <w:p w14:paraId="6A6E9A7B" w14:textId="4F24C397" w:rsidR="00062FF5" w:rsidRPr="00F01327" w:rsidRDefault="00062FF5" w:rsidP="00093CBA">
      <w:pPr>
        <w:pStyle w:val="NoSpacing"/>
        <w:spacing w:line="360" w:lineRule="auto"/>
        <w:jc w:val="both"/>
        <w:rPr>
          <w:rFonts w:ascii="Calibri" w:hAnsi="Calibri" w:cs="Calibri"/>
          <w:iCs/>
          <w:color w:val="000000" w:themeColor="text1"/>
        </w:rPr>
      </w:pPr>
    </w:p>
    <w:p w14:paraId="302952CD" w14:textId="64EEB383" w:rsidR="00062FF5" w:rsidRPr="00093CBA" w:rsidRDefault="00062FF5" w:rsidP="00062FF5">
      <w:pPr>
        <w:pStyle w:val="NoSpacing"/>
        <w:spacing w:line="360" w:lineRule="auto"/>
        <w:jc w:val="both"/>
        <w:rPr>
          <w:rStyle w:val="Strong"/>
          <w:b w:val="0"/>
          <w:bCs w:val="0"/>
          <w:color w:val="000000" w:themeColor="text1"/>
        </w:rPr>
      </w:pPr>
      <w:r w:rsidRPr="00093CBA">
        <w:rPr>
          <w:b/>
          <w:bCs/>
          <w:color w:val="000000" w:themeColor="text1"/>
        </w:rPr>
        <w:t>Nadzorni odbor u 2024. godini</w:t>
      </w:r>
      <w:r w:rsidR="00093CBA" w:rsidRPr="00093CBA">
        <w:rPr>
          <w:b/>
          <w:bCs/>
          <w:color w:val="000000" w:themeColor="text1"/>
        </w:rPr>
        <w:t>:</w:t>
      </w:r>
    </w:p>
    <w:p w14:paraId="71545A67" w14:textId="5A66EBC1" w:rsidR="00093CBA" w:rsidRPr="00093CBA" w:rsidRDefault="00093CBA">
      <w:pPr>
        <w:pStyle w:val="NoSpacing"/>
        <w:numPr>
          <w:ilvl w:val="1"/>
          <w:numId w:val="10"/>
        </w:numPr>
        <w:spacing w:line="360" w:lineRule="auto"/>
        <w:jc w:val="both"/>
        <w:rPr>
          <w:color w:val="000000" w:themeColor="text1"/>
        </w:rPr>
      </w:pPr>
      <w:bookmarkStart w:id="4" w:name="_Hlk135133780"/>
      <w:r w:rsidRPr="00093CBA">
        <w:rPr>
          <w:color w:val="000000" w:themeColor="text1"/>
        </w:rPr>
        <w:t>Mateja Nižić Jovičić – predsjednica Nadzornog odbora</w:t>
      </w:r>
    </w:p>
    <w:p w14:paraId="4C1D1CF9" w14:textId="396F26E7" w:rsidR="00093CBA" w:rsidRPr="00093CBA" w:rsidRDefault="00093CBA">
      <w:pPr>
        <w:pStyle w:val="NoSpacing"/>
        <w:numPr>
          <w:ilvl w:val="1"/>
          <w:numId w:val="10"/>
        </w:numPr>
        <w:spacing w:line="360" w:lineRule="auto"/>
        <w:jc w:val="both"/>
        <w:rPr>
          <w:color w:val="000000" w:themeColor="text1"/>
        </w:rPr>
      </w:pPr>
      <w:r w:rsidRPr="00093CBA">
        <w:rPr>
          <w:color w:val="000000" w:themeColor="text1"/>
        </w:rPr>
        <w:t>Tibor Tramišak – zamjenik predsjednice</w:t>
      </w:r>
    </w:p>
    <w:p w14:paraId="13ED6A88" w14:textId="783432F2" w:rsidR="00093CBA" w:rsidRPr="00093CBA" w:rsidRDefault="00093CBA">
      <w:pPr>
        <w:pStyle w:val="NoSpacing"/>
        <w:numPr>
          <w:ilvl w:val="1"/>
          <w:numId w:val="10"/>
        </w:numPr>
        <w:spacing w:line="360" w:lineRule="auto"/>
        <w:jc w:val="both"/>
        <w:rPr>
          <w:color w:val="000000" w:themeColor="text1"/>
        </w:rPr>
      </w:pPr>
      <w:r w:rsidRPr="00093CBA">
        <w:rPr>
          <w:color w:val="000000" w:themeColor="text1"/>
        </w:rPr>
        <w:t>Biljana Stipetić-Kalinić – članica (do 15. 5. 2024. i od 1. 8. 2024.)</w:t>
      </w:r>
    </w:p>
    <w:p w14:paraId="161C905E" w14:textId="0593759D" w:rsidR="00093CBA" w:rsidRPr="00093CBA" w:rsidRDefault="00093CBA">
      <w:pPr>
        <w:pStyle w:val="NoSpacing"/>
        <w:numPr>
          <w:ilvl w:val="1"/>
          <w:numId w:val="10"/>
        </w:numPr>
        <w:spacing w:line="360" w:lineRule="auto"/>
        <w:jc w:val="both"/>
        <w:rPr>
          <w:color w:val="000000" w:themeColor="text1"/>
        </w:rPr>
      </w:pPr>
      <w:r w:rsidRPr="00093CBA">
        <w:rPr>
          <w:color w:val="000000" w:themeColor="text1"/>
        </w:rPr>
        <w:t>Thierry Randisi – član</w:t>
      </w:r>
    </w:p>
    <w:p w14:paraId="60DB1906" w14:textId="60C8655D" w:rsidR="00093CBA" w:rsidRDefault="00093CBA">
      <w:pPr>
        <w:pStyle w:val="NoSpacing"/>
        <w:numPr>
          <w:ilvl w:val="1"/>
          <w:numId w:val="10"/>
        </w:numPr>
        <w:spacing w:line="360" w:lineRule="auto"/>
        <w:jc w:val="both"/>
        <w:rPr>
          <w:color w:val="000000" w:themeColor="text1"/>
        </w:rPr>
      </w:pPr>
      <w:r w:rsidRPr="00093CBA">
        <w:rPr>
          <w:color w:val="000000" w:themeColor="text1"/>
        </w:rPr>
        <w:t>Mihail Petar Lukić – član</w:t>
      </w:r>
    </w:p>
    <w:p w14:paraId="7C9677E2" w14:textId="77777777" w:rsidR="00093CBA" w:rsidRPr="00093CBA" w:rsidRDefault="00093CBA" w:rsidP="00093CBA">
      <w:pPr>
        <w:pStyle w:val="NoSpacing"/>
        <w:spacing w:line="360" w:lineRule="auto"/>
        <w:jc w:val="both"/>
        <w:rPr>
          <w:color w:val="000000" w:themeColor="text1"/>
        </w:rPr>
      </w:pPr>
    </w:p>
    <w:bookmarkEnd w:id="4"/>
    <w:p w14:paraId="4B5A43D3" w14:textId="77777777" w:rsidR="00093CBA" w:rsidRPr="00093CBA" w:rsidRDefault="00093CBA" w:rsidP="00093CBA">
      <w:pPr>
        <w:rPr>
          <w:color w:val="000000" w:themeColor="text1"/>
        </w:rPr>
      </w:pPr>
      <w:r w:rsidRPr="00093CBA">
        <w:rPr>
          <w:b/>
          <w:bCs/>
          <w:color w:val="000000" w:themeColor="text1"/>
        </w:rPr>
        <w:t>Uprava Društva u 2024. godini:</w:t>
      </w:r>
    </w:p>
    <w:p w14:paraId="60E8D9C1" w14:textId="77777777" w:rsidR="00093CBA" w:rsidRPr="00093CBA" w:rsidRDefault="00093CBA">
      <w:pPr>
        <w:numPr>
          <w:ilvl w:val="0"/>
          <w:numId w:val="11"/>
        </w:numPr>
        <w:rPr>
          <w:color w:val="000000" w:themeColor="text1"/>
        </w:rPr>
      </w:pPr>
      <w:r w:rsidRPr="00093CBA">
        <w:rPr>
          <w:color w:val="000000" w:themeColor="text1"/>
        </w:rPr>
        <w:t>Kristian Gašparini – predsjednik Uprave</w:t>
      </w:r>
    </w:p>
    <w:p w14:paraId="0678E28D" w14:textId="77777777" w:rsidR="00062FF5" w:rsidRDefault="00062FF5">
      <w:pPr>
        <w:rPr>
          <w:rFonts w:ascii="Calibri" w:eastAsia="Times New Roman" w:hAnsi="Calibri" w:cs="Calibri"/>
          <w:szCs w:val="24"/>
        </w:rPr>
      </w:pPr>
      <w:r>
        <w:rPr>
          <w:rFonts w:ascii="Calibri" w:hAnsi="Calibri" w:cs="Calibri"/>
        </w:rPr>
        <w:br w:type="page"/>
      </w:r>
    </w:p>
    <w:p w14:paraId="6B151892" w14:textId="14900A00" w:rsidR="00062FF5" w:rsidRPr="00C04DE2" w:rsidRDefault="00140AEB" w:rsidP="00140AEB">
      <w:pPr>
        <w:pStyle w:val="NormalWeb"/>
        <w:spacing w:before="0" w:beforeAutospacing="0" w:after="0" w:afterAutospacing="0" w:line="360" w:lineRule="auto"/>
        <w:jc w:val="both"/>
        <w:rPr>
          <w:rFonts w:ascii="Calibri" w:hAnsi="Calibri" w:cs="Calibri"/>
          <w:sz w:val="22"/>
          <w:lang w:val="hr-HR"/>
        </w:rPr>
      </w:pPr>
      <w:r w:rsidRPr="00C04DE2">
        <w:rPr>
          <w:rFonts w:ascii="Calibri" w:hAnsi="Calibri" w:cs="Calibri"/>
          <w:sz w:val="22"/>
          <w:lang w:val="hr-HR"/>
        </w:rPr>
        <w:lastRenderedPageBreak/>
        <w:t xml:space="preserve">Temeljem članka </w:t>
      </w:r>
      <w:r w:rsidR="00A21F0D" w:rsidRPr="00C04DE2">
        <w:rPr>
          <w:rFonts w:ascii="Calibri" w:hAnsi="Calibri" w:cs="Calibri"/>
          <w:sz w:val="22"/>
          <w:lang w:val="hr-HR"/>
        </w:rPr>
        <w:t>5</w:t>
      </w:r>
      <w:r w:rsidRPr="00C04DE2">
        <w:rPr>
          <w:rFonts w:ascii="Calibri" w:hAnsi="Calibri" w:cs="Calibri"/>
          <w:sz w:val="22"/>
          <w:lang w:val="hr-HR"/>
        </w:rPr>
        <w:t>. Zakona o računovodstvu (</w:t>
      </w:r>
      <w:r w:rsidR="00DB1FAC" w:rsidRPr="00C04DE2">
        <w:rPr>
          <w:rFonts w:ascii="Calibri" w:hAnsi="Calibri" w:cs="Calibri"/>
          <w:sz w:val="22"/>
          <w:lang w:val="hr-HR"/>
        </w:rPr>
        <w:t>NN 85/24, 145/24</w:t>
      </w:r>
      <w:r w:rsidRPr="00C04DE2">
        <w:rPr>
          <w:rFonts w:ascii="Calibri" w:hAnsi="Calibri" w:cs="Calibri"/>
          <w:sz w:val="22"/>
          <w:lang w:val="hr-HR"/>
        </w:rPr>
        <w:t xml:space="preserve">) </w:t>
      </w:r>
      <w:r w:rsidR="00DB1FAC" w:rsidRPr="00C04DE2">
        <w:rPr>
          <w:rFonts w:ascii="Calibri" w:hAnsi="Calibri" w:cs="Calibri"/>
          <w:sz w:val="22"/>
          <w:lang w:val="hr-HR"/>
        </w:rPr>
        <w:t>Društvo je razvrstano kao srednji poduzetnik te je dužno primjenjivati Hrvatske standarde financijskog izvještavanja. Sadržaj i struktura godišnjih financijskih izvještaja propisani su Pravilnikom o strukturi i sadržaju godišnjih financijskih izvještaja (NN 158/23).</w:t>
      </w:r>
    </w:p>
    <w:p w14:paraId="0745C8AB" w14:textId="77777777" w:rsidR="00DB1FAC" w:rsidRPr="00C04DE2" w:rsidRDefault="00DB1FAC" w:rsidP="00140AEB">
      <w:pPr>
        <w:pStyle w:val="NormalWeb"/>
        <w:spacing w:before="0" w:beforeAutospacing="0" w:after="0" w:afterAutospacing="0" w:line="360" w:lineRule="auto"/>
        <w:jc w:val="both"/>
        <w:rPr>
          <w:rFonts w:ascii="Calibri" w:hAnsi="Calibri" w:cs="Calibri"/>
          <w:sz w:val="22"/>
          <w:lang w:val="hr-HR"/>
        </w:rPr>
      </w:pPr>
    </w:p>
    <w:p w14:paraId="5FD1A8FD" w14:textId="27D06BC0" w:rsidR="001246F2" w:rsidRPr="00C04DE2" w:rsidRDefault="00DB1FAC" w:rsidP="00DB1FAC">
      <w:pPr>
        <w:spacing w:line="360" w:lineRule="auto"/>
        <w:jc w:val="both"/>
        <w:rPr>
          <w:rFonts w:ascii="Times New Roman" w:eastAsia="Times New Roman" w:hAnsi="Times New Roman" w:cs="Times New Roman"/>
          <w:sz w:val="24"/>
          <w:szCs w:val="24"/>
        </w:rPr>
      </w:pPr>
      <w:r w:rsidRPr="00C04DE2">
        <w:rPr>
          <w:rFonts w:ascii="Calibri" w:eastAsia="Times New Roman" w:hAnsi="Calibri" w:cs="Calibri"/>
          <w:szCs w:val="24"/>
        </w:rPr>
        <w:t>Financijsko poslovanje utvrđeno je Smjernicama poslovanja i Godišnjim planom poslovanja, usvojenima od strane Nadzornog odbora i Skupštine Društva. U nastavku slijedi prikaz ostvarenih prihoda i rashoda te prikaz poslovnog rezultata TD Ekoplus d.o.o.</w:t>
      </w:r>
      <w:r w:rsidR="004C0F2F" w:rsidRPr="00C04DE2">
        <w:br w:type="page"/>
      </w:r>
    </w:p>
    <w:p w14:paraId="1B795D1E" w14:textId="379859A1" w:rsidR="004C038D" w:rsidRPr="00A52D3B" w:rsidRDefault="004C038D" w:rsidP="00281FBE">
      <w:pPr>
        <w:pStyle w:val="Heading2"/>
        <w:rPr>
          <w:rFonts w:asciiTheme="minorHAnsi" w:hAnsiTheme="minorHAnsi" w:cstheme="minorHAnsi"/>
          <w:szCs w:val="24"/>
        </w:rPr>
      </w:pPr>
      <w:bookmarkStart w:id="5" w:name="_Toc200094266"/>
      <w:bookmarkEnd w:id="3"/>
      <w:r w:rsidRPr="00A52D3B">
        <w:rPr>
          <w:rFonts w:asciiTheme="minorHAnsi" w:hAnsiTheme="minorHAnsi" w:cstheme="minorHAnsi"/>
          <w:szCs w:val="24"/>
        </w:rPr>
        <w:lastRenderedPageBreak/>
        <w:t>2. BILJEŠKE UZ BILANCU</w:t>
      </w:r>
      <w:bookmarkEnd w:id="5"/>
    </w:p>
    <w:p w14:paraId="321E2BB8" w14:textId="4A800311" w:rsidR="004C56B8" w:rsidRPr="001C59D5" w:rsidRDefault="004C56B8" w:rsidP="004C56B8"/>
    <w:p w14:paraId="1EC62C5C" w14:textId="77777777" w:rsidR="00532068" w:rsidRDefault="00D7037C" w:rsidP="00643741">
      <w:pPr>
        <w:pStyle w:val="NoSpacing"/>
        <w:spacing w:line="360" w:lineRule="auto"/>
        <w:jc w:val="both"/>
      </w:pPr>
      <w:r w:rsidRPr="00D7037C">
        <w:t>Bilanca je temeljno financijsko izvješće koje prikazuje visinu i strukturu sredstava te izvora sredstava.</w:t>
      </w:r>
      <w:r>
        <w:t xml:space="preserve"> </w:t>
      </w:r>
    </w:p>
    <w:p w14:paraId="45DBB4BB" w14:textId="32F2918A" w:rsidR="00047236" w:rsidRPr="00F725B5" w:rsidRDefault="00047236" w:rsidP="00643741">
      <w:pPr>
        <w:pStyle w:val="NoSpacing"/>
        <w:spacing w:line="360" w:lineRule="auto"/>
        <w:jc w:val="both"/>
      </w:pPr>
      <w:r w:rsidRPr="00F725B5">
        <w:t>U nastavku slijede pojašnjenja vezana uz bilancu, račun dobiti i gubitka, izvještaj o novčanom tijeku, izvještaj o promjenama kapitala, te poslovni rezultat za 202</w:t>
      </w:r>
      <w:r w:rsidR="00D7037C">
        <w:t>4</w:t>
      </w:r>
      <w:r w:rsidRPr="00F725B5">
        <w:t>. godinu.</w:t>
      </w:r>
    </w:p>
    <w:p w14:paraId="282F96A0" w14:textId="77777777" w:rsidR="00847FDA" w:rsidRPr="001C59D5" w:rsidRDefault="00847FDA" w:rsidP="00643741">
      <w:pPr>
        <w:pStyle w:val="NoSpacing"/>
        <w:spacing w:line="360" w:lineRule="auto"/>
        <w:jc w:val="both"/>
      </w:pPr>
    </w:p>
    <w:p w14:paraId="4BC37213" w14:textId="43C95C0B" w:rsidR="004C038D" w:rsidRPr="00E9501A" w:rsidRDefault="004C038D" w:rsidP="00E9501A">
      <w:pPr>
        <w:pStyle w:val="Heading2"/>
      </w:pPr>
      <w:bookmarkStart w:id="6" w:name="_Toc200094267"/>
      <w:r w:rsidRPr="00E9501A">
        <w:t>2.1. Bilješke uz pozicije aktive</w:t>
      </w:r>
      <w:bookmarkEnd w:id="6"/>
    </w:p>
    <w:p w14:paraId="1EDCE671" w14:textId="30A8738C" w:rsidR="00AC1A15" w:rsidRPr="007C1325" w:rsidRDefault="00AC1A15" w:rsidP="00AC1A15">
      <w:pPr>
        <w:rPr>
          <w:rFonts w:cstheme="minorHAnsi"/>
        </w:rPr>
      </w:pPr>
    </w:p>
    <w:p w14:paraId="34CC376B" w14:textId="525506EB" w:rsidR="00347849" w:rsidRPr="008B1BE9" w:rsidRDefault="00F43BCA">
      <w:pPr>
        <w:spacing w:after="240"/>
        <w:rPr>
          <w:rFonts w:ascii="Times New Roman" w:eastAsia="Times New Roman" w:hAnsi="Times New Roman" w:cstheme="minorHAnsi"/>
          <w:b/>
          <w:bCs/>
        </w:rPr>
      </w:pPr>
      <w:bookmarkStart w:id="7" w:name="_Toc200366439"/>
      <w:r w:rsidRPr="00840E6B">
        <w:rPr>
          <w:rFonts w:eastAsia="Times New Roman" w:cstheme="minorHAnsi"/>
          <w:b/>
          <w:bCs/>
        </w:rPr>
        <w:t xml:space="preserve">Tablica </w:t>
      </w:r>
      <w:r w:rsidRPr="00840E6B">
        <w:rPr>
          <w:rFonts w:eastAsia="Times New Roman" w:cstheme="minorHAnsi"/>
          <w:b/>
          <w:bCs/>
        </w:rPr>
        <w:fldChar w:fldCharType="begin"/>
      </w:r>
      <w:r w:rsidRPr="00840E6B">
        <w:rPr>
          <w:rFonts w:eastAsia="Times New Roman" w:cstheme="minorHAnsi"/>
          <w:b/>
          <w:bCs/>
        </w:rPr>
        <w:instrText xml:space="preserve"> SEQ Tablica \* ARABIC </w:instrText>
      </w:r>
      <w:r w:rsidRPr="00840E6B">
        <w:rPr>
          <w:rFonts w:eastAsia="Times New Roman" w:cstheme="minorHAnsi"/>
          <w:b/>
          <w:bCs/>
        </w:rPr>
        <w:fldChar w:fldCharType="separate"/>
      </w:r>
      <w:r w:rsidR="00A1075A">
        <w:rPr>
          <w:rFonts w:eastAsia="Times New Roman" w:cstheme="minorHAnsi"/>
          <w:b/>
          <w:bCs/>
          <w:noProof/>
        </w:rPr>
        <w:t>1</w:t>
      </w:r>
      <w:r w:rsidRPr="00840E6B">
        <w:rPr>
          <w:rFonts w:eastAsia="Times New Roman" w:cstheme="minorHAnsi"/>
          <w:b/>
          <w:bCs/>
        </w:rPr>
        <w:fldChar w:fldCharType="end"/>
      </w:r>
      <w:r w:rsidRPr="00840E6B">
        <w:rPr>
          <w:rFonts w:eastAsia="Times New Roman" w:cstheme="minorHAnsi"/>
          <w:b/>
          <w:bCs/>
        </w:rPr>
        <w:t>.</w:t>
      </w:r>
      <w:r w:rsidRPr="00840E6B">
        <w:rPr>
          <w:rFonts w:ascii="Times New Roman" w:eastAsia="Times New Roman" w:hAnsi="Times New Roman" w:cstheme="minorHAnsi"/>
          <w:b/>
          <w:bCs/>
          <w:sz w:val="20"/>
          <w:szCs w:val="20"/>
        </w:rPr>
        <w:t xml:space="preserve"> </w:t>
      </w:r>
      <w:r w:rsidR="009A3C08" w:rsidRPr="00840E6B">
        <w:rPr>
          <w:rFonts w:eastAsia="Times New Roman" w:cstheme="minorHAnsi"/>
        </w:rPr>
        <w:t>Aktiva</w:t>
      </w:r>
      <w:bookmarkEnd w:id="7"/>
    </w:p>
    <w:tbl>
      <w:tblPr>
        <w:tblW w:w="97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1"/>
        <w:gridCol w:w="3572"/>
        <w:gridCol w:w="1361"/>
        <w:gridCol w:w="964"/>
        <w:gridCol w:w="1361"/>
        <w:gridCol w:w="964"/>
        <w:gridCol w:w="964"/>
      </w:tblGrid>
      <w:tr w:rsidR="00FE097A" w:rsidRPr="00DB02CE" w14:paraId="618ECD02" w14:textId="77777777" w:rsidTr="00441CEF">
        <w:trPr>
          <w:trHeight w:val="510"/>
        </w:trPr>
        <w:tc>
          <w:tcPr>
            <w:tcW w:w="581" w:type="dxa"/>
            <w:tcBorders>
              <w:top w:val="single" w:sz="4" w:space="0" w:color="auto"/>
              <w:bottom w:val="single" w:sz="4" w:space="0" w:color="auto"/>
            </w:tcBorders>
            <w:shd w:val="clear" w:color="auto" w:fill="auto"/>
            <w:noWrap/>
            <w:hideMark/>
          </w:tcPr>
          <w:p w14:paraId="6D433207" w14:textId="77777777" w:rsidR="007A62FC" w:rsidRPr="00DB02CE" w:rsidRDefault="007A62FC" w:rsidP="00441CEF">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R.br</w:t>
            </w:r>
          </w:p>
        </w:tc>
        <w:tc>
          <w:tcPr>
            <w:tcW w:w="3572" w:type="dxa"/>
            <w:tcBorders>
              <w:top w:val="single" w:sz="4" w:space="0" w:color="auto"/>
              <w:bottom w:val="single" w:sz="4" w:space="0" w:color="auto"/>
            </w:tcBorders>
            <w:shd w:val="clear" w:color="auto" w:fill="auto"/>
            <w:hideMark/>
          </w:tcPr>
          <w:p w14:paraId="45E33373" w14:textId="77777777" w:rsidR="007A62FC" w:rsidRPr="00DB02CE" w:rsidRDefault="007A62FC" w:rsidP="00441CEF">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Opis</w:t>
            </w:r>
          </w:p>
        </w:tc>
        <w:tc>
          <w:tcPr>
            <w:tcW w:w="1361" w:type="dxa"/>
            <w:tcBorders>
              <w:top w:val="single" w:sz="4" w:space="0" w:color="auto"/>
              <w:bottom w:val="single" w:sz="4" w:space="0" w:color="auto"/>
            </w:tcBorders>
            <w:shd w:val="clear" w:color="auto" w:fill="auto"/>
            <w:hideMark/>
          </w:tcPr>
          <w:p w14:paraId="383994D3" w14:textId="46855F02" w:rsidR="007A62FC" w:rsidRPr="00DB02CE" w:rsidRDefault="007A62FC" w:rsidP="00441CEF">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Stanje 202</w:t>
            </w:r>
            <w:r w:rsidR="00673ED4">
              <w:rPr>
                <w:rFonts w:eastAsia="Times New Roman" w:cstheme="minorHAnsi"/>
                <w:b/>
                <w:bCs/>
                <w:sz w:val="18"/>
                <w:szCs w:val="18"/>
                <w:lang w:eastAsia="hr-HR"/>
              </w:rPr>
              <w:t>3</w:t>
            </w:r>
          </w:p>
        </w:tc>
        <w:tc>
          <w:tcPr>
            <w:tcW w:w="964" w:type="dxa"/>
            <w:tcBorders>
              <w:top w:val="single" w:sz="4" w:space="0" w:color="auto"/>
              <w:bottom w:val="single" w:sz="4" w:space="0" w:color="auto"/>
            </w:tcBorders>
            <w:shd w:val="clear" w:color="auto" w:fill="auto"/>
            <w:hideMark/>
          </w:tcPr>
          <w:p w14:paraId="140F3886" w14:textId="77777777" w:rsidR="007A62FC" w:rsidRPr="00DB02CE" w:rsidRDefault="007A62FC" w:rsidP="00441CEF">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Struktura %</w:t>
            </w:r>
          </w:p>
        </w:tc>
        <w:tc>
          <w:tcPr>
            <w:tcW w:w="1361" w:type="dxa"/>
            <w:tcBorders>
              <w:top w:val="single" w:sz="4" w:space="0" w:color="auto"/>
              <w:bottom w:val="single" w:sz="4" w:space="0" w:color="auto"/>
            </w:tcBorders>
            <w:shd w:val="clear" w:color="auto" w:fill="auto"/>
            <w:hideMark/>
          </w:tcPr>
          <w:p w14:paraId="26F8264D" w14:textId="1A2B688E" w:rsidR="007A62FC" w:rsidRPr="00DB02CE" w:rsidRDefault="007A62FC" w:rsidP="00441CEF">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Stanje 202</w:t>
            </w:r>
            <w:r w:rsidR="00673ED4">
              <w:rPr>
                <w:rFonts w:eastAsia="Times New Roman" w:cstheme="minorHAnsi"/>
                <w:b/>
                <w:bCs/>
                <w:sz w:val="18"/>
                <w:szCs w:val="18"/>
                <w:lang w:eastAsia="hr-HR"/>
              </w:rPr>
              <w:t>4</w:t>
            </w:r>
          </w:p>
        </w:tc>
        <w:tc>
          <w:tcPr>
            <w:tcW w:w="964" w:type="dxa"/>
            <w:tcBorders>
              <w:top w:val="single" w:sz="4" w:space="0" w:color="auto"/>
              <w:bottom w:val="single" w:sz="4" w:space="0" w:color="auto"/>
            </w:tcBorders>
            <w:shd w:val="clear" w:color="auto" w:fill="auto"/>
            <w:hideMark/>
          </w:tcPr>
          <w:p w14:paraId="18E2259A" w14:textId="77777777" w:rsidR="007A62FC" w:rsidRPr="00DB02CE" w:rsidRDefault="007A62FC" w:rsidP="00441CEF">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Struktura %</w:t>
            </w:r>
          </w:p>
        </w:tc>
        <w:tc>
          <w:tcPr>
            <w:tcW w:w="964" w:type="dxa"/>
            <w:tcBorders>
              <w:top w:val="single" w:sz="4" w:space="0" w:color="auto"/>
              <w:bottom w:val="single" w:sz="4" w:space="0" w:color="auto"/>
            </w:tcBorders>
            <w:shd w:val="clear" w:color="auto" w:fill="auto"/>
            <w:hideMark/>
          </w:tcPr>
          <w:p w14:paraId="36C93F51" w14:textId="77777777" w:rsidR="007A62FC" w:rsidRPr="00DB02CE" w:rsidRDefault="007A62FC" w:rsidP="00441CEF">
            <w:pPr>
              <w:spacing w:after="0" w:line="240" w:lineRule="auto"/>
              <w:jc w:val="center"/>
              <w:rPr>
                <w:rFonts w:eastAsia="Times New Roman" w:cstheme="minorHAnsi"/>
                <w:b/>
                <w:bCs/>
                <w:color w:val="000000"/>
                <w:sz w:val="18"/>
                <w:szCs w:val="18"/>
                <w:lang w:eastAsia="hr-HR"/>
              </w:rPr>
            </w:pPr>
            <w:r w:rsidRPr="00DB02CE">
              <w:rPr>
                <w:rFonts w:eastAsia="Times New Roman" w:cstheme="minorHAnsi"/>
                <w:b/>
                <w:bCs/>
                <w:color w:val="000000"/>
                <w:sz w:val="18"/>
                <w:szCs w:val="18"/>
                <w:lang w:eastAsia="hr-HR"/>
              </w:rPr>
              <w:t>index (5/3)</w:t>
            </w:r>
          </w:p>
        </w:tc>
      </w:tr>
      <w:tr w:rsidR="00FE097A" w:rsidRPr="00DB02CE" w14:paraId="14807D3A" w14:textId="77777777" w:rsidTr="00441CEF">
        <w:trPr>
          <w:trHeight w:val="113"/>
        </w:trPr>
        <w:tc>
          <w:tcPr>
            <w:tcW w:w="581" w:type="dxa"/>
            <w:tcBorders>
              <w:top w:val="single" w:sz="4" w:space="0" w:color="auto"/>
              <w:bottom w:val="single" w:sz="4" w:space="0" w:color="auto"/>
            </w:tcBorders>
            <w:shd w:val="clear" w:color="auto" w:fill="auto"/>
            <w:noWrap/>
            <w:vAlign w:val="center"/>
            <w:hideMark/>
          </w:tcPr>
          <w:p w14:paraId="3E5BA39D"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1</w:t>
            </w:r>
          </w:p>
        </w:tc>
        <w:tc>
          <w:tcPr>
            <w:tcW w:w="3572" w:type="dxa"/>
            <w:tcBorders>
              <w:top w:val="single" w:sz="4" w:space="0" w:color="auto"/>
              <w:bottom w:val="single" w:sz="4" w:space="0" w:color="auto"/>
            </w:tcBorders>
            <w:shd w:val="clear" w:color="auto" w:fill="auto"/>
            <w:vAlign w:val="center"/>
            <w:hideMark/>
          </w:tcPr>
          <w:p w14:paraId="5CA0885D"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2</w:t>
            </w:r>
          </w:p>
        </w:tc>
        <w:tc>
          <w:tcPr>
            <w:tcW w:w="1361" w:type="dxa"/>
            <w:tcBorders>
              <w:top w:val="single" w:sz="4" w:space="0" w:color="auto"/>
              <w:bottom w:val="single" w:sz="4" w:space="0" w:color="auto"/>
            </w:tcBorders>
            <w:shd w:val="clear" w:color="auto" w:fill="auto"/>
            <w:vAlign w:val="center"/>
            <w:hideMark/>
          </w:tcPr>
          <w:p w14:paraId="159C38D2"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3</w:t>
            </w:r>
          </w:p>
        </w:tc>
        <w:tc>
          <w:tcPr>
            <w:tcW w:w="964" w:type="dxa"/>
            <w:tcBorders>
              <w:top w:val="single" w:sz="4" w:space="0" w:color="auto"/>
              <w:bottom w:val="single" w:sz="4" w:space="0" w:color="auto"/>
            </w:tcBorders>
            <w:shd w:val="clear" w:color="auto" w:fill="auto"/>
            <w:vAlign w:val="center"/>
            <w:hideMark/>
          </w:tcPr>
          <w:p w14:paraId="253C8C62"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4</w:t>
            </w:r>
          </w:p>
        </w:tc>
        <w:tc>
          <w:tcPr>
            <w:tcW w:w="1361" w:type="dxa"/>
            <w:tcBorders>
              <w:top w:val="single" w:sz="4" w:space="0" w:color="auto"/>
              <w:bottom w:val="single" w:sz="4" w:space="0" w:color="auto"/>
            </w:tcBorders>
            <w:shd w:val="clear" w:color="auto" w:fill="auto"/>
            <w:vAlign w:val="center"/>
            <w:hideMark/>
          </w:tcPr>
          <w:p w14:paraId="1EE25901"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5</w:t>
            </w:r>
          </w:p>
        </w:tc>
        <w:tc>
          <w:tcPr>
            <w:tcW w:w="964" w:type="dxa"/>
            <w:tcBorders>
              <w:top w:val="single" w:sz="4" w:space="0" w:color="auto"/>
              <w:bottom w:val="single" w:sz="4" w:space="0" w:color="auto"/>
            </w:tcBorders>
            <w:shd w:val="clear" w:color="auto" w:fill="auto"/>
            <w:vAlign w:val="center"/>
            <w:hideMark/>
          </w:tcPr>
          <w:p w14:paraId="6C7D4730"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6</w:t>
            </w:r>
          </w:p>
        </w:tc>
        <w:tc>
          <w:tcPr>
            <w:tcW w:w="964" w:type="dxa"/>
            <w:tcBorders>
              <w:top w:val="single" w:sz="4" w:space="0" w:color="auto"/>
              <w:bottom w:val="single" w:sz="4" w:space="0" w:color="auto"/>
            </w:tcBorders>
            <w:shd w:val="clear" w:color="auto" w:fill="auto"/>
            <w:vAlign w:val="center"/>
            <w:hideMark/>
          </w:tcPr>
          <w:p w14:paraId="1D20F5C0" w14:textId="77777777" w:rsidR="007A62FC" w:rsidRPr="00DB02CE" w:rsidRDefault="007A62FC" w:rsidP="007A62FC">
            <w:pPr>
              <w:spacing w:after="0" w:line="240" w:lineRule="auto"/>
              <w:jc w:val="center"/>
              <w:rPr>
                <w:rFonts w:eastAsia="Times New Roman" w:cstheme="minorHAnsi"/>
                <w:b/>
                <w:bCs/>
                <w:i/>
                <w:iCs/>
                <w:color w:val="BFBFBF" w:themeColor="background1" w:themeShade="BF"/>
                <w:sz w:val="14"/>
                <w:szCs w:val="14"/>
                <w:lang w:eastAsia="hr-HR"/>
              </w:rPr>
            </w:pPr>
            <w:r w:rsidRPr="00DB02CE">
              <w:rPr>
                <w:rFonts w:eastAsia="Times New Roman" w:cstheme="minorHAnsi"/>
                <w:b/>
                <w:bCs/>
                <w:i/>
                <w:iCs/>
                <w:color w:val="BFBFBF" w:themeColor="background1" w:themeShade="BF"/>
                <w:sz w:val="14"/>
                <w:szCs w:val="14"/>
                <w:lang w:eastAsia="hr-HR"/>
              </w:rPr>
              <w:t>7</w:t>
            </w:r>
          </w:p>
        </w:tc>
      </w:tr>
      <w:tr w:rsidR="00673ED4" w:rsidRPr="00DB02CE" w14:paraId="69334E98" w14:textId="77777777" w:rsidTr="00441CEF">
        <w:trPr>
          <w:trHeight w:val="283"/>
        </w:trPr>
        <w:tc>
          <w:tcPr>
            <w:tcW w:w="581" w:type="dxa"/>
            <w:tcBorders>
              <w:top w:val="single" w:sz="4" w:space="0" w:color="auto"/>
            </w:tcBorders>
            <w:shd w:val="clear" w:color="auto" w:fill="auto"/>
            <w:noWrap/>
            <w:vAlign w:val="bottom"/>
            <w:hideMark/>
          </w:tcPr>
          <w:p w14:paraId="2050CF92"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1.</w:t>
            </w:r>
          </w:p>
        </w:tc>
        <w:tc>
          <w:tcPr>
            <w:tcW w:w="3572" w:type="dxa"/>
            <w:tcBorders>
              <w:top w:val="single" w:sz="4" w:space="0" w:color="auto"/>
            </w:tcBorders>
            <w:shd w:val="clear" w:color="auto" w:fill="auto"/>
            <w:vAlign w:val="bottom"/>
            <w:hideMark/>
          </w:tcPr>
          <w:p w14:paraId="5737E20A" w14:textId="7D225931"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POTRAŽIVANJA ZA UPISANI NEUPLAĆENI K</w:t>
            </w:r>
            <w:r>
              <w:rPr>
                <w:rFonts w:eastAsia="Times New Roman" w:cstheme="minorHAnsi"/>
                <w:b/>
                <w:bCs/>
                <w:sz w:val="18"/>
                <w:szCs w:val="18"/>
                <w:lang w:eastAsia="hr-HR"/>
              </w:rPr>
              <w:t>.</w:t>
            </w:r>
          </w:p>
        </w:tc>
        <w:tc>
          <w:tcPr>
            <w:tcW w:w="1361" w:type="dxa"/>
            <w:tcBorders>
              <w:top w:val="single" w:sz="4" w:space="0" w:color="auto"/>
            </w:tcBorders>
            <w:shd w:val="clear" w:color="auto" w:fill="auto"/>
            <w:noWrap/>
            <w:vAlign w:val="bottom"/>
            <w:hideMark/>
          </w:tcPr>
          <w:p w14:paraId="15E776D9" w14:textId="7F4A75E9"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0</w:t>
            </w:r>
          </w:p>
        </w:tc>
        <w:tc>
          <w:tcPr>
            <w:tcW w:w="964" w:type="dxa"/>
            <w:tcBorders>
              <w:top w:val="single" w:sz="4" w:space="0" w:color="auto"/>
            </w:tcBorders>
            <w:shd w:val="clear" w:color="auto" w:fill="auto"/>
            <w:noWrap/>
            <w:vAlign w:val="bottom"/>
            <w:hideMark/>
          </w:tcPr>
          <w:p w14:paraId="6BC714CF" w14:textId="4B4DEAFE"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0</w:t>
            </w:r>
          </w:p>
        </w:tc>
        <w:tc>
          <w:tcPr>
            <w:tcW w:w="1361" w:type="dxa"/>
            <w:tcBorders>
              <w:top w:val="single" w:sz="4" w:space="0" w:color="auto"/>
            </w:tcBorders>
            <w:shd w:val="clear" w:color="auto" w:fill="auto"/>
            <w:noWrap/>
            <w:vAlign w:val="bottom"/>
            <w:hideMark/>
          </w:tcPr>
          <w:p w14:paraId="4F7628F5" w14:textId="47AB012A"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0</w:t>
            </w:r>
          </w:p>
        </w:tc>
        <w:tc>
          <w:tcPr>
            <w:tcW w:w="964" w:type="dxa"/>
            <w:tcBorders>
              <w:top w:val="single" w:sz="4" w:space="0" w:color="auto"/>
            </w:tcBorders>
            <w:shd w:val="clear" w:color="auto" w:fill="auto"/>
            <w:noWrap/>
            <w:vAlign w:val="bottom"/>
            <w:hideMark/>
          </w:tcPr>
          <w:p w14:paraId="030E1E3E" w14:textId="0B5BB814"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0</w:t>
            </w:r>
          </w:p>
        </w:tc>
        <w:tc>
          <w:tcPr>
            <w:tcW w:w="964" w:type="dxa"/>
            <w:tcBorders>
              <w:top w:val="single" w:sz="4" w:space="0" w:color="auto"/>
            </w:tcBorders>
            <w:shd w:val="clear" w:color="auto" w:fill="auto"/>
            <w:noWrap/>
            <w:vAlign w:val="bottom"/>
            <w:hideMark/>
          </w:tcPr>
          <w:p w14:paraId="4FAADED4" w14:textId="2E720934"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0</w:t>
            </w:r>
          </w:p>
        </w:tc>
      </w:tr>
      <w:tr w:rsidR="00673ED4" w:rsidRPr="00DB02CE" w14:paraId="48EB4872" w14:textId="77777777" w:rsidTr="00441CEF">
        <w:trPr>
          <w:trHeight w:val="283"/>
        </w:trPr>
        <w:tc>
          <w:tcPr>
            <w:tcW w:w="581" w:type="dxa"/>
            <w:shd w:val="clear" w:color="auto" w:fill="auto"/>
            <w:noWrap/>
            <w:vAlign w:val="bottom"/>
            <w:hideMark/>
          </w:tcPr>
          <w:p w14:paraId="705B1D6B"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2.</w:t>
            </w:r>
          </w:p>
        </w:tc>
        <w:tc>
          <w:tcPr>
            <w:tcW w:w="3572" w:type="dxa"/>
            <w:shd w:val="clear" w:color="auto" w:fill="auto"/>
            <w:vAlign w:val="bottom"/>
            <w:hideMark/>
          </w:tcPr>
          <w:p w14:paraId="728489E7" w14:textId="2D597AF1"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DUGOTRAJ</w:t>
            </w:r>
            <w:r>
              <w:rPr>
                <w:rFonts w:eastAsia="Times New Roman" w:cstheme="minorHAnsi"/>
                <w:b/>
                <w:bCs/>
                <w:sz w:val="18"/>
                <w:szCs w:val="18"/>
                <w:lang w:eastAsia="hr-HR"/>
              </w:rPr>
              <w:t>N</w:t>
            </w:r>
            <w:r w:rsidRPr="00DB02CE">
              <w:rPr>
                <w:rFonts w:eastAsia="Times New Roman" w:cstheme="minorHAnsi"/>
                <w:b/>
                <w:bCs/>
                <w:sz w:val="18"/>
                <w:szCs w:val="18"/>
                <w:lang w:eastAsia="hr-HR"/>
              </w:rPr>
              <w:t>A IMOVINA</w:t>
            </w:r>
          </w:p>
        </w:tc>
        <w:tc>
          <w:tcPr>
            <w:tcW w:w="1361" w:type="dxa"/>
            <w:shd w:val="clear" w:color="auto" w:fill="auto"/>
            <w:noWrap/>
            <w:vAlign w:val="bottom"/>
            <w:hideMark/>
          </w:tcPr>
          <w:p w14:paraId="61AB62D2" w14:textId="61AFD6C9"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29.331.179</w:t>
            </w:r>
          </w:p>
        </w:tc>
        <w:tc>
          <w:tcPr>
            <w:tcW w:w="964" w:type="dxa"/>
            <w:shd w:val="clear" w:color="auto" w:fill="auto"/>
            <w:noWrap/>
            <w:vAlign w:val="bottom"/>
            <w:hideMark/>
          </w:tcPr>
          <w:p w14:paraId="06FAEE88" w14:textId="0989FD61"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90,93%</w:t>
            </w:r>
          </w:p>
        </w:tc>
        <w:tc>
          <w:tcPr>
            <w:tcW w:w="1361" w:type="dxa"/>
            <w:shd w:val="clear" w:color="auto" w:fill="auto"/>
            <w:noWrap/>
            <w:vAlign w:val="bottom"/>
            <w:hideMark/>
          </w:tcPr>
          <w:p w14:paraId="639D7B85" w14:textId="21F86DEB"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27.668.655</w:t>
            </w:r>
          </w:p>
        </w:tc>
        <w:tc>
          <w:tcPr>
            <w:tcW w:w="964" w:type="dxa"/>
            <w:shd w:val="clear" w:color="auto" w:fill="auto"/>
            <w:noWrap/>
            <w:vAlign w:val="bottom"/>
            <w:hideMark/>
          </w:tcPr>
          <w:p w14:paraId="2B988C49" w14:textId="0208744A"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91,07%</w:t>
            </w:r>
          </w:p>
        </w:tc>
        <w:tc>
          <w:tcPr>
            <w:tcW w:w="964" w:type="dxa"/>
            <w:shd w:val="clear" w:color="auto" w:fill="auto"/>
            <w:noWrap/>
            <w:vAlign w:val="bottom"/>
            <w:hideMark/>
          </w:tcPr>
          <w:p w14:paraId="164AA6BC" w14:textId="5D3E6E61"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94%</w:t>
            </w:r>
          </w:p>
        </w:tc>
      </w:tr>
      <w:tr w:rsidR="00673ED4" w:rsidRPr="00DB02CE" w14:paraId="7D972DF9" w14:textId="77777777" w:rsidTr="00441CEF">
        <w:trPr>
          <w:trHeight w:val="283"/>
        </w:trPr>
        <w:tc>
          <w:tcPr>
            <w:tcW w:w="581" w:type="dxa"/>
            <w:shd w:val="clear" w:color="auto" w:fill="auto"/>
            <w:noWrap/>
            <w:vAlign w:val="bottom"/>
            <w:hideMark/>
          </w:tcPr>
          <w:p w14:paraId="05472891"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2.1.</w:t>
            </w:r>
          </w:p>
        </w:tc>
        <w:tc>
          <w:tcPr>
            <w:tcW w:w="3572" w:type="dxa"/>
            <w:shd w:val="clear" w:color="auto" w:fill="auto"/>
            <w:vAlign w:val="bottom"/>
            <w:hideMark/>
          </w:tcPr>
          <w:p w14:paraId="15EBEC6A"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Nematerijalna imovina</w:t>
            </w:r>
          </w:p>
        </w:tc>
        <w:tc>
          <w:tcPr>
            <w:tcW w:w="1361" w:type="dxa"/>
            <w:shd w:val="clear" w:color="auto" w:fill="auto"/>
            <w:noWrap/>
            <w:vAlign w:val="bottom"/>
            <w:hideMark/>
          </w:tcPr>
          <w:p w14:paraId="16D958A8" w14:textId="65D7CFF3"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3.753</w:t>
            </w:r>
          </w:p>
        </w:tc>
        <w:tc>
          <w:tcPr>
            <w:tcW w:w="964" w:type="dxa"/>
            <w:shd w:val="clear" w:color="auto" w:fill="auto"/>
            <w:noWrap/>
            <w:vAlign w:val="bottom"/>
            <w:hideMark/>
          </w:tcPr>
          <w:p w14:paraId="2B2AD6B6" w14:textId="0B80DB77"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0,01%</w:t>
            </w:r>
          </w:p>
        </w:tc>
        <w:tc>
          <w:tcPr>
            <w:tcW w:w="1361" w:type="dxa"/>
            <w:shd w:val="clear" w:color="auto" w:fill="auto"/>
            <w:noWrap/>
            <w:vAlign w:val="bottom"/>
            <w:hideMark/>
          </w:tcPr>
          <w:p w14:paraId="257BC801" w14:textId="0C728A9E"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2.773</w:t>
            </w:r>
          </w:p>
        </w:tc>
        <w:tc>
          <w:tcPr>
            <w:tcW w:w="964" w:type="dxa"/>
            <w:shd w:val="clear" w:color="auto" w:fill="auto"/>
            <w:noWrap/>
            <w:vAlign w:val="bottom"/>
            <w:hideMark/>
          </w:tcPr>
          <w:p w14:paraId="18B49792" w14:textId="2C3E7CFA"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0,009%</w:t>
            </w:r>
          </w:p>
        </w:tc>
        <w:tc>
          <w:tcPr>
            <w:tcW w:w="964" w:type="dxa"/>
            <w:shd w:val="clear" w:color="auto" w:fill="auto"/>
            <w:noWrap/>
            <w:vAlign w:val="bottom"/>
            <w:hideMark/>
          </w:tcPr>
          <w:p w14:paraId="63278145" w14:textId="53287C43"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74%</w:t>
            </w:r>
          </w:p>
        </w:tc>
      </w:tr>
      <w:tr w:rsidR="00673ED4" w:rsidRPr="00DB02CE" w14:paraId="7CEAD4FA" w14:textId="77777777" w:rsidTr="00441CEF">
        <w:trPr>
          <w:trHeight w:val="283"/>
        </w:trPr>
        <w:tc>
          <w:tcPr>
            <w:tcW w:w="581" w:type="dxa"/>
            <w:shd w:val="clear" w:color="auto" w:fill="auto"/>
            <w:noWrap/>
            <w:vAlign w:val="bottom"/>
            <w:hideMark/>
          </w:tcPr>
          <w:p w14:paraId="2BCB979A"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2.2.</w:t>
            </w:r>
          </w:p>
        </w:tc>
        <w:tc>
          <w:tcPr>
            <w:tcW w:w="3572" w:type="dxa"/>
            <w:shd w:val="clear" w:color="auto" w:fill="auto"/>
            <w:vAlign w:val="bottom"/>
            <w:hideMark/>
          </w:tcPr>
          <w:p w14:paraId="3C83C962"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Materijalna imovina</w:t>
            </w:r>
          </w:p>
        </w:tc>
        <w:tc>
          <w:tcPr>
            <w:tcW w:w="1361" w:type="dxa"/>
            <w:shd w:val="clear" w:color="auto" w:fill="auto"/>
            <w:noWrap/>
            <w:vAlign w:val="bottom"/>
            <w:hideMark/>
          </w:tcPr>
          <w:p w14:paraId="26D197A9" w14:textId="09CE6F2E"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29.155.197</w:t>
            </w:r>
          </w:p>
        </w:tc>
        <w:tc>
          <w:tcPr>
            <w:tcW w:w="964" w:type="dxa"/>
            <w:shd w:val="clear" w:color="auto" w:fill="auto"/>
            <w:noWrap/>
            <w:vAlign w:val="bottom"/>
            <w:hideMark/>
          </w:tcPr>
          <w:p w14:paraId="51B3E6D1" w14:textId="47798EB6"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90,38%</w:t>
            </w:r>
          </w:p>
        </w:tc>
        <w:tc>
          <w:tcPr>
            <w:tcW w:w="1361" w:type="dxa"/>
            <w:shd w:val="clear" w:color="auto" w:fill="auto"/>
            <w:noWrap/>
            <w:vAlign w:val="bottom"/>
            <w:hideMark/>
          </w:tcPr>
          <w:p w14:paraId="7DAAB125" w14:textId="3AED51F4"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27.501.632</w:t>
            </w:r>
          </w:p>
        </w:tc>
        <w:tc>
          <w:tcPr>
            <w:tcW w:w="964" w:type="dxa"/>
            <w:shd w:val="clear" w:color="auto" w:fill="auto"/>
            <w:noWrap/>
            <w:vAlign w:val="bottom"/>
            <w:hideMark/>
          </w:tcPr>
          <w:p w14:paraId="185AD4C0" w14:textId="39272469"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90,52%</w:t>
            </w:r>
          </w:p>
        </w:tc>
        <w:tc>
          <w:tcPr>
            <w:tcW w:w="964" w:type="dxa"/>
            <w:shd w:val="clear" w:color="auto" w:fill="auto"/>
            <w:noWrap/>
            <w:vAlign w:val="bottom"/>
            <w:hideMark/>
          </w:tcPr>
          <w:p w14:paraId="6FA08A69" w14:textId="512D9ACF"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94%</w:t>
            </w:r>
          </w:p>
        </w:tc>
      </w:tr>
      <w:tr w:rsidR="00673ED4" w:rsidRPr="00DB02CE" w14:paraId="6C70E7DF" w14:textId="77777777" w:rsidTr="00441CEF">
        <w:trPr>
          <w:trHeight w:val="283"/>
        </w:trPr>
        <w:tc>
          <w:tcPr>
            <w:tcW w:w="581" w:type="dxa"/>
            <w:shd w:val="clear" w:color="auto" w:fill="auto"/>
            <w:noWrap/>
            <w:vAlign w:val="bottom"/>
            <w:hideMark/>
          </w:tcPr>
          <w:p w14:paraId="57F97E51"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2.2.1</w:t>
            </w:r>
          </w:p>
        </w:tc>
        <w:tc>
          <w:tcPr>
            <w:tcW w:w="3572" w:type="dxa"/>
            <w:shd w:val="clear" w:color="auto" w:fill="auto"/>
            <w:vAlign w:val="bottom"/>
            <w:hideMark/>
          </w:tcPr>
          <w:p w14:paraId="196FE13D"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Zemljište</w:t>
            </w:r>
          </w:p>
        </w:tc>
        <w:tc>
          <w:tcPr>
            <w:tcW w:w="1361" w:type="dxa"/>
            <w:shd w:val="clear" w:color="auto" w:fill="auto"/>
            <w:noWrap/>
            <w:vAlign w:val="bottom"/>
            <w:hideMark/>
          </w:tcPr>
          <w:p w14:paraId="7420A5A4" w14:textId="4AEE7A6D"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4.713.078</w:t>
            </w:r>
          </w:p>
        </w:tc>
        <w:tc>
          <w:tcPr>
            <w:tcW w:w="964" w:type="dxa"/>
            <w:shd w:val="clear" w:color="auto" w:fill="auto"/>
            <w:noWrap/>
            <w:vAlign w:val="bottom"/>
            <w:hideMark/>
          </w:tcPr>
          <w:p w14:paraId="237F8588" w14:textId="33A886E1"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14,61%</w:t>
            </w:r>
          </w:p>
        </w:tc>
        <w:tc>
          <w:tcPr>
            <w:tcW w:w="1361" w:type="dxa"/>
            <w:shd w:val="clear" w:color="auto" w:fill="auto"/>
            <w:noWrap/>
            <w:vAlign w:val="bottom"/>
            <w:hideMark/>
          </w:tcPr>
          <w:p w14:paraId="6E327D1B" w14:textId="5820AA74"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4.713.078</w:t>
            </w:r>
          </w:p>
        </w:tc>
        <w:tc>
          <w:tcPr>
            <w:tcW w:w="964" w:type="dxa"/>
            <w:shd w:val="clear" w:color="auto" w:fill="auto"/>
            <w:noWrap/>
            <w:vAlign w:val="bottom"/>
            <w:hideMark/>
          </w:tcPr>
          <w:p w14:paraId="21F678AF" w14:textId="1AD1ACEC"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15,51%</w:t>
            </w:r>
          </w:p>
        </w:tc>
        <w:tc>
          <w:tcPr>
            <w:tcW w:w="964" w:type="dxa"/>
            <w:shd w:val="clear" w:color="auto" w:fill="auto"/>
            <w:noWrap/>
            <w:vAlign w:val="bottom"/>
            <w:hideMark/>
          </w:tcPr>
          <w:p w14:paraId="07809F6E" w14:textId="4E900C90"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100%</w:t>
            </w:r>
          </w:p>
        </w:tc>
      </w:tr>
      <w:tr w:rsidR="00673ED4" w:rsidRPr="00DB02CE" w14:paraId="59C83BCD" w14:textId="77777777" w:rsidTr="00441CEF">
        <w:trPr>
          <w:trHeight w:val="283"/>
        </w:trPr>
        <w:tc>
          <w:tcPr>
            <w:tcW w:w="581" w:type="dxa"/>
            <w:shd w:val="clear" w:color="auto" w:fill="auto"/>
            <w:noWrap/>
            <w:vAlign w:val="bottom"/>
            <w:hideMark/>
          </w:tcPr>
          <w:p w14:paraId="427C3698"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2.2.2</w:t>
            </w:r>
          </w:p>
        </w:tc>
        <w:tc>
          <w:tcPr>
            <w:tcW w:w="3572" w:type="dxa"/>
            <w:shd w:val="clear" w:color="auto" w:fill="auto"/>
            <w:vAlign w:val="bottom"/>
            <w:hideMark/>
          </w:tcPr>
          <w:p w14:paraId="3247444E"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Građevinski objekti</w:t>
            </w:r>
          </w:p>
        </w:tc>
        <w:tc>
          <w:tcPr>
            <w:tcW w:w="1361" w:type="dxa"/>
            <w:shd w:val="clear" w:color="auto" w:fill="auto"/>
            <w:noWrap/>
            <w:vAlign w:val="bottom"/>
            <w:hideMark/>
          </w:tcPr>
          <w:p w14:paraId="73142B11" w14:textId="0E8D8F77"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15.697.446</w:t>
            </w:r>
          </w:p>
        </w:tc>
        <w:tc>
          <w:tcPr>
            <w:tcW w:w="964" w:type="dxa"/>
            <w:shd w:val="clear" w:color="auto" w:fill="auto"/>
            <w:noWrap/>
            <w:vAlign w:val="bottom"/>
            <w:hideMark/>
          </w:tcPr>
          <w:p w14:paraId="67C516FF" w14:textId="1E21E0B0"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48,66%</w:t>
            </w:r>
          </w:p>
        </w:tc>
        <w:tc>
          <w:tcPr>
            <w:tcW w:w="1361" w:type="dxa"/>
            <w:shd w:val="clear" w:color="auto" w:fill="auto"/>
            <w:noWrap/>
            <w:vAlign w:val="bottom"/>
            <w:hideMark/>
          </w:tcPr>
          <w:p w14:paraId="0F101D2A" w14:textId="11446DBC"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14.794.715</w:t>
            </w:r>
          </w:p>
        </w:tc>
        <w:tc>
          <w:tcPr>
            <w:tcW w:w="964" w:type="dxa"/>
            <w:shd w:val="clear" w:color="auto" w:fill="auto"/>
            <w:noWrap/>
            <w:vAlign w:val="bottom"/>
            <w:hideMark/>
          </w:tcPr>
          <w:p w14:paraId="783B96A4" w14:textId="6F41E1C1"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48,70%</w:t>
            </w:r>
          </w:p>
        </w:tc>
        <w:tc>
          <w:tcPr>
            <w:tcW w:w="964" w:type="dxa"/>
            <w:shd w:val="clear" w:color="auto" w:fill="auto"/>
            <w:noWrap/>
            <w:vAlign w:val="bottom"/>
            <w:hideMark/>
          </w:tcPr>
          <w:p w14:paraId="210F0F3C" w14:textId="0FB0D47C"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94%</w:t>
            </w:r>
          </w:p>
        </w:tc>
      </w:tr>
      <w:tr w:rsidR="00673ED4" w:rsidRPr="00DB02CE" w14:paraId="0432C3E0" w14:textId="77777777" w:rsidTr="00441CEF">
        <w:trPr>
          <w:trHeight w:val="283"/>
        </w:trPr>
        <w:tc>
          <w:tcPr>
            <w:tcW w:w="581" w:type="dxa"/>
            <w:shd w:val="clear" w:color="auto" w:fill="auto"/>
            <w:noWrap/>
            <w:vAlign w:val="bottom"/>
            <w:hideMark/>
          </w:tcPr>
          <w:p w14:paraId="71AAFA7E"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2.2.3</w:t>
            </w:r>
          </w:p>
        </w:tc>
        <w:tc>
          <w:tcPr>
            <w:tcW w:w="3572" w:type="dxa"/>
            <w:shd w:val="clear" w:color="auto" w:fill="auto"/>
            <w:vAlign w:val="bottom"/>
            <w:hideMark/>
          </w:tcPr>
          <w:p w14:paraId="47589781"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Postrojenja i oprema</w:t>
            </w:r>
          </w:p>
        </w:tc>
        <w:tc>
          <w:tcPr>
            <w:tcW w:w="1361" w:type="dxa"/>
            <w:shd w:val="clear" w:color="auto" w:fill="auto"/>
            <w:noWrap/>
            <w:vAlign w:val="bottom"/>
            <w:hideMark/>
          </w:tcPr>
          <w:p w14:paraId="2CB900B6" w14:textId="271504FF"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7.026.786</w:t>
            </w:r>
          </w:p>
        </w:tc>
        <w:tc>
          <w:tcPr>
            <w:tcW w:w="964" w:type="dxa"/>
            <w:shd w:val="clear" w:color="auto" w:fill="auto"/>
            <w:noWrap/>
            <w:vAlign w:val="bottom"/>
            <w:hideMark/>
          </w:tcPr>
          <w:p w14:paraId="505D1F95" w14:textId="3E38883F"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21,78%</w:t>
            </w:r>
          </w:p>
        </w:tc>
        <w:tc>
          <w:tcPr>
            <w:tcW w:w="1361" w:type="dxa"/>
            <w:shd w:val="clear" w:color="auto" w:fill="auto"/>
            <w:noWrap/>
            <w:vAlign w:val="bottom"/>
            <w:hideMark/>
          </w:tcPr>
          <w:p w14:paraId="1F916C53" w14:textId="4EDD68B1"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5.614.017</w:t>
            </w:r>
          </w:p>
        </w:tc>
        <w:tc>
          <w:tcPr>
            <w:tcW w:w="964" w:type="dxa"/>
            <w:shd w:val="clear" w:color="auto" w:fill="auto"/>
            <w:noWrap/>
            <w:vAlign w:val="bottom"/>
            <w:hideMark/>
          </w:tcPr>
          <w:p w14:paraId="28F573C9" w14:textId="4B2A7425"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18,48%</w:t>
            </w:r>
          </w:p>
        </w:tc>
        <w:tc>
          <w:tcPr>
            <w:tcW w:w="964" w:type="dxa"/>
            <w:shd w:val="clear" w:color="auto" w:fill="auto"/>
            <w:noWrap/>
            <w:vAlign w:val="bottom"/>
            <w:hideMark/>
          </w:tcPr>
          <w:p w14:paraId="6B67B25E" w14:textId="14C5D4EF"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80%</w:t>
            </w:r>
          </w:p>
        </w:tc>
      </w:tr>
      <w:tr w:rsidR="00673ED4" w:rsidRPr="00DB02CE" w14:paraId="38BEF71D" w14:textId="77777777" w:rsidTr="00441CEF">
        <w:trPr>
          <w:trHeight w:val="283"/>
        </w:trPr>
        <w:tc>
          <w:tcPr>
            <w:tcW w:w="581" w:type="dxa"/>
            <w:shd w:val="clear" w:color="auto" w:fill="auto"/>
            <w:noWrap/>
            <w:vAlign w:val="bottom"/>
            <w:hideMark/>
          </w:tcPr>
          <w:p w14:paraId="2A912871"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2.2.4</w:t>
            </w:r>
          </w:p>
        </w:tc>
        <w:tc>
          <w:tcPr>
            <w:tcW w:w="3572" w:type="dxa"/>
            <w:shd w:val="clear" w:color="auto" w:fill="auto"/>
            <w:vAlign w:val="bottom"/>
            <w:hideMark/>
          </w:tcPr>
          <w:p w14:paraId="1DC93625"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Alati, pogonski inventar i transportna imovina</w:t>
            </w:r>
          </w:p>
        </w:tc>
        <w:tc>
          <w:tcPr>
            <w:tcW w:w="1361" w:type="dxa"/>
            <w:shd w:val="clear" w:color="auto" w:fill="auto"/>
            <w:noWrap/>
            <w:vAlign w:val="bottom"/>
            <w:hideMark/>
          </w:tcPr>
          <w:p w14:paraId="4B2EDAAB" w14:textId="38C2FCA9"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1.201.703</w:t>
            </w:r>
          </w:p>
        </w:tc>
        <w:tc>
          <w:tcPr>
            <w:tcW w:w="964" w:type="dxa"/>
            <w:shd w:val="clear" w:color="auto" w:fill="auto"/>
            <w:noWrap/>
            <w:vAlign w:val="bottom"/>
            <w:hideMark/>
          </w:tcPr>
          <w:p w14:paraId="5F87B8EC" w14:textId="2CD9F80E"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3,73%</w:t>
            </w:r>
          </w:p>
        </w:tc>
        <w:tc>
          <w:tcPr>
            <w:tcW w:w="1361" w:type="dxa"/>
            <w:shd w:val="clear" w:color="auto" w:fill="auto"/>
            <w:noWrap/>
            <w:vAlign w:val="bottom"/>
            <w:hideMark/>
          </w:tcPr>
          <w:p w14:paraId="74CE17AA" w14:textId="50E8CD3D"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1.448.710</w:t>
            </w:r>
          </w:p>
        </w:tc>
        <w:tc>
          <w:tcPr>
            <w:tcW w:w="964" w:type="dxa"/>
            <w:shd w:val="clear" w:color="auto" w:fill="auto"/>
            <w:noWrap/>
            <w:vAlign w:val="bottom"/>
            <w:hideMark/>
          </w:tcPr>
          <w:p w14:paraId="216EBE1C" w14:textId="0DD79893"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4,77%</w:t>
            </w:r>
          </w:p>
        </w:tc>
        <w:tc>
          <w:tcPr>
            <w:tcW w:w="964" w:type="dxa"/>
            <w:shd w:val="clear" w:color="auto" w:fill="auto"/>
            <w:noWrap/>
            <w:vAlign w:val="bottom"/>
            <w:hideMark/>
          </w:tcPr>
          <w:p w14:paraId="307FFAA2" w14:textId="0F28BBF3"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121%</w:t>
            </w:r>
          </w:p>
        </w:tc>
      </w:tr>
      <w:tr w:rsidR="00673ED4" w:rsidRPr="00DB02CE" w14:paraId="26D8B3D1" w14:textId="77777777" w:rsidTr="00441CEF">
        <w:trPr>
          <w:trHeight w:val="283"/>
        </w:trPr>
        <w:tc>
          <w:tcPr>
            <w:tcW w:w="581" w:type="dxa"/>
            <w:shd w:val="clear" w:color="auto" w:fill="auto"/>
            <w:noWrap/>
            <w:vAlign w:val="bottom"/>
            <w:hideMark/>
          </w:tcPr>
          <w:p w14:paraId="111ADA58"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2.2.5</w:t>
            </w:r>
          </w:p>
        </w:tc>
        <w:tc>
          <w:tcPr>
            <w:tcW w:w="3572" w:type="dxa"/>
            <w:shd w:val="clear" w:color="auto" w:fill="auto"/>
            <w:vAlign w:val="bottom"/>
            <w:hideMark/>
          </w:tcPr>
          <w:p w14:paraId="4E372E65"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Materijalna imovina u pripremi</w:t>
            </w:r>
          </w:p>
        </w:tc>
        <w:tc>
          <w:tcPr>
            <w:tcW w:w="1361" w:type="dxa"/>
            <w:shd w:val="clear" w:color="auto" w:fill="auto"/>
            <w:noWrap/>
            <w:vAlign w:val="bottom"/>
            <w:hideMark/>
          </w:tcPr>
          <w:p w14:paraId="35FBBD05" w14:textId="44CC149D"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514.352</w:t>
            </w:r>
          </w:p>
        </w:tc>
        <w:tc>
          <w:tcPr>
            <w:tcW w:w="964" w:type="dxa"/>
            <w:shd w:val="clear" w:color="auto" w:fill="auto"/>
            <w:noWrap/>
            <w:vAlign w:val="bottom"/>
            <w:hideMark/>
          </w:tcPr>
          <w:p w14:paraId="158F4AFA" w14:textId="76DECB7A"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1,59%</w:t>
            </w:r>
          </w:p>
        </w:tc>
        <w:tc>
          <w:tcPr>
            <w:tcW w:w="1361" w:type="dxa"/>
            <w:shd w:val="clear" w:color="auto" w:fill="auto"/>
            <w:noWrap/>
            <w:vAlign w:val="bottom"/>
            <w:hideMark/>
          </w:tcPr>
          <w:p w14:paraId="353C0A59" w14:textId="5FC0F403"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929.281</w:t>
            </w:r>
          </w:p>
        </w:tc>
        <w:tc>
          <w:tcPr>
            <w:tcW w:w="964" w:type="dxa"/>
            <w:shd w:val="clear" w:color="auto" w:fill="auto"/>
            <w:noWrap/>
            <w:vAlign w:val="bottom"/>
            <w:hideMark/>
          </w:tcPr>
          <w:p w14:paraId="5B65D4A4" w14:textId="18C5370E"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3,06%</w:t>
            </w:r>
          </w:p>
        </w:tc>
        <w:tc>
          <w:tcPr>
            <w:tcW w:w="964" w:type="dxa"/>
            <w:shd w:val="clear" w:color="auto" w:fill="auto"/>
            <w:noWrap/>
            <w:vAlign w:val="bottom"/>
            <w:hideMark/>
          </w:tcPr>
          <w:p w14:paraId="6C9B8F63" w14:textId="39FDF14D"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181%</w:t>
            </w:r>
          </w:p>
        </w:tc>
      </w:tr>
      <w:tr w:rsidR="00673ED4" w:rsidRPr="00DB02CE" w14:paraId="500A7FF9" w14:textId="77777777" w:rsidTr="00441CEF">
        <w:trPr>
          <w:trHeight w:val="283"/>
        </w:trPr>
        <w:tc>
          <w:tcPr>
            <w:tcW w:w="581" w:type="dxa"/>
            <w:shd w:val="clear" w:color="auto" w:fill="auto"/>
            <w:noWrap/>
            <w:vAlign w:val="bottom"/>
            <w:hideMark/>
          </w:tcPr>
          <w:p w14:paraId="62770D4D"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2.2.6</w:t>
            </w:r>
          </w:p>
        </w:tc>
        <w:tc>
          <w:tcPr>
            <w:tcW w:w="3572" w:type="dxa"/>
            <w:shd w:val="clear" w:color="auto" w:fill="auto"/>
            <w:vAlign w:val="bottom"/>
            <w:hideMark/>
          </w:tcPr>
          <w:p w14:paraId="0C461B8B"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Ostala materijalna imovina</w:t>
            </w:r>
          </w:p>
        </w:tc>
        <w:tc>
          <w:tcPr>
            <w:tcW w:w="1361" w:type="dxa"/>
            <w:shd w:val="clear" w:color="auto" w:fill="auto"/>
            <w:noWrap/>
            <w:vAlign w:val="bottom"/>
            <w:hideMark/>
          </w:tcPr>
          <w:p w14:paraId="789B4B6E" w14:textId="62236317"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1.832</w:t>
            </w:r>
          </w:p>
        </w:tc>
        <w:tc>
          <w:tcPr>
            <w:tcW w:w="964" w:type="dxa"/>
            <w:shd w:val="clear" w:color="auto" w:fill="auto"/>
            <w:noWrap/>
            <w:vAlign w:val="bottom"/>
            <w:hideMark/>
          </w:tcPr>
          <w:p w14:paraId="78A9B40B" w14:textId="66F97D65"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0,01%</w:t>
            </w:r>
          </w:p>
        </w:tc>
        <w:tc>
          <w:tcPr>
            <w:tcW w:w="1361" w:type="dxa"/>
            <w:shd w:val="clear" w:color="auto" w:fill="auto"/>
            <w:noWrap/>
            <w:vAlign w:val="bottom"/>
            <w:hideMark/>
          </w:tcPr>
          <w:p w14:paraId="216CF838" w14:textId="6AB79161"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1.832</w:t>
            </w:r>
          </w:p>
        </w:tc>
        <w:tc>
          <w:tcPr>
            <w:tcW w:w="964" w:type="dxa"/>
            <w:shd w:val="clear" w:color="auto" w:fill="auto"/>
            <w:noWrap/>
            <w:vAlign w:val="bottom"/>
            <w:hideMark/>
          </w:tcPr>
          <w:p w14:paraId="6C7B374F" w14:textId="07E1F2E7"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0,01%</w:t>
            </w:r>
          </w:p>
        </w:tc>
        <w:tc>
          <w:tcPr>
            <w:tcW w:w="964" w:type="dxa"/>
            <w:shd w:val="clear" w:color="auto" w:fill="auto"/>
            <w:noWrap/>
            <w:vAlign w:val="bottom"/>
            <w:hideMark/>
          </w:tcPr>
          <w:p w14:paraId="4E05D007" w14:textId="0DEDB42E"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100%</w:t>
            </w:r>
          </w:p>
        </w:tc>
      </w:tr>
      <w:tr w:rsidR="00673ED4" w:rsidRPr="00DB02CE" w14:paraId="4D06CE2E" w14:textId="77777777" w:rsidTr="00441CEF">
        <w:trPr>
          <w:trHeight w:val="283"/>
        </w:trPr>
        <w:tc>
          <w:tcPr>
            <w:tcW w:w="581" w:type="dxa"/>
            <w:shd w:val="clear" w:color="auto" w:fill="auto"/>
            <w:noWrap/>
            <w:vAlign w:val="bottom"/>
            <w:hideMark/>
          </w:tcPr>
          <w:p w14:paraId="3DDC4EB8"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2.3.</w:t>
            </w:r>
          </w:p>
        </w:tc>
        <w:tc>
          <w:tcPr>
            <w:tcW w:w="3572" w:type="dxa"/>
            <w:shd w:val="clear" w:color="auto" w:fill="auto"/>
            <w:vAlign w:val="bottom"/>
            <w:hideMark/>
          </w:tcPr>
          <w:p w14:paraId="47C4CBD3"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Financijska imovina</w:t>
            </w:r>
          </w:p>
        </w:tc>
        <w:tc>
          <w:tcPr>
            <w:tcW w:w="1361" w:type="dxa"/>
            <w:shd w:val="clear" w:color="auto" w:fill="auto"/>
            <w:noWrap/>
            <w:vAlign w:val="bottom"/>
            <w:hideMark/>
          </w:tcPr>
          <w:p w14:paraId="63CC3577" w14:textId="1303A938"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shd w:val="clear" w:color="auto" w:fill="auto"/>
            <w:noWrap/>
            <w:vAlign w:val="bottom"/>
            <w:hideMark/>
          </w:tcPr>
          <w:p w14:paraId="2C2C11F0" w14:textId="4DCCFFFA"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1361" w:type="dxa"/>
            <w:shd w:val="clear" w:color="auto" w:fill="auto"/>
            <w:noWrap/>
            <w:vAlign w:val="bottom"/>
            <w:hideMark/>
          </w:tcPr>
          <w:p w14:paraId="31B8F9C2" w14:textId="21F1FE2D"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shd w:val="clear" w:color="auto" w:fill="auto"/>
            <w:noWrap/>
            <w:vAlign w:val="bottom"/>
            <w:hideMark/>
          </w:tcPr>
          <w:p w14:paraId="20524B97" w14:textId="25B12984"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w:t>
            </w:r>
          </w:p>
        </w:tc>
        <w:tc>
          <w:tcPr>
            <w:tcW w:w="964" w:type="dxa"/>
            <w:shd w:val="clear" w:color="auto" w:fill="auto"/>
            <w:noWrap/>
            <w:vAlign w:val="bottom"/>
            <w:hideMark/>
          </w:tcPr>
          <w:p w14:paraId="102A979B" w14:textId="45530D8F"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w:t>
            </w:r>
          </w:p>
        </w:tc>
      </w:tr>
      <w:tr w:rsidR="00673ED4" w:rsidRPr="00DB02CE" w14:paraId="094CFE60" w14:textId="77777777" w:rsidTr="00441CEF">
        <w:trPr>
          <w:trHeight w:val="283"/>
        </w:trPr>
        <w:tc>
          <w:tcPr>
            <w:tcW w:w="581" w:type="dxa"/>
            <w:shd w:val="clear" w:color="auto" w:fill="auto"/>
            <w:noWrap/>
            <w:vAlign w:val="bottom"/>
            <w:hideMark/>
          </w:tcPr>
          <w:p w14:paraId="19208F62"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2.4.</w:t>
            </w:r>
          </w:p>
        </w:tc>
        <w:tc>
          <w:tcPr>
            <w:tcW w:w="3572" w:type="dxa"/>
            <w:shd w:val="clear" w:color="auto" w:fill="auto"/>
            <w:vAlign w:val="bottom"/>
            <w:hideMark/>
          </w:tcPr>
          <w:p w14:paraId="11295FD2"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Potraživanja</w:t>
            </w:r>
          </w:p>
        </w:tc>
        <w:tc>
          <w:tcPr>
            <w:tcW w:w="1361" w:type="dxa"/>
            <w:shd w:val="clear" w:color="auto" w:fill="auto"/>
            <w:noWrap/>
            <w:vAlign w:val="bottom"/>
            <w:hideMark/>
          </w:tcPr>
          <w:p w14:paraId="7B4DBE1F" w14:textId="00F6C00A"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shd w:val="clear" w:color="auto" w:fill="auto"/>
            <w:noWrap/>
            <w:vAlign w:val="bottom"/>
            <w:hideMark/>
          </w:tcPr>
          <w:p w14:paraId="7083AC5C" w14:textId="3784D3A4"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1361" w:type="dxa"/>
            <w:shd w:val="clear" w:color="auto" w:fill="auto"/>
            <w:noWrap/>
            <w:vAlign w:val="bottom"/>
            <w:hideMark/>
          </w:tcPr>
          <w:p w14:paraId="0678446E" w14:textId="179CC98C"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shd w:val="clear" w:color="auto" w:fill="auto"/>
            <w:noWrap/>
            <w:vAlign w:val="bottom"/>
            <w:hideMark/>
          </w:tcPr>
          <w:p w14:paraId="4EE5DEF1" w14:textId="3A661C5C"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w:t>
            </w:r>
          </w:p>
        </w:tc>
        <w:tc>
          <w:tcPr>
            <w:tcW w:w="964" w:type="dxa"/>
            <w:shd w:val="clear" w:color="auto" w:fill="auto"/>
            <w:noWrap/>
            <w:vAlign w:val="bottom"/>
            <w:hideMark/>
          </w:tcPr>
          <w:p w14:paraId="63A6991E" w14:textId="078C1D80"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w:t>
            </w:r>
          </w:p>
        </w:tc>
      </w:tr>
      <w:tr w:rsidR="00673ED4" w:rsidRPr="00DB02CE" w14:paraId="5A48078E" w14:textId="77777777" w:rsidTr="00441CEF">
        <w:trPr>
          <w:trHeight w:val="283"/>
        </w:trPr>
        <w:tc>
          <w:tcPr>
            <w:tcW w:w="581" w:type="dxa"/>
            <w:shd w:val="clear" w:color="auto" w:fill="auto"/>
            <w:noWrap/>
            <w:vAlign w:val="bottom"/>
            <w:hideMark/>
          </w:tcPr>
          <w:p w14:paraId="69C7609F"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2.5</w:t>
            </w:r>
          </w:p>
        </w:tc>
        <w:tc>
          <w:tcPr>
            <w:tcW w:w="3572" w:type="dxa"/>
            <w:shd w:val="clear" w:color="auto" w:fill="auto"/>
            <w:vAlign w:val="bottom"/>
            <w:hideMark/>
          </w:tcPr>
          <w:p w14:paraId="20D292FF"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Odgođena porezna imovina</w:t>
            </w:r>
          </w:p>
        </w:tc>
        <w:tc>
          <w:tcPr>
            <w:tcW w:w="1361" w:type="dxa"/>
            <w:shd w:val="clear" w:color="auto" w:fill="auto"/>
            <w:noWrap/>
            <w:vAlign w:val="bottom"/>
            <w:hideMark/>
          </w:tcPr>
          <w:p w14:paraId="495E154E" w14:textId="32BB48F1"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172.229</w:t>
            </w:r>
          </w:p>
        </w:tc>
        <w:tc>
          <w:tcPr>
            <w:tcW w:w="964" w:type="dxa"/>
            <w:shd w:val="clear" w:color="auto" w:fill="auto"/>
            <w:noWrap/>
            <w:vAlign w:val="bottom"/>
            <w:hideMark/>
          </w:tcPr>
          <w:p w14:paraId="396434EB" w14:textId="100864EB"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0,53%</w:t>
            </w:r>
          </w:p>
        </w:tc>
        <w:tc>
          <w:tcPr>
            <w:tcW w:w="1361" w:type="dxa"/>
            <w:shd w:val="clear" w:color="auto" w:fill="auto"/>
            <w:noWrap/>
            <w:vAlign w:val="bottom"/>
            <w:hideMark/>
          </w:tcPr>
          <w:p w14:paraId="544EDE35" w14:textId="7FC9B953"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164.249</w:t>
            </w:r>
          </w:p>
        </w:tc>
        <w:tc>
          <w:tcPr>
            <w:tcW w:w="964" w:type="dxa"/>
            <w:shd w:val="clear" w:color="auto" w:fill="auto"/>
            <w:noWrap/>
            <w:vAlign w:val="bottom"/>
            <w:hideMark/>
          </w:tcPr>
          <w:p w14:paraId="70AF71FD" w14:textId="029C3512"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0,54%</w:t>
            </w:r>
          </w:p>
        </w:tc>
        <w:tc>
          <w:tcPr>
            <w:tcW w:w="964" w:type="dxa"/>
            <w:shd w:val="clear" w:color="auto" w:fill="auto"/>
            <w:noWrap/>
            <w:vAlign w:val="bottom"/>
            <w:hideMark/>
          </w:tcPr>
          <w:p w14:paraId="15B4F5D7" w14:textId="22AFE038"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95%</w:t>
            </w:r>
          </w:p>
        </w:tc>
      </w:tr>
      <w:tr w:rsidR="00673ED4" w:rsidRPr="00DB02CE" w14:paraId="4EE14121" w14:textId="77777777" w:rsidTr="00441CEF">
        <w:trPr>
          <w:trHeight w:val="283"/>
        </w:trPr>
        <w:tc>
          <w:tcPr>
            <w:tcW w:w="581" w:type="dxa"/>
            <w:shd w:val="clear" w:color="auto" w:fill="auto"/>
            <w:noWrap/>
            <w:vAlign w:val="bottom"/>
            <w:hideMark/>
          </w:tcPr>
          <w:p w14:paraId="1856B33F"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3.</w:t>
            </w:r>
          </w:p>
        </w:tc>
        <w:tc>
          <w:tcPr>
            <w:tcW w:w="3572" w:type="dxa"/>
            <w:shd w:val="clear" w:color="auto" w:fill="auto"/>
            <w:vAlign w:val="bottom"/>
            <w:hideMark/>
          </w:tcPr>
          <w:p w14:paraId="51273780"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KRATKOTRAJNA IMOVINA</w:t>
            </w:r>
          </w:p>
        </w:tc>
        <w:tc>
          <w:tcPr>
            <w:tcW w:w="1361" w:type="dxa"/>
            <w:shd w:val="clear" w:color="auto" w:fill="auto"/>
            <w:noWrap/>
            <w:vAlign w:val="bottom"/>
            <w:hideMark/>
          </w:tcPr>
          <w:p w14:paraId="68890B81" w14:textId="4785A729"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2.799.022</w:t>
            </w:r>
          </w:p>
        </w:tc>
        <w:tc>
          <w:tcPr>
            <w:tcW w:w="964" w:type="dxa"/>
            <w:shd w:val="clear" w:color="auto" w:fill="auto"/>
            <w:noWrap/>
            <w:vAlign w:val="bottom"/>
            <w:hideMark/>
          </w:tcPr>
          <w:p w14:paraId="6C8B442E" w14:textId="2EED4F42"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8,68%</w:t>
            </w:r>
          </w:p>
        </w:tc>
        <w:tc>
          <w:tcPr>
            <w:tcW w:w="1361" w:type="dxa"/>
            <w:shd w:val="clear" w:color="auto" w:fill="auto"/>
            <w:noWrap/>
            <w:vAlign w:val="bottom"/>
            <w:hideMark/>
          </w:tcPr>
          <w:p w14:paraId="35C37D44" w14:textId="4A8288E1"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2.587.085</w:t>
            </w:r>
          </w:p>
        </w:tc>
        <w:tc>
          <w:tcPr>
            <w:tcW w:w="964" w:type="dxa"/>
            <w:shd w:val="clear" w:color="auto" w:fill="auto"/>
            <w:noWrap/>
            <w:vAlign w:val="bottom"/>
            <w:hideMark/>
          </w:tcPr>
          <w:p w14:paraId="27A96A8D" w14:textId="3CE2A425"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8,52%</w:t>
            </w:r>
          </w:p>
        </w:tc>
        <w:tc>
          <w:tcPr>
            <w:tcW w:w="964" w:type="dxa"/>
            <w:shd w:val="clear" w:color="auto" w:fill="auto"/>
            <w:noWrap/>
            <w:vAlign w:val="bottom"/>
            <w:hideMark/>
          </w:tcPr>
          <w:p w14:paraId="29697CB0" w14:textId="25A6350B"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92%</w:t>
            </w:r>
          </w:p>
        </w:tc>
      </w:tr>
      <w:tr w:rsidR="00673ED4" w:rsidRPr="00DB02CE" w14:paraId="1146E744" w14:textId="77777777" w:rsidTr="00441CEF">
        <w:trPr>
          <w:trHeight w:val="283"/>
        </w:trPr>
        <w:tc>
          <w:tcPr>
            <w:tcW w:w="581" w:type="dxa"/>
            <w:shd w:val="clear" w:color="auto" w:fill="auto"/>
            <w:noWrap/>
            <w:vAlign w:val="bottom"/>
            <w:hideMark/>
          </w:tcPr>
          <w:p w14:paraId="328C7CFC"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3.1.</w:t>
            </w:r>
          </w:p>
        </w:tc>
        <w:tc>
          <w:tcPr>
            <w:tcW w:w="3572" w:type="dxa"/>
            <w:shd w:val="clear" w:color="auto" w:fill="auto"/>
            <w:vAlign w:val="bottom"/>
            <w:hideMark/>
          </w:tcPr>
          <w:p w14:paraId="52A39BE6"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Zalihe</w:t>
            </w:r>
          </w:p>
        </w:tc>
        <w:tc>
          <w:tcPr>
            <w:tcW w:w="1361" w:type="dxa"/>
            <w:shd w:val="clear" w:color="auto" w:fill="auto"/>
            <w:noWrap/>
            <w:vAlign w:val="bottom"/>
            <w:hideMark/>
          </w:tcPr>
          <w:p w14:paraId="69A0A3EA" w14:textId="608DA13B"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472.814</w:t>
            </w:r>
          </w:p>
        </w:tc>
        <w:tc>
          <w:tcPr>
            <w:tcW w:w="964" w:type="dxa"/>
            <w:shd w:val="clear" w:color="auto" w:fill="auto"/>
            <w:noWrap/>
            <w:vAlign w:val="bottom"/>
            <w:hideMark/>
          </w:tcPr>
          <w:p w14:paraId="52BD2E49" w14:textId="2A3D6EDC"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1,47%</w:t>
            </w:r>
          </w:p>
        </w:tc>
        <w:tc>
          <w:tcPr>
            <w:tcW w:w="1361" w:type="dxa"/>
            <w:shd w:val="clear" w:color="auto" w:fill="auto"/>
            <w:noWrap/>
            <w:vAlign w:val="bottom"/>
            <w:hideMark/>
          </w:tcPr>
          <w:p w14:paraId="3EA57E09" w14:textId="5B77B5D8"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547.262</w:t>
            </w:r>
          </w:p>
        </w:tc>
        <w:tc>
          <w:tcPr>
            <w:tcW w:w="964" w:type="dxa"/>
            <w:shd w:val="clear" w:color="auto" w:fill="auto"/>
            <w:noWrap/>
            <w:vAlign w:val="bottom"/>
            <w:hideMark/>
          </w:tcPr>
          <w:p w14:paraId="6DE0FF1A" w14:textId="6C8E27B7"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1,80%</w:t>
            </w:r>
          </w:p>
        </w:tc>
        <w:tc>
          <w:tcPr>
            <w:tcW w:w="964" w:type="dxa"/>
            <w:shd w:val="clear" w:color="auto" w:fill="auto"/>
            <w:noWrap/>
            <w:vAlign w:val="bottom"/>
            <w:hideMark/>
          </w:tcPr>
          <w:p w14:paraId="6BA76E7F" w14:textId="3DDEC1FF"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116%</w:t>
            </w:r>
          </w:p>
        </w:tc>
      </w:tr>
      <w:tr w:rsidR="00673ED4" w:rsidRPr="00DB02CE" w14:paraId="111ABE3A" w14:textId="77777777" w:rsidTr="00441CEF">
        <w:trPr>
          <w:trHeight w:val="283"/>
        </w:trPr>
        <w:tc>
          <w:tcPr>
            <w:tcW w:w="581" w:type="dxa"/>
            <w:shd w:val="clear" w:color="auto" w:fill="auto"/>
            <w:noWrap/>
            <w:vAlign w:val="bottom"/>
            <w:hideMark/>
          </w:tcPr>
          <w:p w14:paraId="6822C92F"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3.2.</w:t>
            </w:r>
          </w:p>
        </w:tc>
        <w:tc>
          <w:tcPr>
            <w:tcW w:w="3572" w:type="dxa"/>
            <w:shd w:val="clear" w:color="auto" w:fill="auto"/>
            <w:vAlign w:val="bottom"/>
            <w:hideMark/>
          </w:tcPr>
          <w:p w14:paraId="198CF3BB"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Potraživanja</w:t>
            </w:r>
          </w:p>
        </w:tc>
        <w:tc>
          <w:tcPr>
            <w:tcW w:w="1361" w:type="dxa"/>
            <w:shd w:val="clear" w:color="auto" w:fill="auto"/>
            <w:noWrap/>
            <w:vAlign w:val="bottom"/>
            <w:hideMark/>
          </w:tcPr>
          <w:p w14:paraId="4F6F16BD" w14:textId="19574885"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2.326.208</w:t>
            </w:r>
          </w:p>
        </w:tc>
        <w:tc>
          <w:tcPr>
            <w:tcW w:w="964" w:type="dxa"/>
            <w:shd w:val="clear" w:color="auto" w:fill="auto"/>
            <w:noWrap/>
            <w:vAlign w:val="bottom"/>
            <w:hideMark/>
          </w:tcPr>
          <w:p w14:paraId="73C82746" w14:textId="5D41CF68"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7,21%</w:t>
            </w:r>
          </w:p>
        </w:tc>
        <w:tc>
          <w:tcPr>
            <w:tcW w:w="1361" w:type="dxa"/>
            <w:shd w:val="clear" w:color="auto" w:fill="auto"/>
            <w:noWrap/>
            <w:vAlign w:val="bottom"/>
            <w:hideMark/>
          </w:tcPr>
          <w:p w14:paraId="6097A7BB" w14:textId="6D93D25F"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2.039.823</w:t>
            </w:r>
          </w:p>
        </w:tc>
        <w:tc>
          <w:tcPr>
            <w:tcW w:w="964" w:type="dxa"/>
            <w:shd w:val="clear" w:color="auto" w:fill="auto"/>
            <w:noWrap/>
            <w:vAlign w:val="bottom"/>
            <w:hideMark/>
          </w:tcPr>
          <w:p w14:paraId="350AA227" w14:textId="531B4556"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6,71%</w:t>
            </w:r>
          </w:p>
        </w:tc>
        <w:tc>
          <w:tcPr>
            <w:tcW w:w="964" w:type="dxa"/>
            <w:shd w:val="clear" w:color="auto" w:fill="auto"/>
            <w:noWrap/>
            <w:vAlign w:val="bottom"/>
            <w:hideMark/>
          </w:tcPr>
          <w:p w14:paraId="73FB7740" w14:textId="213C7F8A"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88%</w:t>
            </w:r>
          </w:p>
        </w:tc>
      </w:tr>
      <w:tr w:rsidR="00673ED4" w:rsidRPr="00DB02CE" w14:paraId="277CEF4B" w14:textId="77777777" w:rsidTr="00441CEF">
        <w:trPr>
          <w:trHeight w:val="283"/>
        </w:trPr>
        <w:tc>
          <w:tcPr>
            <w:tcW w:w="581" w:type="dxa"/>
            <w:shd w:val="clear" w:color="auto" w:fill="auto"/>
            <w:noWrap/>
            <w:vAlign w:val="bottom"/>
            <w:hideMark/>
          </w:tcPr>
          <w:p w14:paraId="4A0060CE"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3.2.1</w:t>
            </w:r>
          </w:p>
        </w:tc>
        <w:tc>
          <w:tcPr>
            <w:tcW w:w="3572" w:type="dxa"/>
            <w:shd w:val="clear" w:color="auto" w:fill="auto"/>
            <w:vAlign w:val="bottom"/>
            <w:hideMark/>
          </w:tcPr>
          <w:p w14:paraId="0B8E9F59"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Potraživanja od kupaca</w:t>
            </w:r>
          </w:p>
        </w:tc>
        <w:tc>
          <w:tcPr>
            <w:tcW w:w="1361" w:type="dxa"/>
            <w:shd w:val="clear" w:color="auto" w:fill="auto"/>
            <w:noWrap/>
            <w:vAlign w:val="bottom"/>
            <w:hideMark/>
          </w:tcPr>
          <w:p w14:paraId="7983CB02" w14:textId="6EB37D6B"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2.228.034</w:t>
            </w:r>
          </w:p>
        </w:tc>
        <w:tc>
          <w:tcPr>
            <w:tcW w:w="964" w:type="dxa"/>
            <w:shd w:val="clear" w:color="auto" w:fill="auto"/>
            <w:noWrap/>
            <w:vAlign w:val="bottom"/>
            <w:hideMark/>
          </w:tcPr>
          <w:p w14:paraId="500FF5F9" w14:textId="72B850C9"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6,91%</w:t>
            </w:r>
          </w:p>
        </w:tc>
        <w:tc>
          <w:tcPr>
            <w:tcW w:w="1361" w:type="dxa"/>
            <w:shd w:val="clear" w:color="auto" w:fill="auto"/>
            <w:noWrap/>
            <w:vAlign w:val="bottom"/>
            <w:hideMark/>
          </w:tcPr>
          <w:p w14:paraId="0F5C412E" w14:textId="343205B3"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1.844.709</w:t>
            </w:r>
          </w:p>
        </w:tc>
        <w:tc>
          <w:tcPr>
            <w:tcW w:w="964" w:type="dxa"/>
            <w:shd w:val="clear" w:color="auto" w:fill="auto"/>
            <w:noWrap/>
            <w:vAlign w:val="bottom"/>
            <w:hideMark/>
          </w:tcPr>
          <w:p w14:paraId="613D2E84" w14:textId="7E0E36BA"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6,07%</w:t>
            </w:r>
          </w:p>
        </w:tc>
        <w:tc>
          <w:tcPr>
            <w:tcW w:w="964" w:type="dxa"/>
            <w:shd w:val="clear" w:color="auto" w:fill="auto"/>
            <w:noWrap/>
            <w:vAlign w:val="bottom"/>
            <w:hideMark/>
          </w:tcPr>
          <w:p w14:paraId="032E6FA0" w14:textId="47E24C2E"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83%</w:t>
            </w:r>
          </w:p>
        </w:tc>
      </w:tr>
      <w:tr w:rsidR="00673ED4" w:rsidRPr="00DB02CE" w14:paraId="7E296C4C" w14:textId="77777777" w:rsidTr="00441CEF">
        <w:trPr>
          <w:trHeight w:val="283"/>
        </w:trPr>
        <w:tc>
          <w:tcPr>
            <w:tcW w:w="581" w:type="dxa"/>
            <w:shd w:val="clear" w:color="auto" w:fill="auto"/>
            <w:noWrap/>
            <w:vAlign w:val="bottom"/>
            <w:hideMark/>
          </w:tcPr>
          <w:p w14:paraId="7EF4E37E"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3.2.2</w:t>
            </w:r>
          </w:p>
        </w:tc>
        <w:tc>
          <w:tcPr>
            <w:tcW w:w="3572" w:type="dxa"/>
            <w:shd w:val="clear" w:color="auto" w:fill="auto"/>
            <w:vAlign w:val="bottom"/>
            <w:hideMark/>
          </w:tcPr>
          <w:p w14:paraId="13C8420D"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 xml:space="preserve">Potraživanja od zaposlenika </w:t>
            </w:r>
          </w:p>
        </w:tc>
        <w:tc>
          <w:tcPr>
            <w:tcW w:w="1361" w:type="dxa"/>
            <w:shd w:val="clear" w:color="auto" w:fill="auto"/>
            <w:noWrap/>
            <w:vAlign w:val="bottom"/>
            <w:hideMark/>
          </w:tcPr>
          <w:p w14:paraId="049AA825" w14:textId="18260690"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0</w:t>
            </w:r>
          </w:p>
        </w:tc>
        <w:tc>
          <w:tcPr>
            <w:tcW w:w="964" w:type="dxa"/>
            <w:shd w:val="clear" w:color="auto" w:fill="auto"/>
            <w:noWrap/>
            <w:vAlign w:val="bottom"/>
            <w:hideMark/>
          </w:tcPr>
          <w:p w14:paraId="3C31487E" w14:textId="0F99D63F"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0,00%</w:t>
            </w:r>
          </w:p>
        </w:tc>
        <w:tc>
          <w:tcPr>
            <w:tcW w:w="1361" w:type="dxa"/>
            <w:shd w:val="clear" w:color="auto" w:fill="auto"/>
            <w:noWrap/>
            <w:vAlign w:val="bottom"/>
            <w:hideMark/>
          </w:tcPr>
          <w:p w14:paraId="49B6D454" w14:textId="3B0DBB63"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271</w:t>
            </w:r>
          </w:p>
        </w:tc>
        <w:tc>
          <w:tcPr>
            <w:tcW w:w="964" w:type="dxa"/>
            <w:shd w:val="clear" w:color="auto" w:fill="auto"/>
            <w:noWrap/>
            <w:vAlign w:val="bottom"/>
            <w:hideMark/>
          </w:tcPr>
          <w:p w14:paraId="05FC6A18" w14:textId="124B01B5"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0,00%</w:t>
            </w:r>
          </w:p>
        </w:tc>
        <w:tc>
          <w:tcPr>
            <w:tcW w:w="964" w:type="dxa"/>
            <w:shd w:val="clear" w:color="auto" w:fill="auto"/>
            <w:noWrap/>
            <w:vAlign w:val="bottom"/>
            <w:hideMark/>
          </w:tcPr>
          <w:p w14:paraId="3F7ECA73" w14:textId="0BEC3D88" w:rsidR="00673ED4" w:rsidRPr="00673ED4" w:rsidRDefault="00B85ADD"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0%</w:t>
            </w:r>
          </w:p>
        </w:tc>
      </w:tr>
      <w:tr w:rsidR="00673ED4" w:rsidRPr="00DB02CE" w14:paraId="1743837A" w14:textId="77777777" w:rsidTr="00441CEF">
        <w:trPr>
          <w:trHeight w:val="283"/>
        </w:trPr>
        <w:tc>
          <w:tcPr>
            <w:tcW w:w="581" w:type="dxa"/>
            <w:shd w:val="clear" w:color="auto" w:fill="auto"/>
            <w:noWrap/>
            <w:vAlign w:val="bottom"/>
            <w:hideMark/>
          </w:tcPr>
          <w:p w14:paraId="162CAD9A"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3.2.3</w:t>
            </w:r>
          </w:p>
        </w:tc>
        <w:tc>
          <w:tcPr>
            <w:tcW w:w="3572" w:type="dxa"/>
            <w:shd w:val="clear" w:color="auto" w:fill="auto"/>
            <w:vAlign w:val="bottom"/>
            <w:hideMark/>
          </w:tcPr>
          <w:p w14:paraId="4B0CA883"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Potraživanja od države i drugih institucija</w:t>
            </w:r>
          </w:p>
        </w:tc>
        <w:tc>
          <w:tcPr>
            <w:tcW w:w="1361" w:type="dxa"/>
            <w:shd w:val="clear" w:color="auto" w:fill="auto"/>
            <w:noWrap/>
            <w:vAlign w:val="bottom"/>
            <w:hideMark/>
          </w:tcPr>
          <w:p w14:paraId="3FA992F0" w14:textId="5CBCA1E6"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56.664</w:t>
            </w:r>
          </w:p>
        </w:tc>
        <w:tc>
          <w:tcPr>
            <w:tcW w:w="964" w:type="dxa"/>
            <w:shd w:val="clear" w:color="auto" w:fill="auto"/>
            <w:noWrap/>
            <w:vAlign w:val="bottom"/>
            <w:hideMark/>
          </w:tcPr>
          <w:p w14:paraId="6776E9DC" w14:textId="34F8F6F7"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0,18%</w:t>
            </w:r>
          </w:p>
        </w:tc>
        <w:tc>
          <w:tcPr>
            <w:tcW w:w="1361" w:type="dxa"/>
            <w:shd w:val="clear" w:color="auto" w:fill="auto"/>
            <w:noWrap/>
            <w:vAlign w:val="bottom"/>
            <w:hideMark/>
          </w:tcPr>
          <w:p w14:paraId="57F6939B" w14:textId="516D29FD"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82.658</w:t>
            </w:r>
          </w:p>
        </w:tc>
        <w:tc>
          <w:tcPr>
            <w:tcW w:w="964" w:type="dxa"/>
            <w:shd w:val="clear" w:color="auto" w:fill="auto"/>
            <w:noWrap/>
            <w:vAlign w:val="bottom"/>
            <w:hideMark/>
          </w:tcPr>
          <w:p w14:paraId="298996B9" w14:textId="21BD687A"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0,27%</w:t>
            </w:r>
          </w:p>
        </w:tc>
        <w:tc>
          <w:tcPr>
            <w:tcW w:w="964" w:type="dxa"/>
            <w:shd w:val="clear" w:color="auto" w:fill="auto"/>
            <w:noWrap/>
            <w:vAlign w:val="bottom"/>
            <w:hideMark/>
          </w:tcPr>
          <w:p w14:paraId="1E6802E3" w14:textId="7D189927"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146%</w:t>
            </w:r>
          </w:p>
        </w:tc>
      </w:tr>
      <w:tr w:rsidR="00673ED4" w:rsidRPr="00DB02CE" w14:paraId="084BD1D6" w14:textId="77777777" w:rsidTr="00441CEF">
        <w:trPr>
          <w:trHeight w:val="283"/>
        </w:trPr>
        <w:tc>
          <w:tcPr>
            <w:tcW w:w="581" w:type="dxa"/>
            <w:shd w:val="clear" w:color="auto" w:fill="auto"/>
            <w:noWrap/>
            <w:vAlign w:val="bottom"/>
            <w:hideMark/>
          </w:tcPr>
          <w:p w14:paraId="14179DF7"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3.2.4</w:t>
            </w:r>
          </w:p>
        </w:tc>
        <w:tc>
          <w:tcPr>
            <w:tcW w:w="3572" w:type="dxa"/>
            <w:shd w:val="clear" w:color="auto" w:fill="auto"/>
            <w:vAlign w:val="bottom"/>
            <w:hideMark/>
          </w:tcPr>
          <w:p w14:paraId="6913BA82" w14:textId="77777777" w:rsidR="00673ED4" w:rsidRPr="00DB02CE" w:rsidRDefault="00673ED4" w:rsidP="00673ED4">
            <w:pPr>
              <w:spacing w:after="0" w:line="240" w:lineRule="auto"/>
              <w:rPr>
                <w:rFonts w:eastAsia="Times New Roman" w:cstheme="minorHAnsi"/>
                <w:i/>
                <w:iCs/>
                <w:sz w:val="18"/>
                <w:szCs w:val="18"/>
                <w:lang w:eastAsia="hr-HR"/>
              </w:rPr>
            </w:pPr>
            <w:r w:rsidRPr="00DB02CE">
              <w:rPr>
                <w:rFonts w:eastAsia="Times New Roman" w:cstheme="minorHAnsi"/>
                <w:i/>
                <w:iCs/>
                <w:sz w:val="18"/>
                <w:szCs w:val="18"/>
                <w:lang w:eastAsia="hr-HR"/>
              </w:rPr>
              <w:t>Ostala potraživanja</w:t>
            </w:r>
          </w:p>
        </w:tc>
        <w:tc>
          <w:tcPr>
            <w:tcW w:w="1361" w:type="dxa"/>
            <w:shd w:val="clear" w:color="auto" w:fill="auto"/>
            <w:noWrap/>
            <w:vAlign w:val="bottom"/>
            <w:hideMark/>
          </w:tcPr>
          <w:p w14:paraId="34E70CC1" w14:textId="45A4A31F"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41.510</w:t>
            </w:r>
          </w:p>
        </w:tc>
        <w:tc>
          <w:tcPr>
            <w:tcW w:w="964" w:type="dxa"/>
            <w:shd w:val="clear" w:color="auto" w:fill="auto"/>
            <w:noWrap/>
            <w:vAlign w:val="bottom"/>
            <w:hideMark/>
          </w:tcPr>
          <w:p w14:paraId="1EE127CD" w14:textId="5F5706D5"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0,13%</w:t>
            </w:r>
          </w:p>
        </w:tc>
        <w:tc>
          <w:tcPr>
            <w:tcW w:w="1361" w:type="dxa"/>
            <w:shd w:val="clear" w:color="auto" w:fill="auto"/>
            <w:noWrap/>
            <w:vAlign w:val="bottom"/>
            <w:hideMark/>
          </w:tcPr>
          <w:p w14:paraId="3EC0953A" w14:textId="38662E54" w:rsidR="00673ED4" w:rsidRPr="00673ED4" w:rsidRDefault="00673ED4" w:rsidP="00673ED4">
            <w:pPr>
              <w:spacing w:after="0" w:line="240" w:lineRule="auto"/>
              <w:jc w:val="center"/>
              <w:rPr>
                <w:rFonts w:eastAsia="Times New Roman" w:cstheme="minorHAnsi"/>
                <w:i/>
                <w:iCs/>
                <w:sz w:val="18"/>
                <w:szCs w:val="18"/>
                <w:lang w:eastAsia="hr-HR"/>
              </w:rPr>
            </w:pPr>
            <w:r w:rsidRPr="00673ED4">
              <w:rPr>
                <w:rFonts w:cstheme="minorHAnsi"/>
                <w:sz w:val="18"/>
                <w:szCs w:val="18"/>
              </w:rPr>
              <w:t>112.185</w:t>
            </w:r>
          </w:p>
        </w:tc>
        <w:tc>
          <w:tcPr>
            <w:tcW w:w="964" w:type="dxa"/>
            <w:shd w:val="clear" w:color="auto" w:fill="auto"/>
            <w:noWrap/>
            <w:vAlign w:val="bottom"/>
            <w:hideMark/>
          </w:tcPr>
          <w:p w14:paraId="7D299CEC" w14:textId="455BD4E4"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0,37%</w:t>
            </w:r>
          </w:p>
        </w:tc>
        <w:tc>
          <w:tcPr>
            <w:tcW w:w="964" w:type="dxa"/>
            <w:shd w:val="clear" w:color="auto" w:fill="auto"/>
            <w:noWrap/>
            <w:vAlign w:val="bottom"/>
            <w:hideMark/>
          </w:tcPr>
          <w:p w14:paraId="4075F52F" w14:textId="65479912" w:rsidR="00673ED4" w:rsidRPr="00673ED4" w:rsidRDefault="00673ED4" w:rsidP="00673ED4">
            <w:pPr>
              <w:spacing w:after="0" w:line="240" w:lineRule="auto"/>
              <w:jc w:val="center"/>
              <w:rPr>
                <w:rFonts w:eastAsia="Times New Roman" w:cstheme="minorHAnsi"/>
                <w:i/>
                <w:iCs/>
                <w:color w:val="000000"/>
                <w:sz w:val="18"/>
                <w:szCs w:val="18"/>
                <w:lang w:eastAsia="hr-HR"/>
              </w:rPr>
            </w:pPr>
            <w:r w:rsidRPr="00673ED4">
              <w:rPr>
                <w:rFonts w:cstheme="minorHAnsi"/>
                <w:sz w:val="18"/>
                <w:szCs w:val="18"/>
              </w:rPr>
              <w:t>270%</w:t>
            </w:r>
          </w:p>
        </w:tc>
      </w:tr>
      <w:tr w:rsidR="00673ED4" w:rsidRPr="00DB02CE" w14:paraId="72DD3AC4" w14:textId="77777777" w:rsidTr="00441CEF">
        <w:trPr>
          <w:trHeight w:val="283"/>
        </w:trPr>
        <w:tc>
          <w:tcPr>
            <w:tcW w:w="581" w:type="dxa"/>
            <w:shd w:val="clear" w:color="auto" w:fill="auto"/>
            <w:noWrap/>
            <w:vAlign w:val="bottom"/>
            <w:hideMark/>
          </w:tcPr>
          <w:p w14:paraId="5FBDB656"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3.3.</w:t>
            </w:r>
          </w:p>
        </w:tc>
        <w:tc>
          <w:tcPr>
            <w:tcW w:w="3572" w:type="dxa"/>
            <w:shd w:val="clear" w:color="auto" w:fill="auto"/>
            <w:vAlign w:val="bottom"/>
            <w:hideMark/>
          </w:tcPr>
          <w:p w14:paraId="0C08F8E8"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Financijska imovina</w:t>
            </w:r>
          </w:p>
        </w:tc>
        <w:tc>
          <w:tcPr>
            <w:tcW w:w="1361" w:type="dxa"/>
            <w:shd w:val="clear" w:color="auto" w:fill="auto"/>
            <w:noWrap/>
            <w:vAlign w:val="bottom"/>
            <w:hideMark/>
          </w:tcPr>
          <w:p w14:paraId="4F4192D4" w14:textId="4B61221C"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shd w:val="clear" w:color="auto" w:fill="auto"/>
            <w:noWrap/>
            <w:vAlign w:val="bottom"/>
            <w:hideMark/>
          </w:tcPr>
          <w:p w14:paraId="21AAB1D9" w14:textId="3D1EFED9"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0,00%</w:t>
            </w:r>
          </w:p>
        </w:tc>
        <w:tc>
          <w:tcPr>
            <w:tcW w:w="1361" w:type="dxa"/>
            <w:shd w:val="clear" w:color="auto" w:fill="auto"/>
            <w:noWrap/>
            <w:vAlign w:val="bottom"/>
            <w:hideMark/>
          </w:tcPr>
          <w:p w14:paraId="2C759BB6" w14:textId="1440D0E3"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shd w:val="clear" w:color="auto" w:fill="auto"/>
            <w:noWrap/>
            <w:vAlign w:val="bottom"/>
            <w:hideMark/>
          </w:tcPr>
          <w:p w14:paraId="36E372B4" w14:textId="5DA0D95F"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0,00%</w:t>
            </w:r>
          </w:p>
        </w:tc>
        <w:tc>
          <w:tcPr>
            <w:tcW w:w="964" w:type="dxa"/>
            <w:shd w:val="clear" w:color="auto" w:fill="auto"/>
            <w:noWrap/>
            <w:vAlign w:val="bottom"/>
            <w:hideMark/>
          </w:tcPr>
          <w:p w14:paraId="4EB43835" w14:textId="27BF7ED0"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w:t>
            </w:r>
          </w:p>
        </w:tc>
      </w:tr>
      <w:tr w:rsidR="00673ED4" w:rsidRPr="00DB02CE" w14:paraId="68338F24" w14:textId="77777777" w:rsidTr="00EA5CC3">
        <w:trPr>
          <w:trHeight w:val="283"/>
        </w:trPr>
        <w:tc>
          <w:tcPr>
            <w:tcW w:w="581" w:type="dxa"/>
            <w:tcBorders>
              <w:bottom w:val="nil"/>
            </w:tcBorders>
            <w:shd w:val="clear" w:color="auto" w:fill="auto"/>
            <w:noWrap/>
            <w:vAlign w:val="bottom"/>
            <w:hideMark/>
          </w:tcPr>
          <w:p w14:paraId="2C247886"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3.4.</w:t>
            </w:r>
          </w:p>
        </w:tc>
        <w:tc>
          <w:tcPr>
            <w:tcW w:w="3572" w:type="dxa"/>
            <w:tcBorders>
              <w:bottom w:val="nil"/>
            </w:tcBorders>
            <w:shd w:val="clear" w:color="auto" w:fill="auto"/>
            <w:vAlign w:val="bottom"/>
            <w:hideMark/>
          </w:tcPr>
          <w:p w14:paraId="0E308852" w14:textId="77777777" w:rsidR="00673ED4" w:rsidRPr="00DB02CE" w:rsidRDefault="00673ED4" w:rsidP="00673ED4">
            <w:pPr>
              <w:spacing w:after="0" w:line="240" w:lineRule="auto"/>
              <w:rPr>
                <w:rFonts w:eastAsia="Times New Roman" w:cstheme="minorHAnsi"/>
                <w:sz w:val="18"/>
                <w:szCs w:val="18"/>
                <w:lang w:eastAsia="hr-HR"/>
              </w:rPr>
            </w:pPr>
            <w:r w:rsidRPr="00DB02CE">
              <w:rPr>
                <w:rFonts w:eastAsia="Times New Roman" w:cstheme="minorHAnsi"/>
                <w:sz w:val="18"/>
                <w:szCs w:val="18"/>
                <w:lang w:eastAsia="hr-HR"/>
              </w:rPr>
              <w:t>Novac u banci i blagajni</w:t>
            </w:r>
          </w:p>
        </w:tc>
        <w:tc>
          <w:tcPr>
            <w:tcW w:w="1361" w:type="dxa"/>
            <w:tcBorders>
              <w:bottom w:val="nil"/>
            </w:tcBorders>
            <w:shd w:val="clear" w:color="auto" w:fill="auto"/>
            <w:noWrap/>
            <w:vAlign w:val="bottom"/>
            <w:hideMark/>
          </w:tcPr>
          <w:p w14:paraId="76EA6AE2" w14:textId="164FAD19"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tcBorders>
              <w:bottom w:val="nil"/>
            </w:tcBorders>
            <w:shd w:val="clear" w:color="auto" w:fill="auto"/>
            <w:noWrap/>
            <w:vAlign w:val="bottom"/>
            <w:hideMark/>
          </w:tcPr>
          <w:p w14:paraId="1A1349AE" w14:textId="4D7765CA"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0,00%</w:t>
            </w:r>
          </w:p>
        </w:tc>
        <w:tc>
          <w:tcPr>
            <w:tcW w:w="1361" w:type="dxa"/>
            <w:tcBorders>
              <w:bottom w:val="nil"/>
            </w:tcBorders>
            <w:shd w:val="clear" w:color="auto" w:fill="auto"/>
            <w:noWrap/>
            <w:vAlign w:val="bottom"/>
            <w:hideMark/>
          </w:tcPr>
          <w:p w14:paraId="70FE4923" w14:textId="35BF9453" w:rsidR="00673ED4" w:rsidRPr="00673ED4" w:rsidRDefault="00673ED4" w:rsidP="00673ED4">
            <w:pPr>
              <w:spacing w:after="0" w:line="240" w:lineRule="auto"/>
              <w:jc w:val="center"/>
              <w:rPr>
                <w:rFonts w:eastAsia="Times New Roman" w:cstheme="minorHAnsi"/>
                <w:sz w:val="18"/>
                <w:szCs w:val="18"/>
                <w:lang w:eastAsia="hr-HR"/>
              </w:rPr>
            </w:pPr>
            <w:r w:rsidRPr="00673ED4">
              <w:rPr>
                <w:rFonts w:cstheme="minorHAnsi"/>
                <w:sz w:val="18"/>
                <w:szCs w:val="18"/>
              </w:rPr>
              <w:t>0</w:t>
            </w:r>
          </w:p>
        </w:tc>
        <w:tc>
          <w:tcPr>
            <w:tcW w:w="964" w:type="dxa"/>
            <w:tcBorders>
              <w:bottom w:val="nil"/>
            </w:tcBorders>
            <w:shd w:val="clear" w:color="auto" w:fill="auto"/>
            <w:noWrap/>
            <w:vAlign w:val="bottom"/>
            <w:hideMark/>
          </w:tcPr>
          <w:p w14:paraId="6648B501" w14:textId="43F31A6E" w:rsidR="00673ED4" w:rsidRPr="00673ED4" w:rsidRDefault="00673ED4"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0,00%</w:t>
            </w:r>
          </w:p>
        </w:tc>
        <w:tc>
          <w:tcPr>
            <w:tcW w:w="964" w:type="dxa"/>
            <w:tcBorders>
              <w:bottom w:val="nil"/>
            </w:tcBorders>
            <w:shd w:val="clear" w:color="auto" w:fill="auto"/>
            <w:noWrap/>
            <w:vAlign w:val="bottom"/>
            <w:hideMark/>
          </w:tcPr>
          <w:p w14:paraId="0E54D9C8" w14:textId="01013618" w:rsidR="00673ED4" w:rsidRPr="00673ED4" w:rsidRDefault="00B85ADD" w:rsidP="00673ED4">
            <w:pPr>
              <w:spacing w:after="0" w:line="240" w:lineRule="auto"/>
              <w:jc w:val="center"/>
              <w:rPr>
                <w:rFonts w:eastAsia="Times New Roman" w:cstheme="minorHAnsi"/>
                <w:color w:val="000000"/>
                <w:sz w:val="18"/>
                <w:szCs w:val="18"/>
                <w:lang w:eastAsia="hr-HR"/>
              </w:rPr>
            </w:pPr>
            <w:r w:rsidRPr="00673ED4">
              <w:rPr>
                <w:rFonts w:cstheme="minorHAnsi"/>
                <w:sz w:val="18"/>
                <w:szCs w:val="18"/>
              </w:rPr>
              <w:t>0%</w:t>
            </w:r>
          </w:p>
        </w:tc>
      </w:tr>
      <w:tr w:rsidR="00673ED4" w:rsidRPr="00DB02CE" w14:paraId="3A118700" w14:textId="77777777" w:rsidTr="00EA5CC3">
        <w:trPr>
          <w:trHeight w:val="283"/>
        </w:trPr>
        <w:tc>
          <w:tcPr>
            <w:tcW w:w="581" w:type="dxa"/>
            <w:tcBorders>
              <w:top w:val="nil"/>
              <w:bottom w:val="single" w:sz="4" w:space="0" w:color="auto"/>
            </w:tcBorders>
            <w:shd w:val="clear" w:color="auto" w:fill="auto"/>
            <w:noWrap/>
            <w:vAlign w:val="bottom"/>
            <w:hideMark/>
          </w:tcPr>
          <w:p w14:paraId="1D074ED8"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 xml:space="preserve">4. </w:t>
            </w:r>
          </w:p>
        </w:tc>
        <w:tc>
          <w:tcPr>
            <w:tcW w:w="3572" w:type="dxa"/>
            <w:tcBorders>
              <w:top w:val="nil"/>
              <w:bottom w:val="single" w:sz="4" w:space="0" w:color="auto"/>
            </w:tcBorders>
            <w:shd w:val="clear" w:color="auto" w:fill="auto"/>
            <w:vAlign w:val="bottom"/>
            <w:hideMark/>
          </w:tcPr>
          <w:p w14:paraId="3C686420" w14:textId="2FB93CBD"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PLAĆENI TR. BUDUĆIH RAZ</w:t>
            </w:r>
            <w:r>
              <w:rPr>
                <w:rFonts w:eastAsia="Times New Roman" w:cstheme="minorHAnsi"/>
                <w:b/>
                <w:bCs/>
                <w:sz w:val="18"/>
                <w:szCs w:val="18"/>
                <w:lang w:eastAsia="hr-HR"/>
              </w:rPr>
              <w:t>.</w:t>
            </w:r>
            <w:r w:rsidRPr="00DB02CE">
              <w:rPr>
                <w:rFonts w:eastAsia="Times New Roman" w:cstheme="minorHAnsi"/>
                <w:b/>
                <w:bCs/>
                <w:sz w:val="18"/>
                <w:szCs w:val="18"/>
                <w:lang w:eastAsia="hr-HR"/>
              </w:rPr>
              <w:t>/OBR. PRIHODI</w:t>
            </w:r>
          </w:p>
        </w:tc>
        <w:tc>
          <w:tcPr>
            <w:tcW w:w="1361" w:type="dxa"/>
            <w:tcBorders>
              <w:top w:val="nil"/>
              <w:bottom w:val="single" w:sz="4" w:space="0" w:color="auto"/>
            </w:tcBorders>
            <w:shd w:val="clear" w:color="auto" w:fill="auto"/>
            <w:noWrap/>
            <w:vAlign w:val="bottom"/>
            <w:hideMark/>
          </w:tcPr>
          <w:p w14:paraId="0BD5E72F" w14:textId="3C4E7CC8"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127.494</w:t>
            </w:r>
          </w:p>
        </w:tc>
        <w:tc>
          <w:tcPr>
            <w:tcW w:w="964" w:type="dxa"/>
            <w:tcBorders>
              <w:top w:val="nil"/>
              <w:bottom w:val="single" w:sz="4" w:space="0" w:color="auto"/>
            </w:tcBorders>
            <w:shd w:val="clear" w:color="auto" w:fill="auto"/>
            <w:noWrap/>
            <w:vAlign w:val="bottom"/>
            <w:hideMark/>
          </w:tcPr>
          <w:p w14:paraId="2812BB76" w14:textId="207368F0"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0,40%</w:t>
            </w:r>
          </w:p>
        </w:tc>
        <w:tc>
          <w:tcPr>
            <w:tcW w:w="1361" w:type="dxa"/>
            <w:tcBorders>
              <w:top w:val="nil"/>
              <w:bottom w:val="single" w:sz="4" w:space="0" w:color="auto"/>
            </w:tcBorders>
            <w:shd w:val="clear" w:color="auto" w:fill="auto"/>
            <w:noWrap/>
            <w:vAlign w:val="bottom"/>
            <w:hideMark/>
          </w:tcPr>
          <w:p w14:paraId="71AE58FC" w14:textId="7C4F2B99"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125.581</w:t>
            </w:r>
          </w:p>
        </w:tc>
        <w:tc>
          <w:tcPr>
            <w:tcW w:w="964" w:type="dxa"/>
            <w:tcBorders>
              <w:top w:val="nil"/>
              <w:bottom w:val="single" w:sz="4" w:space="0" w:color="auto"/>
            </w:tcBorders>
            <w:shd w:val="clear" w:color="auto" w:fill="auto"/>
            <w:noWrap/>
            <w:vAlign w:val="bottom"/>
            <w:hideMark/>
          </w:tcPr>
          <w:p w14:paraId="4898A173" w14:textId="6D4B1867"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0,41%</w:t>
            </w:r>
          </w:p>
        </w:tc>
        <w:tc>
          <w:tcPr>
            <w:tcW w:w="964" w:type="dxa"/>
            <w:tcBorders>
              <w:top w:val="nil"/>
              <w:bottom w:val="single" w:sz="4" w:space="0" w:color="auto"/>
            </w:tcBorders>
            <w:shd w:val="clear" w:color="auto" w:fill="auto"/>
            <w:noWrap/>
            <w:vAlign w:val="bottom"/>
            <w:hideMark/>
          </w:tcPr>
          <w:p w14:paraId="227693D1" w14:textId="54B23B2B"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98%</w:t>
            </w:r>
          </w:p>
        </w:tc>
      </w:tr>
      <w:tr w:rsidR="00673ED4" w:rsidRPr="00DB02CE" w14:paraId="1818836F" w14:textId="77777777" w:rsidTr="00EA5CC3">
        <w:trPr>
          <w:trHeight w:val="283"/>
        </w:trPr>
        <w:tc>
          <w:tcPr>
            <w:tcW w:w="581" w:type="dxa"/>
            <w:tcBorders>
              <w:top w:val="single" w:sz="4" w:space="0" w:color="auto"/>
            </w:tcBorders>
            <w:shd w:val="clear" w:color="auto" w:fill="auto"/>
            <w:noWrap/>
            <w:vAlign w:val="bottom"/>
            <w:hideMark/>
          </w:tcPr>
          <w:p w14:paraId="4D74EF2E"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5.</w:t>
            </w:r>
          </w:p>
        </w:tc>
        <w:tc>
          <w:tcPr>
            <w:tcW w:w="3572" w:type="dxa"/>
            <w:tcBorders>
              <w:top w:val="single" w:sz="4" w:space="0" w:color="auto"/>
            </w:tcBorders>
            <w:shd w:val="clear" w:color="auto" w:fill="auto"/>
            <w:vAlign w:val="bottom"/>
            <w:hideMark/>
          </w:tcPr>
          <w:p w14:paraId="1A088BEF" w14:textId="77777777" w:rsidR="00673ED4" w:rsidRPr="00DB02CE" w:rsidRDefault="00673ED4" w:rsidP="00673ED4">
            <w:pPr>
              <w:spacing w:after="0" w:line="240" w:lineRule="auto"/>
              <w:rPr>
                <w:rFonts w:eastAsia="Times New Roman" w:cstheme="minorHAnsi"/>
                <w:b/>
                <w:bCs/>
                <w:sz w:val="18"/>
                <w:szCs w:val="18"/>
                <w:lang w:eastAsia="hr-HR"/>
              </w:rPr>
            </w:pPr>
            <w:r w:rsidRPr="00DB02CE">
              <w:rPr>
                <w:rFonts w:eastAsia="Times New Roman" w:cstheme="minorHAnsi"/>
                <w:b/>
                <w:bCs/>
                <w:sz w:val="18"/>
                <w:szCs w:val="18"/>
                <w:lang w:eastAsia="hr-HR"/>
              </w:rPr>
              <w:t>UKUPNI AKTIVA</w:t>
            </w:r>
          </w:p>
        </w:tc>
        <w:tc>
          <w:tcPr>
            <w:tcW w:w="1361" w:type="dxa"/>
            <w:tcBorders>
              <w:top w:val="single" w:sz="4" w:space="0" w:color="auto"/>
            </w:tcBorders>
            <w:shd w:val="clear" w:color="auto" w:fill="auto"/>
            <w:noWrap/>
            <w:vAlign w:val="bottom"/>
            <w:hideMark/>
          </w:tcPr>
          <w:p w14:paraId="54ED0998" w14:textId="683818BF"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32.257.695</w:t>
            </w:r>
          </w:p>
        </w:tc>
        <w:tc>
          <w:tcPr>
            <w:tcW w:w="964" w:type="dxa"/>
            <w:tcBorders>
              <w:top w:val="single" w:sz="4" w:space="0" w:color="auto"/>
            </w:tcBorders>
            <w:shd w:val="clear" w:color="auto" w:fill="auto"/>
            <w:noWrap/>
            <w:vAlign w:val="bottom"/>
            <w:hideMark/>
          </w:tcPr>
          <w:p w14:paraId="2495E7C8" w14:textId="47B4062C"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100%</w:t>
            </w:r>
          </w:p>
        </w:tc>
        <w:tc>
          <w:tcPr>
            <w:tcW w:w="1361" w:type="dxa"/>
            <w:tcBorders>
              <w:top w:val="single" w:sz="4" w:space="0" w:color="auto"/>
            </w:tcBorders>
            <w:shd w:val="clear" w:color="auto" w:fill="auto"/>
            <w:noWrap/>
            <w:vAlign w:val="bottom"/>
            <w:hideMark/>
          </w:tcPr>
          <w:p w14:paraId="25E9BC26" w14:textId="0302B0BE" w:rsidR="00673ED4" w:rsidRPr="00B85ADD" w:rsidRDefault="00673ED4" w:rsidP="00673ED4">
            <w:pPr>
              <w:spacing w:after="0" w:line="240" w:lineRule="auto"/>
              <w:jc w:val="center"/>
              <w:rPr>
                <w:rFonts w:eastAsia="Times New Roman" w:cstheme="minorHAnsi"/>
                <w:b/>
                <w:bCs/>
                <w:sz w:val="18"/>
                <w:szCs w:val="18"/>
                <w:lang w:eastAsia="hr-HR"/>
              </w:rPr>
            </w:pPr>
            <w:r w:rsidRPr="00B85ADD">
              <w:rPr>
                <w:rFonts w:cstheme="minorHAnsi"/>
                <w:b/>
                <w:bCs/>
                <w:sz w:val="18"/>
                <w:szCs w:val="18"/>
              </w:rPr>
              <w:t>30.381.320</w:t>
            </w:r>
          </w:p>
        </w:tc>
        <w:tc>
          <w:tcPr>
            <w:tcW w:w="964" w:type="dxa"/>
            <w:tcBorders>
              <w:top w:val="single" w:sz="4" w:space="0" w:color="auto"/>
            </w:tcBorders>
            <w:shd w:val="clear" w:color="auto" w:fill="auto"/>
            <w:noWrap/>
            <w:vAlign w:val="bottom"/>
            <w:hideMark/>
          </w:tcPr>
          <w:p w14:paraId="12E3C524" w14:textId="3DBD76C8"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100%</w:t>
            </w:r>
          </w:p>
        </w:tc>
        <w:tc>
          <w:tcPr>
            <w:tcW w:w="964" w:type="dxa"/>
            <w:tcBorders>
              <w:top w:val="single" w:sz="4" w:space="0" w:color="auto"/>
            </w:tcBorders>
            <w:shd w:val="clear" w:color="auto" w:fill="auto"/>
            <w:noWrap/>
            <w:vAlign w:val="bottom"/>
            <w:hideMark/>
          </w:tcPr>
          <w:p w14:paraId="470EA68E" w14:textId="354191C5" w:rsidR="00673ED4" w:rsidRPr="00B85ADD" w:rsidRDefault="00673ED4" w:rsidP="00673ED4">
            <w:pPr>
              <w:spacing w:after="0" w:line="240" w:lineRule="auto"/>
              <w:jc w:val="center"/>
              <w:rPr>
                <w:rFonts w:eastAsia="Times New Roman" w:cstheme="minorHAnsi"/>
                <w:b/>
                <w:bCs/>
                <w:color w:val="000000"/>
                <w:sz w:val="18"/>
                <w:szCs w:val="18"/>
                <w:lang w:eastAsia="hr-HR"/>
              </w:rPr>
            </w:pPr>
            <w:r w:rsidRPr="00B85ADD">
              <w:rPr>
                <w:rFonts w:cstheme="minorHAnsi"/>
                <w:b/>
                <w:bCs/>
                <w:sz w:val="18"/>
                <w:szCs w:val="18"/>
              </w:rPr>
              <w:t>94%</w:t>
            </w:r>
          </w:p>
        </w:tc>
      </w:tr>
    </w:tbl>
    <w:p w14:paraId="766D93E0" w14:textId="77777777" w:rsidR="00B06D00" w:rsidRDefault="00B06D00" w:rsidP="00C574A5">
      <w:pPr>
        <w:spacing w:line="360" w:lineRule="auto"/>
        <w:jc w:val="both"/>
      </w:pPr>
    </w:p>
    <w:p w14:paraId="440ABC41" w14:textId="77777777" w:rsidR="007C4F8D" w:rsidRPr="007C4F8D" w:rsidRDefault="007C4F8D" w:rsidP="007C4F8D">
      <w:pPr>
        <w:pStyle w:val="NoSpacing"/>
        <w:spacing w:line="360" w:lineRule="auto"/>
        <w:jc w:val="both"/>
        <w:rPr>
          <w:rFonts w:cstheme="minorHAnsi"/>
        </w:rPr>
      </w:pPr>
      <w:r w:rsidRPr="007C4F8D">
        <w:rPr>
          <w:rFonts w:cstheme="minorHAnsi"/>
        </w:rPr>
        <w:t>Ukupna aktiva na kraju 2024. godine iznosi 30.381.320 eura te je za 6% manja (za 1.876.375 eura) u odnosu na 2023. godinu.</w:t>
      </w:r>
    </w:p>
    <w:p w14:paraId="6AE4DDFB" w14:textId="77777777" w:rsidR="007C4F8D" w:rsidRPr="007C4F8D" w:rsidRDefault="007C4F8D" w:rsidP="007C4F8D">
      <w:pPr>
        <w:pStyle w:val="NoSpacing"/>
        <w:spacing w:line="360" w:lineRule="auto"/>
        <w:jc w:val="both"/>
        <w:rPr>
          <w:rFonts w:cstheme="minorHAnsi"/>
        </w:rPr>
      </w:pPr>
      <w:r w:rsidRPr="007C4F8D">
        <w:rPr>
          <w:rFonts w:cstheme="minorHAnsi"/>
        </w:rPr>
        <w:t>U Tablici 1. prikazane su vrijednosti na dan 31. prosinca 2023. i 2024. godine, njihov međusobni odnos, kao i udio dugotrajne, kratkotrajne imovine i plaćenih budućih troškova u ukupnoj aktivi.</w:t>
      </w:r>
    </w:p>
    <w:p w14:paraId="681BB315" w14:textId="77777777" w:rsidR="003C565C" w:rsidRPr="001C59D5" w:rsidRDefault="003C565C" w:rsidP="00183F89">
      <w:pPr>
        <w:pStyle w:val="NoSpacing"/>
        <w:spacing w:line="360" w:lineRule="auto"/>
        <w:jc w:val="both"/>
      </w:pPr>
    </w:p>
    <w:p w14:paraId="2CCEDF1D" w14:textId="77777777" w:rsidR="003C565C" w:rsidRPr="00CB3323" w:rsidRDefault="003C565C" w:rsidP="003C565C">
      <w:pPr>
        <w:pStyle w:val="NoSpacing"/>
        <w:spacing w:line="360" w:lineRule="auto"/>
        <w:jc w:val="both"/>
        <w:rPr>
          <w:b/>
          <w:bCs/>
        </w:rPr>
      </w:pPr>
      <w:r w:rsidRPr="00CB3323">
        <w:rPr>
          <w:b/>
          <w:bCs/>
        </w:rPr>
        <w:lastRenderedPageBreak/>
        <w:t>Dugotrajna imovina</w:t>
      </w:r>
    </w:p>
    <w:p w14:paraId="29A1A4A8" w14:textId="45C8C528" w:rsidR="00DE756E" w:rsidRPr="00DE756E" w:rsidRDefault="00DE756E" w:rsidP="00DE756E">
      <w:pPr>
        <w:pStyle w:val="NoSpacing"/>
        <w:spacing w:line="360" w:lineRule="auto"/>
        <w:jc w:val="both"/>
      </w:pPr>
      <w:r w:rsidRPr="00DE756E">
        <w:t>Dugotrajna imovina na dan 31.12.2024. iznosi 27.668.655 eura, čime sudjeluje u ukupnoj aktivi s udjelom od 91%, te je u odnosu na prethodnu godinu smanjena za 6%.</w:t>
      </w:r>
    </w:p>
    <w:p w14:paraId="39367C86" w14:textId="3EADAFA6" w:rsidR="00DE756E" w:rsidRPr="00DE756E" w:rsidRDefault="00DE756E" w:rsidP="00DE756E">
      <w:pPr>
        <w:pStyle w:val="NoSpacing"/>
        <w:spacing w:line="360" w:lineRule="auto"/>
        <w:jc w:val="both"/>
      </w:pPr>
      <w:r w:rsidRPr="00DE756E">
        <w:t>Unutar dugotrajne imovine, materijalna imovina iznosi 27.501.632 eura što čini 9</w:t>
      </w:r>
      <w:r w:rsidR="004D42B8">
        <w:t>1</w:t>
      </w:r>
      <w:r w:rsidRPr="00DE756E">
        <w:t>% udjela u ukupnoj dugotrajnoj imovini. Odgođena porezna imovina iznosi 164.249 eura odnosno 0,54%, dok nematerijalna imovina iznosi 2.773 eura, što predstavlja 0,009% udjela.</w:t>
      </w:r>
    </w:p>
    <w:p w14:paraId="6F6FEF5C" w14:textId="76C7AB44" w:rsidR="000E7F36" w:rsidRPr="008C7016" w:rsidRDefault="003C565C" w:rsidP="008C7016">
      <w:pPr>
        <w:pStyle w:val="NoSpacing"/>
        <w:spacing w:after="120" w:line="360" w:lineRule="auto"/>
        <w:jc w:val="both"/>
      </w:pPr>
      <w:r w:rsidRPr="00047236">
        <w:t>Amortizacija za 20</w:t>
      </w:r>
      <w:r w:rsidR="00760FC8" w:rsidRPr="00047236">
        <w:t>2</w:t>
      </w:r>
      <w:r w:rsidR="004D42B8">
        <w:t>4</w:t>
      </w:r>
      <w:r w:rsidRPr="00047236">
        <w:t xml:space="preserve">. godinu obračunata je u iznosu od </w:t>
      </w:r>
      <w:r w:rsidR="00F66296">
        <w:t>3.</w:t>
      </w:r>
      <w:r w:rsidR="004D42B8">
        <w:t>204.334</w:t>
      </w:r>
      <w:r w:rsidR="00F66296">
        <w:t xml:space="preserve"> eura </w:t>
      </w:r>
      <w:r w:rsidRPr="00047236">
        <w:t>te su primijenjene iste stope kao i u 20</w:t>
      </w:r>
      <w:r w:rsidR="007718EB" w:rsidRPr="00047236">
        <w:t>2</w:t>
      </w:r>
      <w:r w:rsidR="004D42B8">
        <w:t>3</w:t>
      </w:r>
      <w:r w:rsidRPr="00047236">
        <w:t>. godini</w:t>
      </w:r>
      <w:r w:rsidR="00117190">
        <w:t xml:space="preserve">. </w:t>
      </w:r>
      <w:r w:rsidR="001C3599" w:rsidRPr="00047236">
        <w:t xml:space="preserve"> </w:t>
      </w:r>
      <w:r w:rsidR="004E6719" w:rsidRPr="00047236">
        <w:t>Odlagališn</w:t>
      </w:r>
      <w:r w:rsidR="00F66296">
        <w:t>e</w:t>
      </w:r>
      <w:r w:rsidR="004E6719" w:rsidRPr="00047236">
        <w:t xml:space="preserve"> ploh</w:t>
      </w:r>
      <w:r w:rsidR="00F66296">
        <w:t>e</w:t>
      </w:r>
      <w:r w:rsidR="004E6719" w:rsidRPr="00047236">
        <w:t xml:space="preserve"> </w:t>
      </w:r>
      <w:r w:rsidR="004E6719" w:rsidRPr="00840E6B">
        <w:t xml:space="preserve">1B </w:t>
      </w:r>
      <w:r w:rsidR="00F66296">
        <w:t xml:space="preserve">i 1C </w:t>
      </w:r>
      <w:r w:rsidR="004E6719" w:rsidRPr="00047236">
        <w:t>amortizira</w:t>
      </w:r>
      <w:r w:rsidR="00F66296">
        <w:t>ju</w:t>
      </w:r>
      <w:r w:rsidR="004E6719" w:rsidRPr="00047236">
        <w:t xml:space="preserve"> </w:t>
      </w:r>
      <w:r w:rsidR="00A64FE9">
        <w:t xml:space="preserve">se </w:t>
      </w:r>
      <w:r w:rsidR="004E6719" w:rsidRPr="00047236">
        <w:t>prema iskorištenosti kapaciteta koje se temelji na geodetski</w:t>
      </w:r>
      <w:r w:rsidR="00C333AE">
        <w:t>m</w:t>
      </w:r>
      <w:r w:rsidR="004E6719" w:rsidRPr="00047236">
        <w:t xml:space="preserve"> mjerenjima. </w:t>
      </w:r>
    </w:p>
    <w:p w14:paraId="390AAA86" w14:textId="56BE0B2A" w:rsidR="00047236" w:rsidRDefault="00047236" w:rsidP="00047236">
      <w:pPr>
        <w:pStyle w:val="NoSpacing"/>
        <w:spacing w:line="360" w:lineRule="auto"/>
        <w:jc w:val="both"/>
      </w:pPr>
      <w:r w:rsidRPr="001C59D5">
        <w:rPr>
          <w:b/>
          <w:bCs/>
        </w:rPr>
        <w:t>Materijalna imovina</w:t>
      </w:r>
      <w:r w:rsidRPr="001C59D5">
        <w:t xml:space="preserve"> </w:t>
      </w:r>
      <w:r w:rsidRPr="00F06D1A">
        <w:t xml:space="preserve">iznosi </w:t>
      </w:r>
      <w:r w:rsidR="00744A37" w:rsidRPr="00744A37">
        <w:t>2</w:t>
      </w:r>
      <w:r w:rsidR="00A72F42">
        <w:t>7.501.632</w:t>
      </w:r>
      <w:r w:rsidR="00744A37">
        <w:t xml:space="preserve"> eura</w:t>
      </w:r>
      <w:r w:rsidRPr="00F06D1A">
        <w:t>, a čine ju zemljište</w:t>
      </w:r>
      <w:r w:rsidR="00856F93">
        <w:t xml:space="preserve"> (</w:t>
      </w:r>
      <w:r w:rsidR="00856F93" w:rsidRPr="00856F93">
        <w:t>4.713.078 eura</w:t>
      </w:r>
      <w:r w:rsidR="00856F93">
        <w:t>)</w:t>
      </w:r>
      <w:r w:rsidRPr="00F06D1A">
        <w:t>, građevinski objekti</w:t>
      </w:r>
      <w:r w:rsidR="00856F93">
        <w:t xml:space="preserve"> </w:t>
      </w:r>
      <w:r w:rsidR="00856F93" w:rsidRPr="00856F93">
        <w:t>(14.794.715 eura)</w:t>
      </w:r>
      <w:r w:rsidRPr="00F06D1A">
        <w:t>, postrojenja i oprema</w:t>
      </w:r>
      <w:r w:rsidR="00856F93">
        <w:t xml:space="preserve"> </w:t>
      </w:r>
      <w:r w:rsidR="00856F93" w:rsidRPr="00856F93">
        <w:t>(5.614.017 eura)</w:t>
      </w:r>
      <w:r w:rsidRPr="00F06D1A">
        <w:t>, alati</w:t>
      </w:r>
      <w:r w:rsidR="00856F93">
        <w:t xml:space="preserve">, </w:t>
      </w:r>
      <w:r w:rsidRPr="00F06D1A">
        <w:t>pogonski inventar</w:t>
      </w:r>
      <w:r w:rsidR="00856F93">
        <w:t xml:space="preserve"> i </w:t>
      </w:r>
      <w:r w:rsidR="00856F93" w:rsidRPr="00F06D1A">
        <w:t>transportna sredstva</w:t>
      </w:r>
      <w:r w:rsidR="00B22B3E">
        <w:t>,</w:t>
      </w:r>
      <w:r w:rsidR="00856F93">
        <w:t xml:space="preserve"> </w:t>
      </w:r>
      <w:r w:rsidR="00856F93" w:rsidRPr="00856F93">
        <w:t>(1.448.710 eura)</w:t>
      </w:r>
      <w:r w:rsidR="00856F93">
        <w:t xml:space="preserve">, </w:t>
      </w:r>
      <w:r w:rsidR="00B22B3E">
        <w:t xml:space="preserve"> materijalna imovina u pripremi </w:t>
      </w:r>
      <w:r w:rsidR="00856F93" w:rsidRPr="00856F93">
        <w:t>(929.281 eura)</w:t>
      </w:r>
      <w:r w:rsidR="00856F93">
        <w:t xml:space="preserve"> </w:t>
      </w:r>
      <w:r w:rsidR="00B22B3E">
        <w:t>i ostala materijalna imovina</w:t>
      </w:r>
      <w:r w:rsidR="00856F93">
        <w:t xml:space="preserve"> (1.832 eura)</w:t>
      </w:r>
      <w:r w:rsidR="00B22B3E">
        <w:t>.</w:t>
      </w:r>
    </w:p>
    <w:p w14:paraId="5EEAA54D" w14:textId="1BED1A1D" w:rsidR="00FC3118" w:rsidRPr="00BA4328" w:rsidRDefault="00FC3118" w:rsidP="00FC3118">
      <w:pPr>
        <w:pStyle w:val="NoSpacing"/>
        <w:spacing w:before="120" w:after="120" w:line="360" w:lineRule="auto"/>
        <w:jc w:val="both"/>
        <w:rPr>
          <w:color w:val="00B0F0"/>
        </w:rPr>
      </w:pPr>
      <w:r w:rsidRPr="001C59D5">
        <w:t>Tijekom 202</w:t>
      </w:r>
      <w:r>
        <w:t>4</w:t>
      </w:r>
      <w:r w:rsidRPr="001C59D5">
        <w:t xml:space="preserve">. godine investicije u dugotrajnu imovinu iznosile su </w:t>
      </w:r>
      <w:r>
        <w:t>1.622.619 eura</w:t>
      </w:r>
      <w:r w:rsidRPr="00F06D1A">
        <w:t xml:space="preserve"> </w:t>
      </w:r>
      <w:r w:rsidRPr="001C59D5">
        <w:t>od čega su najznačajnije:</w:t>
      </w:r>
      <w:r>
        <w:t xml:space="preserve"> nabava plinogeneratora u iznosu od 445.000 eura, nabava novih poluprikolica za prijevoz otpada u iznosu od 396.800 eura, nastavak izgradnje sustava otplinjavanja odlagališne plohe 1B u iznosu od 114.765 eura te početak izgradnje sustava otplinjavanja odlagališne plohe 1C u iznosu od 224.447 eura</w:t>
      </w:r>
      <w:r w:rsidR="00565247">
        <w:t>.</w:t>
      </w:r>
      <w:r w:rsidR="00BA4328">
        <w:rPr>
          <w:color w:val="00B0F0"/>
        </w:rPr>
        <w:t xml:space="preserve"> </w:t>
      </w:r>
      <w:r w:rsidRPr="000B7CA0">
        <w:t>Ukupna obračunata amortizacija dugotrajne materijalne imovine za 202</w:t>
      </w:r>
      <w:r w:rsidR="00565247" w:rsidRPr="000B7CA0">
        <w:t>4</w:t>
      </w:r>
      <w:r w:rsidRPr="000B7CA0">
        <w:t>. iznosi 3.</w:t>
      </w:r>
      <w:r w:rsidR="000B7CA0" w:rsidRPr="000B7CA0">
        <w:t>203.355</w:t>
      </w:r>
      <w:r w:rsidRPr="000B7CA0">
        <w:t xml:space="preserve"> eura.</w:t>
      </w:r>
    </w:p>
    <w:p w14:paraId="71226ABF" w14:textId="6F008D86" w:rsidR="00BA4328" w:rsidRPr="001C59D5" w:rsidRDefault="00760F41" w:rsidP="00BA4328">
      <w:pPr>
        <w:pStyle w:val="NoSpacing"/>
        <w:spacing w:before="120" w:after="120" w:line="360" w:lineRule="auto"/>
        <w:jc w:val="both"/>
      </w:pPr>
      <w:r w:rsidRPr="005C1BE1">
        <w:t>Materijalna imovina u pripremi povećana</w:t>
      </w:r>
      <w:r w:rsidR="00CC7CE9">
        <w:t xml:space="preserve"> je</w:t>
      </w:r>
      <w:r w:rsidRPr="005C1BE1">
        <w:t xml:space="preserve"> u odnosu na prethodnu godinu za 81% </w:t>
      </w:r>
      <w:r w:rsidR="00BA4328" w:rsidRPr="00BA4328">
        <w:t>ponajprije zbog nabave plinogeneratora koji još nije stavljen u funkciju te je iz tog razloga iskazan unutar ove stavke.</w:t>
      </w:r>
    </w:p>
    <w:p w14:paraId="6F0E7F2C" w14:textId="1215E4B4" w:rsidR="003863D1" w:rsidRDefault="00F43BCA" w:rsidP="00246730">
      <w:pPr>
        <w:pStyle w:val="Caption"/>
        <w:spacing w:before="240" w:after="240"/>
        <w:rPr>
          <w:rFonts w:asciiTheme="minorHAnsi" w:hAnsiTheme="minorHAnsi" w:cstheme="minorHAnsi"/>
          <w:b w:val="0"/>
          <w:bCs w:val="0"/>
          <w:sz w:val="22"/>
          <w:szCs w:val="22"/>
        </w:rPr>
      </w:pPr>
      <w:bookmarkStart w:id="8" w:name="_Toc200366440"/>
      <w:r w:rsidRPr="00726637">
        <w:rPr>
          <w:rFonts w:asciiTheme="minorHAnsi" w:hAnsiTheme="minorHAnsi" w:cstheme="minorHAnsi"/>
          <w:sz w:val="22"/>
          <w:szCs w:val="22"/>
        </w:rPr>
        <w:t>Tablica</w:t>
      </w:r>
      <w:r w:rsidRPr="00CF0B49">
        <w:rPr>
          <w:rFonts w:asciiTheme="minorHAnsi" w:hAnsiTheme="minorHAnsi" w:cstheme="minorHAnsi"/>
          <w:sz w:val="22"/>
          <w:szCs w:val="22"/>
        </w:rPr>
        <w:t xml:space="preserve"> </w:t>
      </w:r>
      <w:r w:rsidRPr="00CF0B49">
        <w:rPr>
          <w:rFonts w:asciiTheme="minorHAnsi" w:hAnsiTheme="minorHAnsi" w:cstheme="minorHAnsi"/>
          <w:sz w:val="22"/>
          <w:szCs w:val="22"/>
        </w:rPr>
        <w:fldChar w:fldCharType="begin"/>
      </w:r>
      <w:r w:rsidRPr="00CF0B49">
        <w:rPr>
          <w:rFonts w:asciiTheme="minorHAnsi" w:hAnsiTheme="minorHAnsi" w:cstheme="minorHAnsi"/>
          <w:sz w:val="22"/>
          <w:szCs w:val="22"/>
        </w:rPr>
        <w:instrText xml:space="preserve"> SEQ Tablica \* ARABIC </w:instrText>
      </w:r>
      <w:r w:rsidRPr="00CF0B49">
        <w:rPr>
          <w:rFonts w:asciiTheme="minorHAnsi" w:hAnsiTheme="minorHAnsi" w:cstheme="minorHAnsi"/>
          <w:sz w:val="22"/>
          <w:szCs w:val="22"/>
        </w:rPr>
        <w:fldChar w:fldCharType="separate"/>
      </w:r>
      <w:r w:rsidR="00A1075A">
        <w:rPr>
          <w:rFonts w:asciiTheme="minorHAnsi" w:hAnsiTheme="minorHAnsi" w:cstheme="minorHAnsi"/>
          <w:noProof/>
          <w:sz w:val="22"/>
          <w:szCs w:val="22"/>
        </w:rPr>
        <w:t>2</w:t>
      </w:r>
      <w:r w:rsidRPr="00CF0B49">
        <w:rPr>
          <w:rFonts w:asciiTheme="minorHAnsi" w:hAnsiTheme="minorHAnsi" w:cstheme="minorHAnsi"/>
          <w:sz w:val="22"/>
          <w:szCs w:val="22"/>
        </w:rPr>
        <w:fldChar w:fldCharType="end"/>
      </w:r>
      <w:r w:rsidRPr="00840E6B">
        <w:rPr>
          <w:rFonts w:asciiTheme="minorHAnsi" w:hAnsiTheme="minorHAnsi" w:cstheme="minorHAnsi"/>
          <w:b w:val="0"/>
          <w:bCs w:val="0"/>
          <w:sz w:val="22"/>
          <w:szCs w:val="22"/>
        </w:rPr>
        <w:t>.</w:t>
      </w:r>
      <w:r w:rsidRPr="00C6005A">
        <w:rPr>
          <w:rFonts w:asciiTheme="minorHAnsi" w:hAnsiTheme="minorHAnsi" w:cstheme="minorHAnsi"/>
          <w:sz w:val="22"/>
          <w:szCs w:val="22"/>
        </w:rPr>
        <w:t xml:space="preserve"> </w:t>
      </w:r>
      <w:r w:rsidRPr="00C6005A">
        <w:rPr>
          <w:rFonts w:asciiTheme="minorHAnsi" w:hAnsiTheme="minorHAnsi" w:cstheme="minorHAnsi"/>
          <w:b w:val="0"/>
          <w:bCs w:val="0"/>
          <w:sz w:val="22"/>
          <w:szCs w:val="22"/>
        </w:rPr>
        <w:t>Popunjenost ploha na dan 31.12.202</w:t>
      </w:r>
      <w:r w:rsidR="008C7016">
        <w:rPr>
          <w:rFonts w:asciiTheme="minorHAnsi" w:hAnsiTheme="minorHAnsi" w:cstheme="minorHAnsi"/>
          <w:b w:val="0"/>
          <w:bCs w:val="0"/>
          <w:sz w:val="22"/>
          <w:szCs w:val="22"/>
        </w:rPr>
        <w:t>4</w:t>
      </w:r>
      <w:r w:rsidRPr="00C6005A">
        <w:rPr>
          <w:rFonts w:asciiTheme="minorHAnsi" w:hAnsiTheme="minorHAnsi" w:cstheme="minorHAnsi"/>
          <w:b w:val="0"/>
          <w:bCs w:val="0"/>
          <w:sz w:val="22"/>
          <w:szCs w:val="22"/>
        </w:rPr>
        <w:t>. godine</w:t>
      </w:r>
      <w:bookmarkEnd w:id="8"/>
    </w:p>
    <w:tbl>
      <w:tblPr>
        <w:tblW w:w="8590" w:type="dxa"/>
        <w:tblCellSpacing w:w="15" w:type="dxa"/>
        <w:tblCellMar>
          <w:top w:w="15" w:type="dxa"/>
          <w:left w:w="15" w:type="dxa"/>
          <w:bottom w:w="15" w:type="dxa"/>
          <w:right w:w="15" w:type="dxa"/>
        </w:tblCellMar>
        <w:tblLook w:val="04A0" w:firstRow="1" w:lastRow="0" w:firstColumn="1" w:lastColumn="0" w:noHBand="0" w:noVBand="1"/>
      </w:tblPr>
      <w:tblGrid>
        <w:gridCol w:w="986"/>
        <w:gridCol w:w="2527"/>
        <w:gridCol w:w="2309"/>
        <w:gridCol w:w="105"/>
        <w:gridCol w:w="2663"/>
      </w:tblGrid>
      <w:tr w:rsidR="009670B7" w:rsidRPr="005B630F" w14:paraId="7DE85505" w14:textId="77777777" w:rsidTr="009670B7">
        <w:trPr>
          <w:trHeight w:val="424"/>
          <w:tblHeader/>
          <w:tblCellSpacing w:w="15" w:type="dxa"/>
        </w:trPr>
        <w:tc>
          <w:tcPr>
            <w:tcW w:w="0" w:type="auto"/>
            <w:vAlign w:val="center"/>
            <w:hideMark/>
          </w:tcPr>
          <w:p w14:paraId="32C070D8" w14:textId="77777777" w:rsidR="009670B7" w:rsidRPr="009670B7" w:rsidRDefault="009670B7" w:rsidP="009670B7">
            <w:pPr>
              <w:rPr>
                <w:b/>
                <w:bCs/>
                <w:sz w:val="18"/>
                <w:szCs w:val="18"/>
              </w:rPr>
            </w:pPr>
            <w:r w:rsidRPr="009670B7">
              <w:rPr>
                <w:b/>
                <w:bCs/>
                <w:sz w:val="18"/>
                <w:szCs w:val="18"/>
              </w:rPr>
              <w:t>Ploha</w:t>
            </w:r>
          </w:p>
        </w:tc>
        <w:tc>
          <w:tcPr>
            <w:tcW w:w="0" w:type="auto"/>
            <w:vAlign w:val="center"/>
            <w:hideMark/>
          </w:tcPr>
          <w:p w14:paraId="1BB5CB3D" w14:textId="77777777" w:rsidR="009670B7" w:rsidRPr="009670B7" w:rsidRDefault="009670B7" w:rsidP="009670B7">
            <w:pPr>
              <w:rPr>
                <w:b/>
                <w:bCs/>
                <w:sz w:val="18"/>
                <w:szCs w:val="18"/>
              </w:rPr>
            </w:pPr>
            <w:r w:rsidRPr="009670B7">
              <w:rPr>
                <w:b/>
                <w:bCs/>
                <w:sz w:val="18"/>
                <w:szCs w:val="18"/>
              </w:rPr>
              <w:t>Popunjeno (m³)</w:t>
            </w:r>
          </w:p>
        </w:tc>
        <w:tc>
          <w:tcPr>
            <w:tcW w:w="0" w:type="auto"/>
            <w:vAlign w:val="center"/>
            <w:hideMark/>
          </w:tcPr>
          <w:p w14:paraId="2842A28D" w14:textId="77777777" w:rsidR="009670B7" w:rsidRPr="009670B7" w:rsidRDefault="009670B7" w:rsidP="009670B7">
            <w:pPr>
              <w:rPr>
                <w:b/>
                <w:bCs/>
                <w:sz w:val="18"/>
                <w:szCs w:val="18"/>
              </w:rPr>
            </w:pPr>
            <w:r w:rsidRPr="009670B7">
              <w:rPr>
                <w:b/>
                <w:bCs/>
                <w:sz w:val="18"/>
                <w:szCs w:val="18"/>
              </w:rPr>
              <w:t>Kapacitet (m³)</w:t>
            </w:r>
          </w:p>
        </w:tc>
        <w:tc>
          <w:tcPr>
            <w:tcW w:w="0" w:type="auto"/>
            <w:vAlign w:val="center"/>
          </w:tcPr>
          <w:p w14:paraId="1F62C854" w14:textId="526A5151" w:rsidR="009670B7" w:rsidRPr="009670B7" w:rsidRDefault="009670B7" w:rsidP="009670B7">
            <w:pPr>
              <w:rPr>
                <w:b/>
                <w:bCs/>
                <w:sz w:val="18"/>
                <w:szCs w:val="18"/>
              </w:rPr>
            </w:pPr>
          </w:p>
        </w:tc>
        <w:tc>
          <w:tcPr>
            <w:tcW w:w="0" w:type="auto"/>
            <w:vAlign w:val="center"/>
            <w:hideMark/>
          </w:tcPr>
          <w:p w14:paraId="2BABEE79" w14:textId="5545D67B" w:rsidR="009670B7" w:rsidRPr="009670B7" w:rsidRDefault="009670B7" w:rsidP="009670B7">
            <w:pPr>
              <w:rPr>
                <w:b/>
                <w:bCs/>
                <w:sz w:val="18"/>
                <w:szCs w:val="18"/>
              </w:rPr>
            </w:pPr>
            <w:r w:rsidRPr="005B630F">
              <w:rPr>
                <w:b/>
                <w:bCs/>
                <w:sz w:val="18"/>
                <w:szCs w:val="18"/>
              </w:rPr>
              <w:t>Popunjenost (%)</w:t>
            </w:r>
          </w:p>
        </w:tc>
      </w:tr>
      <w:tr w:rsidR="009670B7" w:rsidRPr="005B630F" w14:paraId="71195897" w14:textId="77777777" w:rsidTr="009670B7">
        <w:trPr>
          <w:trHeight w:val="447"/>
          <w:tblCellSpacing w:w="15" w:type="dxa"/>
        </w:trPr>
        <w:tc>
          <w:tcPr>
            <w:tcW w:w="0" w:type="auto"/>
            <w:vAlign w:val="center"/>
            <w:hideMark/>
          </w:tcPr>
          <w:p w14:paraId="5512A271" w14:textId="77777777" w:rsidR="009670B7" w:rsidRPr="009670B7" w:rsidRDefault="009670B7" w:rsidP="009670B7">
            <w:pPr>
              <w:rPr>
                <w:sz w:val="18"/>
                <w:szCs w:val="18"/>
              </w:rPr>
            </w:pPr>
            <w:r w:rsidRPr="009670B7">
              <w:rPr>
                <w:sz w:val="18"/>
                <w:szCs w:val="18"/>
              </w:rPr>
              <w:t>1A</w:t>
            </w:r>
          </w:p>
        </w:tc>
        <w:tc>
          <w:tcPr>
            <w:tcW w:w="0" w:type="auto"/>
            <w:vAlign w:val="center"/>
            <w:hideMark/>
          </w:tcPr>
          <w:p w14:paraId="46EEAC2E" w14:textId="77777777" w:rsidR="009670B7" w:rsidRPr="009670B7" w:rsidRDefault="009670B7" w:rsidP="009670B7">
            <w:pPr>
              <w:rPr>
                <w:sz w:val="18"/>
                <w:szCs w:val="18"/>
              </w:rPr>
            </w:pPr>
            <w:r w:rsidRPr="009670B7">
              <w:rPr>
                <w:sz w:val="18"/>
                <w:szCs w:val="18"/>
              </w:rPr>
              <w:t>302.387</w:t>
            </w:r>
          </w:p>
        </w:tc>
        <w:tc>
          <w:tcPr>
            <w:tcW w:w="0" w:type="auto"/>
            <w:vAlign w:val="center"/>
            <w:hideMark/>
          </w:tcPr>
          <w:p w14:paraId="4D504677" w14:textId="77777777" w:rsidR="009670B7" w:rsidRPr="009670B7" w:rsidRDefault="009670B7" w:rsidP="009670B7">
            <w:pPr>
              <w:rPr>
                <w:sz w:val="18"/>
                <w:szCs w:val="18"/>
              </w:rPr>
            </w:pPr>
            <w:r w:rsidRPr="009670B7">
              <w:rPr>
                <w:sz w:val="18"/>
                <w:szCs w:val="18"/>
              </w:rPr>
              <w:t>302.387</w:t>
            </w:r>
          </w:p>
        </w:tc>
        <w:tc>
          <w:tcPr>
            <w:tcW w:w="0" w:type="auto"/>
            <w:vAlign w:val="center"/>
          </w:tcPr>
          <w:p w14:paraId="1BAC1056" w14:textId="53BE67CB" w:rsidR="009670B7" w:rsidRPr="009670B7" w:rsidRDefault="009670B7" w:rsidP="009670B7">
            <w:pPr>
              <w:rPr>
                <w:sz w:val="18"/>
                <w:szCs w:val="18"/>
              </w:rPr>
            </w:pPr>
          </w:p>
        </w:tc>
        <w:tc>
          <w:tcPr>
            <w:tcW w:w="0" w:type="auto"/>
            <w:vAlign w:val="center"/>
            <w:hideMark/>
          </w:tcPr>
          <w:p w14:paraId="32FB6333" w14:textId="73421A27" w:rsidR="009670B7" w:rsidRPr="009670B7" w:rsidRDefault="009670B7" w:rsidP="009670B7">
            <w:pPr>
              <w:rPr>
                <w:sz w:val="18"/>
                <w:szCs w:val="18"/>
              </w:rPr>
            </w:pPr>
            <w:r w:rsidRPr="009670B7">
              <w:rPr>
                <w:sz w:val="18"/>
                <w:szCs w:val="18"/>
              </w:rPr>
              <w:t xml:space="preserve">100% </w:t>
            </w:r>
          </w:p>
        </w:tc>
      </w:tr>
      <w:tr w:rsidR="009670B7" w:rsidRPr="005B630F" w14:paraId="28360BF2" w14:textId="77777777" w:rsidTr="009670B7">
        <w:trPr>
          <w:trHeight w:val="447"/>
          <w:tblCellSpacing w:w="15" w:type="dxa"/>
        </w:trPr>
        <w:tc>
          <w:tcPr>
            <w:tcW w:w="0" w:type="auto"/>
            <w:vAlign w:val="center"/>
            <w:hideMark/>
          </w:tcPr>
          <w:p w14:paraId="74689A7B" w14:textId="77777777" w:rsidR="009670B7" w:rsidRPr="009670B7" w:rsidRDefault="009670B7" w:rsidP="009670B7">
            <w:pPr>
              <w:rPr>
                <w:sz w:val="18"/>
                <w:szCs w:val="18"/>
              </w:rPr>
            </w:pPr>
            <w:r w:rsidRPr="009670B7">
              <w:rPr>
                <w:sz w:val="18"/>
                <w:szCs w:val="18"/>
              </w:rPr>
              <w:t>1B</w:t>
            </w:r>
          </w:p>
        </w:tc>
        <w:tc>
          <w:tcPr>
            <w:tcW w:w="0" w:type="auto"/>
            <w:vAlign w:val="center"/>
            <w:hideMark/>
          </w:tcPr>
          <w:p w14:paraId="6BFB43D0" w14:textId="77777777" w:rsidR="009670B7" w:rsidRPr="009670B7" w:rsidRDefault="009670B7" w:rsidP="009670B7">
            <w:pPr>
              <w:rPr>
                <w:sz w:val="18"/>
                <w:szCs w:val="18"/>
              </w:rPr>
            </w:pPr>
            <w:r w:rsidRPr="009670B7">
              <w:rPr>
                <w:sz w:val="18"/>
                <w:szCs w:val="18"/>
              </w:rPr>
              <w:t>224.897</w:t>
            </w:r>
          </w:p>
        </w:tc>
        <w:tc>
          <w:tcPr>
            <w:tcW w:w="0" w:type="auto"/>
            <w:vAlign w:val="center"/>
            <w:hideMark/>
          </w:tcPr>
          <w:p w14:paraId="21656864" w14:textId="77777777" w:rsidR="009670B7" w:rsidRPr="009670B7" w:rsidRDefault="009670B7" w:rsidP="009670B7">
            <w:pPr>
              <w:rPr>
                <w:sz w:val="18"/>
                <w:szCs w:val="18"/>
              </w:rPr>
            </w:pPr>
            <w:r w:rsidRPr="009670B7">
              <w:rPr>
                <w:sz w:val="18"/>
                <w:szCs w:val="18"/>
              </w:rPr>
              <w:t>303.514</w:t>
            </w:r>
          </w:p>
        </w:tc>
        <w:tc>
          <w:tcPr>
            <w:tcW w:w="0" w:type="auto"/>
            <w:vAlign w:val="center"/>
          </w:tcPr>
          <w:p w14:paraId="4A629879" w14:textId="4AA0A8A4" w:rsidR="009670B7" w:rsidRPr="009670B7" w:rsidRDefault="009670B7" w:rsidP="009670B7">
            <w:pPr>
              <w:rPr>
                <w:sz w:val="18"/>
                <w:szCs w:val="18"/>
              </w:rPr>
            </w:pPr>
          </w:p>
        </w:tc>
        <w:tc>
          <w:tcPr>
            <w:tcW w:w="0" w:type="auto"/>
            <w:vAlign w:val="center"/>
            <w:hideMark/>
          </w:tcPr>
          <w:p w14:paraId="4380331F" w14:textId="49F23278" w:rsidR="009670B7" w:rsidRPr="009670B7" w:rsidRDefault="009670B7" w:rsidP="009670B7">
            <w:pPr>
              <w:rPr>
                <w:sz w:val="18"/>
                <w:szCs w:val="18"/>
              </w:rPr>
            </w:pPr>
            <w:r w:rsidRPr="009670B7">
              <w:rPr>
                <w:sz w:val="18"/>
                <w:szCs w:val="18"/>
              </w:rPr>
              <w:t xml:space="preserve">74% </w:t>
            </w:r>
          </w:p>
        </w:tc>
      </w:tr>
      <w:tr w:rsidR="009670B7" w:rsidRPr="005B630F" w14:paraId="3E7020C4" w14:textId="77777777" w:rsidTr="009670B7">
        <w:trPr>
          <w:trHeight w:val="447"/>
          <w:tblCellSpacing w:w="15" w:type="dxa"/>
        </w:trPr>
        <w:tc>
          <w:tcPr>
            <w:tcW w:w="0" w:type="auto"/>
            <w:vAlign w:val="center"/>
            <w:hideMark/>
          </w:tcPr>
          <w:p w14:paraId="3C751B08" w14:textId="77777777" w:rsidR="009670B7" w:rsidRPr="009670B7" w:rsidRDefault="009670B7" w:rsidP="009670B7">
            <w:pPr>
              <w:rPr>
                <w:sz w:val="18"/>
                <w:szCs w:val="18"/>
              </w:rPr>
            </w:pPr>
            <w:r w:rsidRPr="009670B7">
              <w:rPr>
                <w:sz w:val="18"/>
                <w:szCs w:val="18"/>
              </w:rPr>
              <w:t>1C</w:t>
            </w:r>
          </w:p>
        </w:tc>
        <w:tc>
          <w:tcPr>
            <w:tcW w:w="0" w:type="auto"/>
            <w:vAlign w:val="center"/>
            <w:hideMark/>
          </w:tcPr>
          <w:p w14:paraId="739ACCC2" w14:textId="77777777" w:rsidR="009670B7" w:rsidRPr="009670B7" w:rsidRDefault="009670B7" w:rsidP="009670B7">
            <w:pPr>
              <w:rPr>
                <w:sz w:val="18"/>
                <w:szCs w:val="18"/>
              </w:rPr>
            </w:pPr>
            <w:r w:rsidRPr="009670B7">
              <w:rPr>
                <w:sz w:val="18"/>
                <w:szCs w:val="18"/>
              </w:rPr>
              <w:t>50.431</w:t>
            </w:r>
          </w:p>
        </w:tc>
        <w:tc>
          <w:tcPr>
            <w:tcW w:w="0" w:type="auto"/>
            <w:vAlign w:val="center"/>
            <w:hideMark/>
          </w:tcPr>
          <w:p w14:paraId="14AE19ED" w14:textId="77777777" w:rsidR="009670B7" w:rsidRPr="009670B7" w:rsidRDefault="009670B7" w:rsidP="009670B7">
            <w:pPr>
              <w:rPr>
                <w:sz w:val="18"/>
                <w:szCs w:val="18"/>
              </w:rPr>
            </w:pPr>
            <w:r w:rsidRPr="009670B7">
              <w:rPr>
                <w:sz w:val="18"/>
                <w:szCs w:val="18"/>
              </w:rPr>
              <w:t>459.599</w:t>
            </w:r>
          </w:p>
        </w:tc>
        <w:tc>
          <w:tcPr>
            <w:tcW w:w="0" w:type="auto"/>
            <w:vAlign w:val="center"/>
          </w:tcPr>
          <w:p w14:paraId="76255EDA" w14:textId="107289E0" w:rsidR="009670B7" w:rsidRPr="009670B7" w:rsidRDefault="009670B7" w:rsidP="009670B7">
            <w:pPr>
              <w:rPr>
                <w:sz w:val="18"/>
                <w:szCs w:val="18"/>
              </w:rPr>
            </w:pPr>
          </w:p>
        </w:tc>
        <w:tc>
          <w:tcPr>
            <w:tcW w:w="0" w:type="auto"/>
            <w:vAlign w:val="center"/>
            <w:hideMark/>
          </w:tcPr>
          <w:p w14:paraId="12B4D586" w14:textId="6B86F970" w:rsidR="009670B7" w:rsidRPr="009670B7" w:rsidRDefault="009670B7" w:rsidP="009670B7">
            <w:pPr>
              <w:rPr>
                <w:sz w:val="18"/>
                <w:szCs w:val="18"/>
              </w:rPr>
            </w:pPr>
            <w:r w:rsidRPr="009670B7">
              <w:rPr>
                <w:sz w:val="18"/>
                <w:szCs w:val="18"/>
              </w:rPr>
              <w:t xml:space="preserve">11% </w:t>
            </w:r>
          </w:p>
        </w:tc>
      </w:tr>
    </w:tbl>
    <w:p w14:paraId="16B8ABBD" w14:textId="77777777" w:rsidR="009670B7" w:rsidRPr="009670B7" w:rsidRDefault="009670B7" w:rsidP="009670B7"/>
    <w:p w14:paraId="4BD27DB2" w14:textId="77777777" w:rsidR="009670B7" w:rsidRPr="009670B7" w:rsidRDefault="009670B7" w:rsidP="00441CEF">
      <w:pPr>
        <w:pStyle w:val="NoSpacing"/>
        <w:spacing w:line="360" w:lineRule="auto"/>
        <w:jc w:val="both"/>
      </w:pPr>
      <w:r w:rsidRPr="009670B7">
        <w:t>Iskorištenost odlagališnih ploha na dan 31. prosinca 2024. godine prikazana je u Tablici 2.</w:t>
      </w:r>
    </w:p>
    <w:p w14:paraId="652D0442" w14:textId="76CEA970" w:rsidR="009670B7" w:rsidRPr="009670B7" w:rsidRDefault="009670B7" w:rsidP="00441CEF">
      <w:pPr>
        <w:pStyle w:val="NoSpacing"/>
        <w:spacing w:line="360" w:lineRule="auto"/>
        <w:jc w:val="both"/>
      </w:pPr>
      <w:r w:rsidRPr="009670B7">
        <w:rPr>
          <w:b/>
          <w:bCs/>
        </w:rPr>
        <w:t>Odlagališna ploha 1A</w:t>
      </w:r>
      <w:r w:rsidRPr="009670B7">
        <w:t xml:space="preserve"> u potpunosti</w:t>
      </w:r>
      <w:r w:rsidR="00586729">
        <w:t xml:space="preserve"> je</w:t>
      </w:r>
      <w:r w:rsidRPr="009670B7">
        <w:t xml:space="preserve"> popunjena (100% kapaciteta). Postoji mogućnost minimalne nadopune tijekom narednih godina, uslijed slijeganja otpada.</w:t>
      </w:r>
    </w:p>
    <w:p w14:paraId="0B0935B7" w14:textId="0583061F" w:rsidR="009670B7" w:rsidRPr="009670B7" w:rsidRDefault="009670B7" w:rsidP="00441CEF">
      <w:pPr>
        <w:pStyle w:val="NoSpacing"/>
        <w:spacing w:line="360" w:lineRule="auto"/>
        <w:jc w:val="both"/>
      </w:pPr>
      <w:r w:rsidRPr="009670B7">
        <w:rPr>
          <w:b/>
          <w:bCs/>
        </w:rPr>
        <w:t>Odlagališna ploha 1B</w:t>
      </w:r>
      <w:r w:rsidRPr="009670B7">
        <w:t xml:space="preserve"> popunjena je s 224.897 m³, što čini 74% ukupnog kapaciteta koji iznosi 303.514 m³. U odnosu na prethodnu godinu (69%), zabilježen je rast iskorištenosti za 5</w:t>
      </w:r>
      <w:r>
        <w:t>%</w:t>
      </w:r>
      <w:r w:rsidRPr="009670B7">
        <w:t>.</w:t>
      </w:r>
    </w:p>
    <w:p w14:paraId="134FF827" w14:textId="35DE5511" w:rsidR="00CD74EC" w:rsidRPr="001C59D5" w:rsidRDefault="009670B7" w:rsidP="00441CEF">
      <w:pPr>
        <w:pStyle w:val="NoSpacing"/>
        <w:spacing w:line="360" w:lineRule="auto"/>
        <w:jc w:val="both"/>
      </w:pPr>
      <w:r w:rsidRPr="009670B7">
        <w:rPr>
          <w:b/>
          <w:bCs/>
        </w:rPr>
        <w:t>Odlagališna ploha 1C</w:t>
      </w:r>
      <w:r w:rsidRPr="009670B7">
        <w:t xml:space="preserve"> na dan izvještavanja popunjena je s 50.431 m³, odnosno 11% kapaciteta (u odnosu na 3% u 2023. godini), što ukazuje na nastavak postupnog korištenja novoizgrađene plohe.</w:t>
      </w:r>
    </w:p>
    <w:p w14:paraId="5E80D2D4" w14:textId="0F24EE8D" w:rsidR="005742C7" w:rsidRPr="005742C7" w:rsidRDefault="00C27226" w:rsidP="005742C7">
      <w:pPr>
        <w:pStyle w:val="NoSpacing"/>
        <w:spacing w:before="120" w:line="360" w:lineRule="auto"/>
        <w:jc w:val="both"/>
      </w:pPr>
      <w:r w:rsidRPr="001C59D5">
        <w:rPr>
          <w:b/>
          <w:bCs/>
        </w:rPr>
        <w:lastRenderedPageBreak/>
        <w:t>Nematerijalna imovina</w:t>
      </w:r>
      <w:r w:rsidRPr="001C59D5">
        <w:t xml:space="preserve"> </w:t>
      </w:r>
      <w:r w:rsidR="005742C7" w:rsidRPr="005742C7">
        <w:t>na dan 31. prosinca 2024. godine iznosi 2.773 eura te se odnosi na računalni softver i licence. U odnosu na prethodnu godinu (3.753 eura), bilježi se smanjenje od 26%, kao posljedica redovne amortizacije. Ukupno obračunata amortizacija za 2024. godinu iznosi 980 eura.</w:t>
      </w:r>
    </w:p>
    <w:p w14:paraId="6B9511B9" w14:textId="77777777" w:rsidR="00926CA7" w:rsidRDefault="005742C7" w:rsidP="00926CA7">
      <w:pPr>
        <w:spacing w:line="360" w:lineRule="auto"/>
        <w:jc w:val="both"/>
      </w:pPr>
      <w:bookmarkStart w:id="9" w:name="_Hlk199932287"/>
      <w:bookmarkStart w:id="10" w:name="_Hlk38988803"/>
      <w:bookmarkStart w:id="11" w:name="_Hlk102464007"/>
      <w:r w:rsidRPr="005742C7">
        <w:rPr>
          <w:b/>
          <w:bCs/>
        </w:rPr>
        <w:t xml:space="preserve">Odgođena porezna </w:t>
      </w:r>
      <w:r w:rsidRPr="005742C7">
        <w:t>imovina na dan 31. prosinca 2024. iznosi 164.249 eura, što predstavlja smanjenje od 5% u odnosu na prethodnu godinu (172.229 eura).</w:t>
      </w:r>
      <w:r w:rsidR="00926CA7">
        <w:t xml:space="preserve"> </w:t>
      </w:r>
      <w:r w:rsidR="00926CA7" w:rsidRPr="00926CA7">
        <w:t>Na promjenu su utjecala dva ključna čimbenika</w:t>
      </w:r>
      <w:r w:rsidR="00926CA7">
        <w:t xml:space="preserve"> koji uključuju </w:t>
      </w:r>
      <w:r w:rsidR="00926CA7" w:rsidRPr="00926CA7">
        <w:t>povećanje odgođene porezne imovine u iznosu od 45.459 eura, temeljem priznanja poreznog gubitka, te</w:t>
      </w:r>
      <w:r w:rsidR="00926CA7">
        <w:t xml:space="preserve"> </w:t>
      </w:r>
      <w:r w:rsidR="00C75CBC" w:rsidRPr="009E15A1">
        <w:t>od 53.439 eura</w:t>
      </w:r>
      <w:r w:rsidR="00926CA7">
        <w:t xml:space="preserve">, </w:t>
      </w:r>
      <w:r w:rsidR="00926CA7" w:rsidRPr="00926CA7">
        <w:t>koje se odnosi na nepriznati dio amortizacije odlagališne plohe 1A.</w:t>
      </w:r>
      <w:r w:rsidR="00C75CBC">
        <w:t xml:space="preserve"> </w:t>
      </w:r>
    </w:p>
    <w:p w14:paraId="34B37C30" w14:textId="44D64800" w:rsidR="00F238C6" w:rsidRPr="00926CA7" w:rsidRDefault="005742C7" w:rsidP="00926CA7">
      <w:pPr>
        <w:spacing w:line="360" w:lineRule="auto"/>
        <w:jc w:val="both"/>
      </w:pPr>
      <w:r w:rsidRPr="005742C7">
        <w:t>Smanjenje je rezultat usklađivanja iznosa amortizacije s porezno priznatim stopama.</w:t>
      </w:r>
      <w:r>
        <w:rPr>
          <w:b/>
          <w:bCs/>
        </w:rPr>
        <w:t xml:space="preserve"> </w:t>
      </w:r>
      <w:r w:rsidR="00C27226" w:rsidRPr="00F87F59">
        <w:t>Ploha 1A amortizira</w:t>
      </w:r>
      <w:r w:rsidR="00C27226" w:rsidRPr="00F725B5">
        <w:t>la</w:t>
      </w:r>
      <w:r w:rsidR="00896C84">
        <w:t xml:space="preserve"> se</w:t>
      </w:r>
      <w:r w:rsidR="00C27226" w:rsidRPr="00F87F59">
        <w:t xml:space="preserve"> iznad porezno priznatih stopa </w:t>
      </w:r>
      <w:r w:rsidR="00C27226" w:rsidRPr="00F725B5">
        <w:t>(</w:t>
      </w:r>
      <w:r w:rsidR="00C27226" w:rsidRPr="00F87F59">
        <w:t>temeljem geodetskih mjerenja kojima je utvrđena popunjenost plohe u odnosu na njezin maksimalni kapacitet</w:t>
      </w:r>
      <w:r w:rsidR="00C27226" w:rsidRPr="00F725B5">
        <w:t>) te se zbog toga akumulirala odgođena porezna imovina. U 202</w:t>
      </w:r>
      <w:r w:rsidR="0042132D">
        <w:t>4</w:t>
      </w:r>
      <w:r w:rsidR="00C27226" w:rsidRPr="00F725B5">
        <w:t>. godini  iznos amortizacije odlagališne plohe ne prelazi maksimalni trošak temeljem zakonskih stopa te se sukladno tome smanjuje odgođena porezna imovina.</w:t>
      </w:r>
      <w:bookmarkEnd w:id="9"/>
      <w:r w:rsidR="00C27226" w:rsidRPr="00A35B4E">
        <w:rPr>
          <w:b/>
          <w:bCs/>
          <w:color w:val="EE0000"/>
        </w:rPr>
        <w:t xml:space="preserve"> </w:t>
      </w:r>
      <w:bookmarkEnd w:id="10"/>
      <w:bookmarkEnd w:id="11"/>
    </w:p>
    <w:p w14:paraId="26E3FE8A" w14:textId="77777777" w:rsidR="00C27226" w:rsidRPr="00CB3323" w:rsidRDefault="00C27226" w:rsidP="006123BD">
      <w:pPr>
        <w:pStyle w:val="NoSpacing"/>
        <w:spacing w:before="240" w:line="360" w:lineRule="auto"/>
        <w:jc w:val="both"/>
        <w:rPr>
          <w:b/>
          <w:bCs/>
        </w:rPr>
      </w:pPr>
      <w:r w:rsidRPr="00CB3323">
        <w:rPr>
          <w:b/>
          <w:bCs/>
        </w:rPr>
        <w:t>Kratkotrajna imovina</w:t>
      </w:r>
    </w:p>
    <w:p w14:paraId="7CB0D7B9" w14:textId="77777777" w:rsidR="006123BD" w:rsidRPr="006123BD" w:rsidRDefault="006123BD" w:rsidP="00CC1974">
      <w:pPr>
        <w:pStyle w:val="NoSpacing"/>
        <w:spacing w:before="120" w:line="360" w:lineRule="auto"/>
        <w:jc w:val="both"/>
      </w:pPr>
      <w:r w:rsidRPr="006123BD">
        <w:t>Kratkotrajna imovina na dan 31. prosinca 2024. godine iznosi 2.587.085 eura, te je u odnosu na 2023. godinu (2.799.022 eura) smanjena za 8%.</w:t>
      </w:r>
    </w:p>
    <w:p w14:paraId="2750CE7E" w14:textId="77777777" w:rsidR="006123BD" w:rsidRPr="006123BD" w:rsidRDefault="006123BD" w:rsidP="00CC1974">
      <w:pPr>
        <w:pStyle w:val="NoSpacing"/>
        <w:spacing w:before="120" w:line="360" w:lineRule="auto"/>
        <w:jc w:val="both"/>
      </w:pPr>
      <w:r w:rsidRPr="006123BD">
        <w:t>Pad vrijednosti kratkotrajne imovine najvećim se dijelom odnosi na potraživanja od kupaca, koja su smanjena s 2.228.034 eura na 1.844.709 eura, odnosno za 17%. Istovremeno, zalihe su povećane s 472.814 eura na 547.262 eura (povećanje od 16%), a znatan porast zabilježen je i kod potraživanja od države i drugih institucija (s 56.664 eura na 82.658 eura, što predstavlja povećanje od 46%).</w:t>
      </w:r>
    </w:p>
    <w:p w14:paraId="620E7C08" w14:textId="09A85570" w:rsidR="006123BD" w:rsidRPr="006123BD" w:rsidRDefault="006123BD" w:rsidP="00CC1974">
      <w:pPr>
        <w:pStyle w:val="NoSpacing"/>
        <w:spacing w:before="120" w:line="360" w:lineRule="auto"/>
        <w:jc w:val="both"/>
      </w:pPr>
      <w:r w:rsidRPr="006123BD">
        <w:t xml:space="preserve">U ukupnoj aktivi, kratkotrajna imovina sudjeluje s udjelom od 8,52%, čime je zadržana stabilna struktura imovine </w:t>
      </w:r>
      <w:r w:rsidR="00396EE4">
        <w:t>D</w:t>
      </w:r>
      <w:r w:rsidRPr="006123BD">
        <w:t>ruštva</w:t>
      </w:r>
      <w:r w:rsidR="00396EE4">
        <w:t>.</w:t>
      </w:r>
    </w:p>
    <w:p w14:paraId="217DE144" w14:textId="77777777" w:rsidR="002D1F60" w:rsidRDefault="003B2AD6" w:rsidP="005742C7">
      <w:pPr>
        <w:pStyle w:val="NoSpacing"/>
        <w:spacing w:before="120" w:line="360" w:lineRule="auto"/>
        <w:jc w:val="both"/>
        <w:rPr>
          <w:b/>
          <w:bCs/>
        </w:rPr>
      </w:pPr>
      <w:r w:rsidRPr="003B2AD6">
        <w:rPr>
          <w:b/>
          <w:bCs/>
        </w:rPr>
        <w:t xml:space="preserve">Zalihe sirovina i materijala </w:t>
      </w:r>
      <w:r w:rsidRPr="003B2AD6">
        <w:t>na dan 31. prosinca 2024. godine iznose 547.262 eura, što predstavlja povećanje od 16% u odnosu na prethodnu godinu. Porast se ponajprije odnosi na</w:t>
      </w:r>
      <w:r>
        <w:t xml:space="preserve"> </w:t>
      </w:r>
      <w:r w:rsidRPr="003B2AD6">
        <w:t>nabavu rezervnih dijelova za MBO postrojenje, koji će biti potrebni za zamjenu tijekom 2025. godine.</w:t>
      </w:r>
      <w:r>
        <w:rPr>
          <w:b/>
          <w:bCs/>
        </w:rPr>
        <w:t xml:space="preserve"> </w:t>
      </w:r>
    </w:p>
    <w:p w14:paraId="5ED138F9" w14:textId="50CE9D85" w:rsidR="00C27226" w:rsidRPr="00614669" w:rsidRDefault="00C27226" w:rsidP="005742C7">
      <w:pPr>
        <w:pStyle w:val="NoSpacing"/>
        <w:spacing w:before="120" w:line="360" w:lineRule="auto"/>
        <w:jc w:val="both"/>
      </w:pPr>
      <w:r w:rsidRPr="00B82528">
        <w:t xml:space="preserve">Najznačajniji dio zaliha odnosi </w:t>
      </w:r>
      <w:r w:rsidR="008C0402" w:rsidRPr="00B82528">
        <w:t xml:space="preserve">se </w:t>
      </w:r>
      <w:r w:rsidRPr="00B82528">
        <w:t xml:space="preserve">na zalihe </w:t>
      </w:r>
      <w:r w:rsidR="00557603" w:rsidRPr="00B82528">
        <w:t xml:space="preserve">rezervnih dijelova u iznosu od </w:t>
      </w:r>
      <w:r w:rsidR="000253B4" w:rsidRPr="00B82528">
        <w:t>3</w:t>
      </w:r>
      <w:r w:rsidR="00B82528" w:rsidRPr="00B82528">
        <w:t>93.837</w:t>
      </w:r>
      <w:r w:rsidR="000253B4" w:rsidRPr="00B82528">
        <w:t xml:space="preserve"> eura</w:t>
      </w:r>
      <w:r w:rsidR="00557603" w:rsidRPr="00B82528">
        <w:t xml:space="preserve">, </w:t>
      </w:r>
      <w:r w:rsidR="00557603" w:rsidRPr="00C2644C">
        <w:t xml:space="preserve">slijede zalihe </w:t>
      </w:r>
      <w:r w:rsidRPr="00C2644C">
        <w:t xml:space="preserve">potrošnog materijala u iznosu od </w:t>
      </w:r>
      <w:r w:rsidR="008D07AF" w:rsidRPr="00C2644C">
        <w:t>9</w:t>
      </w:r>
      <w:r w:rsidR="00C2644C" w:rsidRPr="00C2644C">
        <w:t>4.517</w:t>
      </w:r>
      <w:r w:rsidR="008D07AF" w:rsidRPr="00C2644C">
        <w:t xml:space="preserve"> </w:t>
      </w:r>
      <w:r w:rsidR="008D07AF" w:rsidRPr="009F6E54">
        <w:t>eura</w:t>
      </w:r>
      <w:r w:rsidRPr="009F6E54">
        <w:t>,</w:t>
      </w:r>
      <w:r w:rsidR="00557603" w:rsidRPr="009F6E54">
        <w:t xml:space="preserve"> </w:t>
      </w:r>
      <w:r w:rsidR="00614669" w:rsidRPr="00B82528">
        <w:t>zalihe goriva u iznosu od 20.529 eura</w:t>
      </w:r>
      <w:r w:rsidR="00614669">
        <w:t xml:space="preserve">, </w:t>
      </w:r>
      <w:r w:rsidR="00614669" w:rsidRPr="00B82528">
        <w:t>zalihe radne i zaštitne obuće i odjeće u iznosu od 19.908 eura</w:t>
      </w:r>
      <w:r w:rsidR="00614669">
        <w:t>,</w:t>
      </w:r>
      <w:r w:rsidR="00614669" w:rsidRPr="00B82528">
        <w:t xml:space="preserve"> </w:t>
      </w:r>
      <w:r w:rsidR="00557603" w:rsidRPr="00614669">
        <w:t xml:space="preserve">zalihe folija u iznosu od </w:t>
      </w:r>
      <w:r w:rsidR="00614669" w:rsidRPr="00614669">
        <w:t>17.87</w:t>
      </w:r>
      <w:r w:rsidR="00614669">
        <w:t>7</w:t>
      </w:r>
      <w:r w:rsidR="000B3158" w:rsidRPr="00614669">
        <w:t xml:space="preserve"> eura</w:t>
      </w:r>
      <w:r w:rsidR="00ED66FA" w:rsidRPr="00614669">
        <w:t xml:space="preserve"> </w:t>
      </w:r>
      <w:r w:rsidR="00F870A4" w:rsidRPr="00614669">
        <w:t xml:space="preserve">i ostale zalihe u iznosu od </w:t>
      </w:r>
      <w:r w:rsidR="00ED66FA" w:rsidRPr="00614669">
        <w:t>594 eura.</w:t>
      </w:r>
      <w:r w:rsidR="00F870A4" w:rsidRPr="00614669">
        <w:t xml:space="preserve"> </w:t>
      </w:r>
      <w:r w:rsidR="000253B4" w:rsidRPr="00614669">
        <w:t>Povećane su najviše zbog nabave rezervnih dijelova za MBO postrojenje koje će biti potrebno zamijeniti tijekom 202</w:t>
      </w:r>
      <w:r w:rsidR="00614669" w:rsidRPr="00614669">
        <w:t>5</w:t>
      </w:r>
      <w:r w:rsidR="000253B4" w:rsidRPr="00614669">
        <w:t>. godine.</w:t>
      </w:r>
    </w:p>
    <w:p w14:paraId="01B7C778" w14:textId="77777777" w:rsidR="00131A7C" w:rsidRPr="008D07AF" w:rsidRDefault="00131A7C">
      <w:pPr>
        <w:rPr>
          <w:b/>
          <w:bCs/>
          <w:color w:val="FF0000"/>
        </w:rPr>
      </w:pPr>
      <w:r w:rsidRPr="008D07AF">
        <w:rPr>
          <w:b/>
          <w:bCs/>
          <w:color w:val="FF0000"/>
        </w:rPr>
        <w:br w:type="page"/>
      </w:r>
    </w:p>
    <w:p w14:paraId="7BD4AD45" w14:textId="77777777" w:rsidR="00A84C1E" w:rsidRPr="00A84C1E" w:rsidRDefault="00A84C1E" w:rsidP="00A84C1E">
      <w:pPr>
        <w:pStyle w:val="NoSpacing"/>
        <w:spacing w:line="360" w:lineRule="auto"/>
        <w:jc w:val="both"/>
      </w:pPr>
      <w:r w:rsidRPr="00A84C1E">
        <w:rPr>
          <w:b/>
          <w:bCs/>
        </w:rPr>
        <w:lastRenderedPageBreak/>
        <w:t xml:space="preserve">Kratkotrajna potraživanja </w:t>
      </w:r>
      <w:r w:rsidRPr="00A84C1E">
        <w:t>na dan 31. prosinca 2024. godine iznose 2.039.823 eura, što predstavlja smanjenje od 12% u odnosu na 2023. godinu, kada su iznosila 2.326.208 eura.</w:t>
      </w:r>
    </w:p>
    <w:p w14:paraId="290829D4" w14:textId="582AF705" w:rsidR="00A84C1E" w:rsidRPr="00A84C1E" w:rsidRDefault="00A84C1E" w:rsidP="00A84C1E">
      <w:pPr>
        <w:pStyle w:val="NoSpacing"/>
        <w:spacing w:line="360" w:lineRule="auto"/>
        <w:jc w:val="both"/>
      </w:pPr>
      <w:r w:rsidRPr="00A84C1E">
        <w:t xml:space="preserve">Najveći udio i dalje imaju potraživanja od kupaca, iskazana u iznosu od 1.844.709 eura, što je 17% manje u odnosu na prethodnu godinu (2.228.034 eura). Potraživanja od kupaca odnose se na pružene usluge </w:t>
      </w:r>
      <w:r>
        <w:t>zbrinjavanja otpada</w:t>
      </w:r>
      <w:r w:rsidRPr="00A84C1E">
        <w:t xml:space="preserve"> pravnim subjektima.</w:t>
      </w:r>
    </w:p>
    <w:p w14:paraId="393963F0" w14:textId="2390187C" w:rsidR="00A84C1E" w:rsidRPr="00A84C1E" w:rsidRDefault="00A84C1E" w:rsidP="00A84C1E">
      <w:pPr>
        <w:pStyle w:val="NoSpacing"/>
        <w:spacing w:line="360" w:lineRule="auto"/>
        <w:jc w:val="both"/>
      </w:pPr>
      <w:r w:rsidRPr="00A84C1E">
        <w:t>Potraživanja od države i drugih institucija iznose 82.658 eura, što je povećanje od 46% u odnosu na 2023. godinu (56.664 eura). Ona se odnose na nadoknade za bolovanja</w:t>
      </w:r>
      <w:r w:rsidR="00FA3110">
        <w:t xml:space="preserve">, </w:t>
      </w:r>
      <w:r w:rsidR="00AE1B79">
        <w:t>pretporez (</w:t>
      </w:r>
      <w:r w:rsidR="005976DD">
        <w:t>PDV</w:t>
      </w:r>
      <w:r w:rsidR="00AE1B79">
        <w:t>)</w:t>
      </w:r>
      <w:r w:rsidR="00266C86">
        <w:t>, potraživanja za doprinose za šume</w:t>
      </w:r>
      <w:r w:rsidRPr="00A84C1E">
        <w:t xml:space="preserve"> te povrat poreza na dobit.</w:t>
      </w:r>
    </w:p>
    <w:p w14:paraId="69BBB152" w14:textId="682D0BA2" w:rsidR="00A84C1E" w:rsidRPr="00A84C1E" w:rsidRDefault="00A84C1E" w:rsidP="00A84C1E">
      <w:pPr>
        <w:pStyle w:val="NoSpacing"/>
        <w:spacing w:line="360" w:lineRule="auto"/>
        <w:jc w:val="both"/>
      </w:pPr>
      <w:r w:rsidRPr="00A84C1E">
        <w:t xml:space="preserve">Ostala potraživanja na dan 31. prosinca 2024. godine iznose 112.185 eura, što predstavlja povećanje od 170% u odnosu na prethodnu godinu (41.510 eura). </w:t>
      </w:r>
      <w:r w:rsidR="00226F0D" w:rsidRPr="00226F0D">
        <w:t xml:space="preserve">Uglavnom se odnose na dane predujmove </w:t>
      </w:r>
      <w:r w:rsidRPr="00A84C1E">
        <w:t xml:space="preserve">te </w:t>
      </w:r>
      <w:r w:rsidR="0082293C">
        <w:t>ostala potraživanja</w:t>
      </w:r>
      <w:r w:rsidRPr="00A84C1E">
        <w:t>.</w:t>
      </w:r>
    </w:p>
    <w:p w14:paraId="0B7DC5C3" w14:textId="77777777" w:rsidR="00131A7C" w:rsidRPr="00840E6B" w:rsidRDefault="00131A7C" w:rsidP="003C565C">
      <w:pPr>
        <w:pStyle w:val="NoSpacing"/>
        <w:spacing w:line="360" w:lineRule="auto"/>
        <w:jc w:val="both"/>
        <w:rPr>
          <w:color w:val="FF0000"/>
        </w:rPr>
      </w:pPr>
    </w:p>
    <w:p w14:paraId="770918FA" w14:textId="77777777" w:rsidR="00DF43A1" w:rsidRPr="00CB3323" w:rsidRDefault="00DF43A1" w:rsidP="00DF43A1">
      <w:pPr>
        <w:pStyle w:val="NoSpacing"/>
        <w:spacing w:line="360" w:lineRule="auto"/>
        <w:jc w:val="both"/>
        <w:rPr>
          <w:b/>
          <w:bCs/>
        </w:rPr>
      </w:pPr>
      <w:r w:rsidRPr="00CB3323">
        <w:rPr>
          <w:b/>
          <w:bCs/>
        </w:rPr>
        <w:t>Plaćeni troškovi budućeg razdoblja i neuplaćeni prihodi</w:t>
      </w:r>
    </w:p>
    <w:p w14:paraId="427EDF66" w14:textId="77777777" w:rsidR="000D6618" w:rsidRPr="000D6618" w:rsidRDefault="000D6618" w:rsidP="000D6618">
      <w:pPr>
        <w:pStyle w:val="NoSpacing"/>
        <w:spacing w:before="120" w:line="360" w:lineRule="auto"/>
        <w:jc w:val="both"/>
      </w:pPr>
      <w:r w:rsidRPr="000D6618">
        <w:t>Stavka plaćeni troškovi budućih razdoblja i obračunati prihodi na dan 31. prosinca 2024. godine iznosi 125.581 eura, što predstavlja smanjenje od 2% u odnosu na 2023. godinu, kada je iznosila 127.494 eura.</w:t>
      </w:r>
    </w:p>
    <w:p w14:paraId="184D25F9" w14:textId="77777777" w:rsidR="000D6618" w:rsidRDefault="000D6618" w:rsidP="000D6618">
      <w:pPr>
        <w:pStyle w:val="NoSpacing"/>
        <w:spacing w:line="360" w:lineRule="auto"/>
        <w:jc w:val="both"/>
      </w:pPr>
      <w:r w:rsidRPr="000D6618">
        <w:t xml:space="preserve">U ukupnoj aktivi, ova stavka sudjeluje s udjelom od 0,41%, što je na razini prethodne godine. </w:t>
      </w:r>
    </w:p>
    <w:p w14:paraId="485E6AE5" w14:textId="20CAA466" w:rsidR="000D6618" w:rsidRPr="000D6618" w:rsidRDefault="000D6618" w:rsidP="000D6618">
      <w:pPr>
        <w:pStyle w:val="NoSpacing"/>
        <w:spacing w:line="360" w:lineRule="auto"/>
        <w:jc w:val="both"/>
      </w:pPr>
      <w:r w:rsidRPr="000D6618">
        <w:t>Riječ je o unaprijed plaćenim troškovima koji se odnose na osiguranje, cestarine, troškove trajekata za teretna vozila, kao i druge slične troškove koji se odnos</w:t>
      </w:r>
      <w:r>
        <w:t>e</w:t>
      </w:r>
      <w:r w:rsidRPr="000D6618">
        <w:t xml:space="preserve"> na buduće obračunsko razdoblje.</w:t>
      </w:r>
    </w:p>
    <w:p w14:paraId="6A1D3AF7" w14:textId="77777777" w:rsidR="000D6618" w:rsidRPr="000D6618" w:rsidRDefault="000D6618" w:rsidP="00DF43A1">
      <w:pPr>
        <w:pStyle w:val="NoSpacing"/>
        <w:spacing w:line="360" w:lineRule="auto"/>
        <w:jc w:val="both"/>
      </w:pPr>
    </w:p>
    <w:p w14:paraId="6CA659EA" w14:textId="77777777" w:rsidR="00FE1C0E" w:rsidRPr="00095E11" w:rsidRDefault="00FE1C0E" w:rsidP="00840E6B">
      <w:pPr>
        <w:pStyle w:val="NoSpacing"/>
        <w:spacing w:line="360" w:lineRule="auto"/>
        <w:jc w:val="both"/>
      </w:pPr>
    </w:p>
    <w:p w14:paraId="3CDEBB66" w14:textId="2A40A783" w:rsidR="002003C6" w:rsidRPr="000E5C0D" w:rsidRDefault="000E5C0D" w:rsidP="000E5C0D">
      <w:pPr>
        <w:rPr>
          <w:rFonts w:ascii="Calibri" w:eastAsia="Times New Roman" w:hAnsi="Calibri" w:cs="Calibri"/>
          <w:b/>
          <w:bCs/>
          <w:iCs/>
          <w:color w:val="FF0000"/>
          <w:szCs w:val="24"/>
        </w:rPr>
      </w:pPr>
      <w:r>
        <w:rPr>
          <w:rFonts w:ascii="Calibri" w:hAnsi="Calibri" w:cs="Calibri"/>
          <w:b/>
          <w:bCs/>
          <w:iCs/>
          <w:color w:val="FF0000"/>
        </w:rPr>
        <w:br w:type="page"/>
      </w:r>
    </w:p>
    <w:p w14:paraId="0A0132CF" w14:textId="6A79FC42" w:rsidR="00A865EE" w:rsidRPr="00A52D3B" w:rsidRDefault="00A865EE" w:rsidP="00A865EE">
      <w:pPr>
        <w:pStyle w:val="BodyText"/>
        <w:rPr>
          <w:rFonts w:ascii="Calibri" w:hAnsi="Calibri" w:cs="Calibri"/>
          <w:szCs w:val="22"/>
        </w:rPr>
      </w:pPr>
      <w:r w:rsidRPr="00A52D3B">
        <w:rPr>
          <w:rFonts w:ascii="Calibri" w:hAnsi="Calibri" w:cs="Calibri"/>
          <w:b/>
          <w:bCs/>
          <w:iCs/>
          <w:szCs w:val="22"/>
        </w:rPr>
        <w:lastRenderedPageBreak/>
        <w:t>Grafikon 1</w:t>
      </w:r>
      <w:r w:rsidR="00F950B7" w:rsidRPr="00A52D3B">
        <w:rPr>
          <w:rFonts w:ascii="Calibri" w:hAnsi="Calibri" w:cs="Calibri"/>
          <w:b/>
          <w:bCs/>
          <w:iCs/>
          <w:szCs w:val="22"/>
        </w:rPr>
        <w:t>.</w:t>
      </w:r>
      <w:r w:rsidRPr="00A52D3B">
        <w:rPr>
          <w:rFonts w:ascii="Calibri" w:hAnsi="Calibri" w:cs="Calibri"/>
          <w:szCs w:val="22"/>
        </w:rPr>
        <w:t xml:space="preserve"> Struktura aktive </w:t>
      </w:r>
      <w:r w:rsidR="00AB5DC8" w:rsidRPr="00A52D3B">
        <w:rPr>
          <w:rFonts w:ascii="Calibri" w:hAnsi="Calibri" w:cs="Calibri"/>
          <w:szCs w:val="22"/>
        </w:rPr>
        <w:t>202</w:t>
      </w:r>
      <w:r w:rsidR="008C1BC4">
        <w:rPr>
          <w:rFonts w:ascii="Calibri" w:hAnsi="Calibri" w:cs="Calibri"/>
          <w:szCs w:val="22"/>
        </w:rPr>
        <w:t>4</w:t>
      </w:r>
      <w:r w:rsidR="00AB5DC8" w:rsidRPr="00A52D3B">
        <w:rPr>
          <w:rFonts w:ascii="Calibri" w:hAnsi="Calibri" w:cs="Calibri"/>
          <w:szCs w:val="22"/>
        </w:rPr>
        <w:t>. g.</w:t>
      </w:r>
    </w:p>
    <w:p w14:paraId="6B06E73E" w14:textId="77777777" w:rsidR="00A865EE" w:rsidRPr="001C59D5" w:rsidRDefault="00A865EE" w:rsidP="00B40DE4">
      <w:pPr>
        <w:pStyle w:val="BodyText"/>
        <w:spacing w:line="240" w:lineRule="auto"/>
        <w:rPr>
          <w:rFonts w:ascii="Calibri" w:hAnsi="Calibri" w:cs="Calibri"/>
          <w:b/>
          <w:bCs/>
          <w:i/>
          <w:iCs/>
        </w:rPr>
      </w:pPr>
      <w:r w:rsidRPr="001C59D5">
        <w:rPr>
          <w:rFonts w:ascii="Calibri" w:hAnsi="Calibri" w:cs="Calibri"/>
          <w:b/>
          <w:bCs/>
          <w:i/>
          <w:iCs/>
          <w:noProof/>
          <w:lang w:eastAsia="hr-HR"/>
        </w:rPr>
        <w:drawing>
          <wp:inline distT="0" distB="0" distL="0" distR="0" wp14:anchorId="45CF402C" wp14:editId="76C3B276">
            <wp:extent cx="6191250" cy="3295650"/>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E230A2" w14:textId="77777777" w:rsidR="00A865EE" w:rsidRDefault="00A865EE" w:rsidP="00A865EE">
      <w:pPr>
        <w:pStyle w:val="BodyText"/>
        <w:rPr>
          <w:rFonts w:ascii="Calibri" w:hAnsi="Calibri" w:cs="Calibri"/>
          <w:b/>
          <w:bCs/>
          <w:i/>
          <w:iCs/>
        </w:rPr>
      </w:pPr>
    </w:p>
    <w:p w14:paraId="67494230" w14:textId="77777777" w:rsidR="00462386" w:rsidRPr="001C59D5" w:rsidRDefault="00462386" w:rsidP="00A865EE">
      <w:pPr>
        <w:pStyle w:val="BodyText"/>
        <w:rPr>
          <w:rFonts w:ascii="Calibri" w:hAnsi="Calibri" w:cs="Calibri"/>
          <w:b/>
          <w:bCs/>
          <w:i/>
          <w:iCs/>
        </w:rPr>
      </w:pPr>
    </w:p>
    <w:p w14:paraId="2CE0CB57" w14:textId="77777777" w:rsidR="00A865EE" w:rsidRPr="001C59D5" w:rsidRDefault="00A865EE" w:rsidP="00A865EE">
      <w:pPr>
        <w:rPr>
          <w:rFonts w:ascii="Calibri" w:hAnsi="Calibri" w:cs="Calibri"/>
        </w:rPr>
      </w:pPr>
    </w:p>
    <w:p w14:paraId="46E594F5" w14:textId="05EA406A" w:rsidR="00A865EE" w:rsidRPr="00CF429D" w:rsidRDefault="00A865EE" w:rsidP="00A865EE">
      <w:pPr>
        <w:rPr>
          <w:rFonts w:ascii="Calibri" w:hAnsi="Calibri" w:cs="Calibri"/>
          <w:bCs/>
          <w:iCs/>
          <w:color w:val="00B0F0"/>
        </w:rPr>
      </w:pPr>
      <w:r w:rsidRPr="000E5C0D">
        <w:rPr>
          <w:rFonts w:ascii="Calibri" w:hAnsi="Calibri" w:cs="Calibri"/>
          <w:b/>
          <w:bCs/>
          <w:iCs/>
        </w:rPr>
        <w:t>Grafikon 2</w:t>
      </w:r>
      <w:r w:rsidR="00F950B7" w:rsidRPr="000E5C0D">
        <w:rPr>
          <w:rFonts w:ascii="Calibri" w:hAnsi="Calibri" w:cs="Calibri"/>
          <w:b/>
          <w:bCs/>
          <w:iCs/>
        </w:rPr>
        <w:t>.</w:t>
      </w:r>
      <w:r w:rsidRPr="000E5C0D">
        <w:rPr>
          <w:rFonts w:ascii="Calibri" w:hAnsi="Calibri" w:cs="Calibri"/>
          <w:b/>
          <w:bCs/>
          <w:iCs/>
        </w:rPr>
        <w:t xml:space="preserve"> </w:t>
      </w:r>
      <w:r w:rsidRPr="000E5C0D">
        <w:rPr>
          <w:rFonts w:ascii="Calibri" w:hAnsi="Calibri" w:cs="Calibri"/>
          <w:bCs/>
          <w:iCs/>
        </w:rPr>
        <w:t xml:space="preserve">Struktura pasive </w:t>
      </w:r>
      <w:r w:rsidR="00AB5DC8" w:rsidRPr="000E5C0D">
        <w:rPr>
          <w:rFonts w:ascii="Calibri" w:hAnsi="Calibri" w:cs="Calibri"/>
          <w:bCs/>
          <w:iCs/>
        </w:rPr>
        <w:t>202</w:t>
      </w:r>
      <w:r w:rsidR="0070538A">
        <w:rPr>
          <w:rFonts w:ascii="Calibri" w:hAnsi="Calibri" w:cs="Calibri"/>
          <w:bCs/>
          <w:iCs/>
        </w:rPr>
        <w:t>4</w:t>
      </w:r>
      <w:r w:rsidR="00AB5DC8" w:rsidRPr="000E5C0D">
        <w:rPr>
          <w:rFonts w:ascii="Calibri" w:hAnsi="Calibri" w:cs="Calibri"/>
          <w:bCs/>
          <w:iCs/>
        </w:rPr>
        <w:t>. g.</w:t>
      </w:r>
    </w:p>
    <w:p w14:paraId="051D4F26" w14:textId="0613030A" w:rsidR="00A865EE" w:rsidRPr="001C59D5" w:rsidRDefault="005A1E13" w:rsidP="00A865EE">
      <w:pPr>
        <w:pStyle w:val="BodyText"/>
        <w:rPr>
          <w:rFonts w:ascii="Calibri" w:hAnsi="Calibri" w:cs="Calibri"/>
          <w:b/>
          <w:bCs/>
          <w:i/>
          <w:iCs/>
        </w:rPr>
      </w:pPr>
      <w:r w:rsidRPr="001C59D5">
        <w:rPr>
          <w:rFonts w:ascii="Calibri" w:hAnsi="Calibri" w:cs="Calibri"/>
          <w:b/>
          <w:bCs/>
          <w:i/>
          <w:iCs/>
          <w:noProof/>
          <w:lang w:eastAsia="hr-HR"/>
        </w:rPr>
        <w:drawing>
          <wp:inline distT="0" distB="0" distL="0" distR="0" wp14:anchorId="22683FEC" wp14:editId="0A9285BB">
            <wp:extent cx="5886450" cy="398145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A02776" w14:textId="09CF613D" w:rsidR="00F43BCA" w:rsidRPr="008E1FB8" w:rsidRDefault="004C038D" w:rsidP="00E9501A">
      <w:pPr>
        <w:pStyle w:val="Heading2"/>
      </w:pPr>
      <w:bookmarkStart w:id="12" w:name="_Toc200094268"/>
      <w:r w:rsidRPr="00A05D04">
        <w:lastRenderedPageBreak/>
        <w:t>2.2. Bilješke uz pozicije pasive</w:t>
      </w:r>
      <w:bookmarkEnd w:id="12"/>
    </w:p>
    <w:p w14:paraId="530D9E61" w14:textId="77777777" w:rsidR="00F43BCA" w:rsidRDefault="00F43BCA" w:rsidP="008E1FB8">
      <w:pPr>
        <w:pStyle w:val="Caption"/>
        <w:keepNext/>
        <w:spacing w:before="120" w:after="120"/>
      </w:pPr>
    </w:p>
    <w:p w14:paraId="18FAE7D4" w14:textId="056CB3EF" w:rsidR="00F43BCA" w:rsidRPr="00A05D04" w:rsidRDefault="00F43BCA" w:rsidP="00840E6B">
      <w:pPr>
        <w:pStyle w:val="Caption"/>
        <w:keepNext/>
        <w:spacing w:before="120" w:after="120"/>
        <w:rPr>
          <w:rFonts w:asciiTheme="minorHAnsi" w:hAnsiTheme="minorHAnsi" w:cstheme="minorHAnsi"/>
          <w:sz w:val="22"/>
          <w:szCs w:val="22"/>
        </w:rPr>
      </w:pPr>
      <w:bookmarkStart w:id="13" w:name="_Toc200366441"/>
      <w:r w:rsidRPr="00A05D04">
        <w:rPr>
          <w:rFonts w:asciiTheme="minorHAnsi" w:hAnsiTheme="minorHAnsi" w:cstheme="minorHAnsi"/>
          <w:sz w:val="22"/>
          <w:szCs w:val="22"/>
        </w:rPr>
        <w:t xml:space="preserve">Tablica </w:t>
      </w:r>
      <w:r w:rsidRPr="00A05D04">
        <w:rPr>
          <w:rFonts w:asciiTheme="minorHAnsi" w:hAnsiTheme="minorHAnsi" w:cstheme="minorHAnsi"/>
          <w:sz w:val="22"/>
          <w:szCs w:val="22"/>
        </w:rPr>
        <w:fldChar w:fldCharType="begin"/>
      </w:r>
      <w:r w:rsidRPr="00A05D04">
        <w:rPr>
          <w:rFonts w:asciiTheme="minorHAnsi" w:hAnsiTheme="minorHAnsi" w:cstheme="minorHAnsi"/>
          <w:sz w:val="22"/>
          <w:szCs w:val="22"/>
        </w:rPr>
        <w:instrText xml:space="preserve"> SEQ Tablica \* ARABIC </w:instrText>
      </w:r>
      <w:r w:rsidRPr="00A05D04">
        <w:rPr>
          <w:rFonts w:asciiTheme="minorHAnsi" w:hAnsiTheme="minorHAnsi" w:cstheme="minorHAnsi"/>
          <w:sz w:val="22"/>
          <w:szCs w:val="22"/>
        </w:rPr>
        <w:fldChar w:fldCharType="separate"/>
      </w:r>
      <w:r w:rsidR="00A1075A">
        <w:rPr>
          <w:rFonts w:asciiTheme="minorHAnsi" w:hAnsiTheme="minorHAnsi" w:cstheme="minorHAnsi"/>
          <w:noProof/>
          <w:sz w:val="22"/>
          <w:szCs w:val="22"/>
        </w:rPr>
        <w:t>3</w:t>
      </w:r>
      <w:r w:rsidRPr="00A05D04">
        <w:rPr>
          <w:rFonts w:asciiTheme="minorHAnsi" w:hAnsiTheme="minorHAnsi" w:cstheme="minorHAnsi"/>
          <w:sz w:val="22"/>
          <w:szCs w:val="22"/>
        </w:rPr>
        <w:fldChar w:fldCharType="end"/>
      </w:r>
      <w:r w:rsidRPr="00A05D04">
        <w:rPr>
          <w:rFonts w:asciiTheme="minorHAnsi" w:hAnsiTheme="minorHAnsi" w:cstheme="minorHAnsi"/>
          <w:sz w:val="22"/>
          <w:szCs w:val="22"/>
        </w:rPr>
        <w:t xml:space="preserve">. </w:t>
      </w:r>
      <w:r w:rsidRPr="00A05D04">
        <w:rPr>
          <w:rFonts w:asciiTheme="minorHAnsi" w:hAnsiTheme="minorHAnsi" w:cstheme="minorHAnsi"/>
          <w:b w:val="0"/>
          <w:bCs w:val="0"/>
          <w:sz w:val="22"/>
          <w:szCs w:val="22"/>
        </w:rPr>
        <w:t>Pasiva</w:t>
      </w:r>
      <w:bookmarkEnd w:id="13"/>
    </w:p>
    <w:p w14:paraId="307CF14A" w14:textId="5B65B574" w:rsidR="00C638F3" w:rsidRDefault="00C638F3" w:rsidP="008D7614">
      <w:pPr>
        <w:rPr>
          <w:rFonts w:cstheme="minorHAnsi"/>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476"/>
        <w:gridCol w:w="1361"/>
        <w:gridCol w:w="964"/>
        <w:gridCol w:w="1361"/>
        <w:gridCol w:w="964"/>
        <w:gridCol w:w="964"/>
      </w:tblGrid>
      <w:tr w:rsidR="00DB02CE" w:rsidRPr="00DB02CE" w14:paraId="6CDE0E66" w14:textId="77777777" w:rsidTr="00D2773A">
        <w:trPr>
          <w:trHeight w:val="510"/>
        </w:trPr>
        <w:tc>
          <w:tcPr>
            <w:tcW w:w="622" w:type="dxa"/>
            <w:tcBorders>
              <w:top w:val="single" w:sz="4" w:space="0" w:color="auto"/>
              <w:left w:val="single" w:sz="4" w:space="0" w:color="auto"/>
              <w:bottom w:val="single" w:sz="4" w:space="0" w:color="auto"/>
              <w:right w:val="nil"/>
            </w:tcBorders>
            <w:shd w:val="clear" w:color="auto" w:fill="auto"/>
            <w:noWrap/>
            <w:vAlign w:val="center"/>
            <w:hideMark/>
          </w:tcPr>
          <w:p w14:paraId="7F9C6B19" w14:textId="77777777" w:rsidR="00DB02CE" w:rsidRPr="00DB02CE" w:rsidRDefault="00DB02CE" w:rsidP="00FE097A">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R.br</w:t>
            </w:r>
          </w:p>
        </w:tc>
        <w:tc>
          <w:tcPr>
            <w:tcW w:w="3476" w:type="dxa"/>
            <w:tcBorders>
              <w:top w:val="single" w:sz="4" w:space="0" w:color="auto"/>
              <w:left w:val="nil"/>
              <w:bottom w:val="single" w:sz="4" w:space="0" w:color="auto"/>
              <w:right w:val="nil"/>
            </w:tcBorders>
            <w:shd w:val="clear" w:color="auto" w:fill="auto"/>
            <w:vAlign w:val="center"/>
            <w:hideMark/>
          </w:tcPr>
          <w:p w14:paraId="2EC5A807" w14:textId="77777777" w:rsidR="00DB02CE" w:rsidRPr="00DB02CE" w:rsidRDefault="00DB02CE" w:rsidP="00FE097A">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Opis</w:t>
            </w:r>
          </w:p>
        </w:tc>
        <w:tc>
          <w:tcPr>
            <w:tcW w:w="1361" w:type="dxa"/>
            <w:tcBorders>
              <w:top w:val="single" w:sz="4" w:space="0" w:color="auto"/>
              <w:left w:val="nil"/>
              <w:bottom w:val="single" w:sz="4" w:space="0" w:color="auto"/>
              <w:right w:val="nil"/>
            </w:tcBorders>
            <w:shd w:val="clear" w:color="auto" w:fill="auto"/>
            <w:vAlign w:val="center"/>
            <w:hideMark/>
          </w:tcPr>
          <w:p w14:paraId="6FCBD774" w14:textId="44ED2177" w:rsidR="00DB02CE" w:rsidRPr="00DB02CE" w:rsidRDefault="00DB02CE" w:rsidP="00FE097A">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Stanje 202</w:t>
            </w:r>
            <w:r w:rsidR="00EA5CC3">
              <w:rPr>
                <w:rFonts w:eastAsia="Times New Roman" w:cstheme="minorHAnsi"/>
                <w:b/>
                <w:bCs/>
                <w:sz w:val="18"/>
                <w:szCs w:val="18"/>
                <w:lang w:eastAsia="hr-HR"/>
              </w:rPr>
              <w:t>3</w:t>
            </w:r>
          </w:p>
        </w:tc>
        <w:tc>
          <w:tcPr>
            <w:tcW w:w="964" w:type="dxa"/>
            <w:tcBorders>
              <w:top w:val="single" w:sz="4" w:space="0" w:color="auto"/>
              <w:left w:val="nil"/>
              <w:bottom w:val="single" w:sz="4" w:space="0" w:color="auto"/>
              <w:right w:val="nil"/>
            </w:tcBorders>
            <w:shd w:val="clear" w:color="auto" w:fill="auto"/>
            <w:vAlign w:val="center"/>
            <w:hideMark/>
          </w:tcPr>
          <w:p w14:paraId="7A155ED8" w14:textId="77777777" w:rsidR="00DB02CE" w:rsidRPr="00DB02CE" w:rsidRDefault="00DB02CE" w:rsidP="00FE097A">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Struktura %</w:t>
            </w:r>
          </w:p>
        </w:tc>
        <w:tc>
          <w:tcPr>
            <w:tcW w:w="1361" w:type="dxa"/>
            <w:tcBorders>
              <w:top w:val="single" w:sz="4" w:space="0" w:color="auto"/>
              <w:left w:val="nil"/>
              <w:bottom w:val="single" w:sz="4" w:space="0" w:color="auto"/>
              <w:right w:val="nil"/>
            </w:tcBorders>
            <w:shd w:val="clear" w:color="auto" w:fill="auto"/>
            <w:vAlign w:val="center"/>
            <w:hideMark/>
          </w:tcPr>
          <w:p w14:paraId="20E47F47" w14:textId="52C9340E" w:rsidR="00DB02CE" w:rsidRPr="00DB02CE" w:rsidRDefault="00DB02CE" w:rsidP="00FE097A">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Stanje 202</w:t>
            </w:r>
            <w:r w:rsidR="00EA5CC3">
              <w:rPr>
                <w:rFonts w:eastAsia="Times New Roman" w:cstheme="minorHAnsi"/>
                <w:b/>
                <w:bCs/>
                <w:sz w:val="18"/>
                <w:szCs w:val="18"/>
                <w:lang w:eastAsia="hr-HR"/>
              </w:rPr>
              <w:t>4</w:t>
            </w:r>
          </w:p>
        </w:tc>
        <w:tc>
          <w:tcPr>
            <w:tcW w:w="964" w:type="dxa"/>
            <w:tcBorders>
              <w:top w:val="single" w:sz="4" w:space="0" w:color="auto"/>
              <w:left w:val="nil"/>
              <w:bottom w:val="single" w:sz="4" w:space="0" w:color="auto"/>
              <w:right w:val="nil"/>
            </w:tcBorders>
            <w:shd w:val="clear" w:color="auto" w:fill="auto"/>
            <w:vAlign w:val="center"/>
            <w:hideMark/>
          </w:tcPr>
          <w:p w14:paraId="78F3958A" w14:textId="77777777" w:rsidR="00DB02CE" w:rsidRPr="00DB02CE" w:rsidRDefault="00DB02CE" w:rsidP="00FE097A">
            <w:pPr>
              <w:spacing w:after="0" w:line="240" w:lineRule="auto"/>
              <w:jc w:val="center"/>
              <w:rPr>
                <w:rFonts w:eastAsia="Times New Roman" w:cstheme="minorHAnsi"/>
                <w:b/>
                <w:bCs/>
                <w:sz w:val="18"/>
                <w:szCs w:val="18"/>
                <w:lang w:eastAsia="hr-HR"/>
              </w:rPr>
            </w:pPr>
            <w:r w:rsidRPr="00DB02CE">
              <w:rPr>
                <w:rFonts w:eastAsia="Times New Roman" w:cstheme="minorHAnsi"/>
                <w:b/>
                <w:bCs/>
                <w:sz w:val="18"/>
                <w:szCs w:val="18"/>
                <w:lang w:eastAsia="hr-HR"/>
              </w:rPr>
              <w:t>Struktura %</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33BCCBAA" w14:textId="77777777" w:rsidR="00DB02CE" w:rsidRPr="00DB02CE" w:rsidRDefault="00DB02CE" w:rsidP="00FE097A">
            <w:pPr>
              <w:spacing w:after="0" w:line="240" w:lineRule="auto"/>
              <w:jc w:val="center"/>
              <w:rPr>
                <w:rFonts w:eastAsia="Times New Roman" w:cstheme="minorHAnsi"/>
                <w:b/>
                <w:bCs/>
                <w:color w:val="000000"/>
                <w:sz w:val="18"/>
                <w:szCs w:val="18"/>
                <w:lang w:eastAsia="hr-HR"/>
              </w:rPr>
            </w:pPr>
            <w:r w:rsidRPr="00DB02CE">
              <w:rPr>
                <w:rFonts w:eastAsia="Times New Roman" w:cstheme="minorHAnsi"/>
                <w:b/>
                <w:bCs/>
                <w:color w:val="000000"/>
                <w:sz w:val="18"/>
                <w:szCs w:val="18"/>
                <w:lang w:eastAsia="hr-HR"/>
              </w:rPr>
              <w:t>index               (5/3)</w:t>
            </w:r>
          </w:p>
        </w:tc>
      </w:tr>
      <w:tr w:rsidR="00DB02CE" w:rsidRPr="00DB02CE" w14:paraId="59F1F89A" w14:textId="77777777" w:rsidTr="00D2773A">
        <w:trPr>
          <w:trHeight w:val="113"/>
        </w:trPr>
        <w:tc>
          <w:tcPr>
            <w:tcW w:w="622" w:type="dxa"/>
            <w:tcBorders>
              <w:top w:val="single" w:sz="4" w:space="0" w:color="auto"/>
              <w:left w:val="single" w:sz="4" w:space="0" w:color="auto"/>
              <w:bottom w:val="single" w:sz="4" w:space="0" w:color="auto"/>
              <w:right w:val="nil"/>
            </w:tcBorders>
            <w:shd w:val="clear" w:color="auto" w:fill="auto"/>
            <w:noWrap/>
            <w:vAlign w:val="center"/>
            <w:hideMark/>
          </w:tcPr>
          <w:p w14:paraId="1DDB5080" w14:textId="77777777" w:rsidR="00DB02CE" w:rsidRPr="00DB02CE" w:rsidRDefault="00DB02CE" w:rsidP="00DB02CE">
            <w:pPr>
              <w:spacing w:after="0" w:line="240" w:lineRule="auto"/>
              <w:jc w:val="center"/>
              <w:rPr>
                <w:rFonts w:eastAsia="Times New Roman" w:cstheme="minorHAnsi"/>
                <w:b/>
                <w:bCs/>
                <w:i/>
                <w:iCs/>
                <w:color w:val="E7E6E6"/>
                <w:sz w:val="14"/>
                <w:szCs w:val="14"/>
                <w:lang w:eastAsia="hr-HR"/>
              </w:rPr>
            </w:pPr>
            <w:r w:rsidRPr="00DB02CE">
              <w:rPr>
                <w:rFonts w:eastAsia="Times New Roman" w:cstheme="minorHAnsi"/>
                <w:b/>
                <w:bCs/>
                <w:i/>
                <w:iCs/>
                <w:color w:val="E7E6E6"/>
                <w:sz w:val="14"/>
                <w:szCs w:val="14"/>
                <w:lang w:eastAsia="hr-HR"/>
              </w:rPr>
              <w:t>1</w:t>
            </w:r>
          </w:p>
        </w:tc>
        <w:tc>
          <w:tcPr>
            <w:tcW w:w="3476" w:type="dxa"/>
            <w:tcBorders>
              <w:top w:val="single" w:sz="4" w:space="0" w:color="auto"/>
              <w:left w:val="nil"/>
              <w:bottom w:val="single" w:sz="4" w:space="0" w:color="auto"/>
              <w:right w:val="nil"/>
            </w:tcBorders>
            <w:shd w:val="clear" w:color="auto" w:fill="auto"/>
            <w:vAlign w:val="center"/>
            <w:hideMark/>
          </w:tcPr>
          <w:p w14:paraId="01ABF248" w14:textId="77777777" w:rsidR="00DB02CE" w:rsidRPr="00DB02CE" w:rsidRDefault="00DB02CE" w:rsidP="00DB02CE">
            <w:pPr>
              <w:spacing w:after="0" w:line="240" w:lineRule="auto"/>
              <w:jc w:val="center"/>
              <w:rPr>
                <w:rFonts w:eastAsia="Times New Roman" w:cstheme="minorHAnsi"/>
                <w:b/>
                <w:bCs/>
                <w:i/>
                <w:iCs/>
                <w:color w:val="E7E6E6"/>
                <w:sz w:val="14"/>
                <w:szCs w:val="14"/>
                <w:lang w:eastAsia="hr-HR"/>
              </w:rPr>
            </w:pPr>
            <w:r w:rsidRPr="00DB02CE">
              <w:rPr>
                <w:rFonts w:eastAsia="Times New Roman" w:cstheme="minorHAnsi"/>
                <w:b/>
                <w:bCs/>
                <w:i/>
                <w:iCs/>
                <w:color w:val="E7E6E6"/>
                <w:sz w:val="14"/>
                <w:szCs w:val="14"/>
                <w:lang w:eastAsia="hr-HR"/>
              </w:rPr>
              <w:t>2</w:t>
            </w:r>
          </w:p>
        </w:tc>
        <w:tc>
          <w:tcPr>
            <w:tcW w:w="1361" w:type="dxa"/>
            <w:tcBorders>
              <w:top w:val="single" w:sz="4" w:space="0" w:color="auto"/>
              <w:left w:val="nil"/>
              <w:bottom w:val="single" w:sz="4" w:space="0" w:color="auto"/>
              <w:right w:val="nil"/>
            </w:tcBorders>
            <w:shd w:val="clear" w:color="auto" w:fill="auto"/>
            <w:vAlign w:val="center"/>
            <w:hideMark/>
          </w:tcPr>
          <w:p w14:paraId="3C7A54FA" w14:textId="77777777" w:rsidR="00DB02CE" w:rsidRPr="00DB02CE" w:rsidRDefault="00DB02CE" w:rsidP="00DB02CE">
            <w:pPr>
              <w:spacing w:after="0" w:line="240" w:lineRule="auto"/>
              <w:jc w:val="center"/>
              <w:rPr>
                <w:rFonts w:eastAsia="Times New Roman" w:cstheme="minorHAnsi"/>
                <w:b/>
                <w:bCs/>
                <w:i/>
                <w:iCs/>
                <w:color w:val="E7E6E6"/>
                <w:sz w:val="14"/>
                <w:szCs w:val="14"/>
                <w:lang w:eastAsia="hr-HR"/>
              </w:rPr>
            </w:pPr>
            <w:r w:rsidRPr="00DB02CE">
              <w:rPr>
                <w:rFonts w:eastAsia="Times New Roman" w:cstheme="minorHAnsi"/>
                <w:b/>
                <w:bCs/>
                <w:i/>
                <w:iCs/>
                <w:color w:val="E7E6E6"/>
                <w:sz w:val="14"/>
                <w:szCs w:val="14"/>
                <w:lang w:eastAsia="hr-HR"/>
              </w:rPr>
              <w:t>3</w:t>
            </w:r>
          </w:p>
        </w:tc>
        <w:tc>
          <w:tcPr>
            <w:tcW w:w="964" w:type="dxa"/>
            <w:tcBorders>
              <w:top w:val="single" w:sz="4" w:space="0" w:color="auto"/>
              <w:left w:val="nil"/>
              <w:bottom w:val="single" w:sz="4" w:space="0" w:color="auto"/>
              <w:right w:val="nil"/>
            </w:tcBorders>
            <w:shd w:val="clear" w:color="auto" w:fill="auto"/>
            <w:vAlign w:val="center"/>
            <w:hideMark/>
          </w:tcPr>
          <w:p w14:paraId="3C1AC3BA" w14:textId="77777777" w:rsidR="00DB02CE" w:rsidRPr="00DB02CE" w:rsidRDefault="00DB02CE" w:rsidP="00DB02CE">
            <w:pPr>
              <w:spacing w:after="0" w:line="240" w:lineRule="auto"/>
              <w:jc w:val="center"/>
              <w:rPr>
                <w:rFonts w:eastAsia="Times New Roman" w:cstheme="minorHAnsi"/>
                <w:b/>
                <w:bCs/>
                <w:i/>
                <w:iCs/>
                <w:color w:val="E7E6E6"/>
                <w:sz w:val="14"/>
                <w:szCs w:val="14"/>
                <w:lang w:eastAsia="hr-HR"/>
              </w:rPr>
            </w:pPr>
            <w:r w:rsidRPr="00DB02CE">
              <w:rPr>
                <w:rFonts w:eastAsia="Times New Roman" w:cstheme="minorHAnsi"/>
                <w:b/>
                <w:bCs/>
                <w:i/>
                <w:iCs/>
                <w:color w:val="E7E6E6"/>
                <w:sz w:val="14"/>
                <w:szCs w:val="14"/>
                <w:lang w:eastAsia="hr-HR"/>
              </w:rPr>
              <w:t>4</w:t>
            </w:r>
          </w:p>
        </w:tc>
        <w:tc>
          <w:tcPr>
            <w:tcW w:w="1361" w:type="dxa"/>
            <w:tcBorders>
              <w:top w:val="single" w:sz="4" w:space="0" w:color="auto"/>
              <w:left w:val="nil"/>
              <w:bottom w:val="single" w:sz="4" w:space="0" w:color="auto"/>
              <w:right w:val="nil"/>
            </w:tcBorders>
            <w:shd w:val="clear" w:color="auto" w:fill="auto"/>
            <w:vAlign w:val="center"/>
            <w:hideMark/>
          </w:tcPr>
          <w:p w14:paraId="69D39D4B" w14:textId="77777777" w:rsidR="00DB02CE" w:rsidRPr="00DB02CE" w:rsidRDefault="00DB02CE" w:rsidP="00DB02CE">
            <w:pPr>
              <w:spacing w:after="0" w:line="240" w:lineRule="auto"/>
              <w:jc w:val="center"/>
              <w:rPr>
                <w:rFonts w:eastAsia="Times New Roman" w:cstheme="minorHAnsi"/>
                <w:b/>
                <w:bCs/>
                <w:i/>
                <w:iCs/>
                <w:color w:val="D9D9D9"/>
                <w:sz w:val="14"/>
                <w:szCs w:val="14"/>
                <w:lang w:eastAsia="hr-HR"/>
              </w:rPr>
            </w:pPr>
            <w:r w:rsidRPr="00DB02CE">
              <w:rPr>
                <w:rFonts w:eastAsia="Times New Roman" w:cstheme="minorHAnsi"/>
                <w:b/>
                <w:bCs/>
                <w:i/>
                <w:iCs/>
                <w:color w:val="D9D9D9"/>
                <w:sz w:val="14"/>
                <w:szCs w:val="14"/>
                <w:lang w:eastAsia="hr-HR"/>
              </w:rPr>
              <w:t>5</w:t>
            </w:r>
          </w:p>
        </w:tc>
        <w:tc>
          <w:tcPr>
            <w:tcW w:w="964" w:type="dxa"/>
            <w:tcBorders>
              <w:top w:val="single" w:sz="4" w:space="0" w:color="auto"/>
              <w:left w:val="nil"/>
              <w:bottom w:val="single" w:sz="4" w:space="0" w:color="auto"/>
              <w:right w:val="nil"/>
            </w:tcBorders>
            <w:shd w:val="clear" w:color="auto" w:fill="auto"/>
            <w:vAlign w:val="center"/>
            <w:hideMark/>
          </w:tcPr>
          <w:p w14:paraId="76464792" w14:textId="77777777" w:rsidR="00DB02CE" w:rsidRPr="00DB02CE" w:rsidRDefault="00DB02CE" w:rsidP="00DB02CE">
            <w:pPr>
              <w:spacing w:after="0" w:line="240" w:lineRule="auto"/>
              <w:jc w:val="center"/>
              <w:rPr>
                <w:rFonts w:eastAsia="Times New Roman" w:cstheme="minorHAnsi"/>
                <w:b/>
                <w:bCs/>
                <w:i/>
                <w:iCs/>
                <w:color w:val="E7E6E6"/>
                <w:sz w:val="14"/>
                <w:szCs w:val="14"/>
                <w:lang w:eastAsia="hr-HR"/>
              </w:rPr>
            </w:pPr>
            <w:r w:rsidRPr="00DB02CE">
              <w:rPr>
                <w:rFonts w:eastAsia="Times New Roman" w:cstheme="minorHAnsi"/>
                <w:b/>
                <w:bCs/>
                <w:i/>
                <w:iCs/>
                <w:color w:val="E7E6E6"/>
                <w:sz w:val="14"/>
                <w:szCs w:val="14"/>
                <w:lang w:eastAsia="hr-HR"/>
              </w:rPr>
              <w:t>6</w:t>
            </w:r>
          </w:p>
        </w:tc>
        <w:tc>
          <w:tcPr>
            <w:tcW w:w="964" w:type="dxa"/>
            <w:tcBorders>
              <w:top w:val="single" w:sz="4" w:space="0" w:color="auto"/>
              <w:left w:val="nil"/>
              <w:bottom w:val="single" w:sz="4" w:space="0" w:color="auto"/>
              <w:right w:val="single" w:sz="4" w:space="0" w:color="auto"/>
            </w:tcBorders>
            <w:shd w:val="clear" w:color="auto" w:fill="auto"/>
            <w:vAlign w:val="center"/>
            <w:hideMark/>
          </w:tcPr>
          <w:p w14:paraId="01349983" w14:textId="77777777" w:rsidR="00DB02CE" w:rsidRPr="00DB02CE" w:rsidRDefault="00DB02CE" w:rsidP="00DB02CE">
            <w:pPr>
              <w:spacing w:after="0" w:line="240" w:lineRule="auto"/>
              <w:jc w:val="center"/>
              <w:rPr>
                <w:rFonts w:eastAsia="Times New Roman" w:cstheme="minorHAnsi"/>
                <w:b/>
                <w:bCs/>
                <w:i/>
                <w:iCs/>
                <w:color w:val="E7E6E6"/>
                <w:sz w:val="14"/>
                <w:szCs w:val="14"/>
                <w:lang w:eastAsia="hr-HR"/>
              </w:rPr>
            </w:pPr>
            <w:r w:rsidRPr="00DB02CE">
              <w:rPr>
                <w:rFonts w:eastAsia="Times New Roman" w:cstheme="minorHAnsi"/>
                <w:b/>
                <w:bCs/>
                <w:i/>
                <w:iCs/>
                <w:color w:val="E7E6E6"/>
                <w:sz w:val="14"/>
                <w:szCs w:val="14"/>
                <w:lang w:eastAsia="hr-HR"/>
              </w:rPr>
              <w:t>7</w:t>
            </w:r>
          </w:p>
        </w:tc>
      </w:tr>
      <w:tr w:rsidR="00D2773A" w:rsidRPr="00DB02CE" w14:paraId="11634D88" w14:textId="77777777" w:rsidTr="00D2773A">
        <w:trPr>
          <w:trHeight w:val="295"/>
        </w:trPr>
        <w:tc>
          <w:tcPr>
            <w:tcW w:w="622" w:type="dxa"/>
            <w:tcBorders>
              <w:top w:val="single" w:sz="4" w:space="0" w:color="auto"/>
              <w:left w:val="single" w:sz="4" w:space="0" w:color="auto"/>
              <w:bottom w:val="nil"/>
              <w:right w:val="nil"/>
            </w:tcBorders>
            <w:shd w:val="clear" w:color="auto" w:fill="auto"/>
            <w:noWrap/>
            <w:vAlign w:val="bottom"/>
            <w:hideMark/>
          </w:tcPr>
          <w:p w14:paraId="32DB06C3" w14:textId="149596D6" w:rsidR="00D2773A" w:rsidRPr="00D2773A" w:rsidRDefault="00D2773A" w:rsidP="00D2773A">
            <w:pPr>
              <w:spacing w:after="0" w:line="240" w:lineRule="auto"/>
              <w:rPr>
                <w:rFonts w:eastAsia="Times New Roman" w:cstheme="minorHAnsi"/>
                <w:b/>
                <w:bCs/>
                <w:sz w:val="18"/>
                <w:szCs w:val="18"/>
                <w:lang w:eastAsia="hr-HR"/>
              </w:rPr>
            </w:pPr>
            <w:r w:rsidRPr="00D2773A">
              <w:rPr>
                <w:sz w:val="18"/>
                <w:szCs w:val="18"/>
              </w:rPr>
              <w:t>1.</w:t>
            </w:r>
          </w:p>
        </w:tc>
        <w:tc>
          <w:tcPr>
            <w:tcW w:w="3476" w:type="dxa"/>
            <w:tcBorders>
              <w:top w:val="single" w:sz="4" w:space="0" w:color="auto"/>
              <w:left w:val="nil"/>
              <w:bottom w:val="nil"/>
              <w:right w:val="nil"/>
            </w:tcBorders>
            <w:shd w:val="clear" w:color="auto" w:fill="auto"/>
            <w:vAlign w:val="bottom"/>
            <w:hideMark/>
          </w:tcPr>
          <w:p w14:paraId="179F2B7A" w14:textId="4702B775" w:rsidR="00D2773A" w:rsidRPr="00D2773A" w:rsidRDefault="00D2773A" w:rsidP="00D2773A">
            <w:pPr>
              <w:spacing w:after="0" w:line="240" w:lineRule="auto"/>
              <w:rPr>
                <w:rFonts w:eastAsia="Times New Roman" w:cstheme="minorHAnsi"/>
                <w:b/>
                <w:bCs/>
                <w:sz w:val="18"/>
                <w:szCs w:val="18"/>
                <w:lang w:eastAsia="hr-HR"/>
              </w:rPr>
            </w:pPr>
            <w:r w:rsidRPr="00D2773A">
              <w:rPr>
                <w:rFonts w:ascii="Calibri" w:hAnsi="Calibri" w:cs="Calibri"/>
                <w:b/>
                <w:bCs/>
                <w:sz w:val="18"/>
                <w:szCs w:val="18"/>
              </w:rPr>
              <w:t>KAPITAL I REZERVE</w:t>
            </w:r>
          </w:p>
        </w:tc>
        <w:tc>
          <w:tcPr>
            <w:tcW w:w="1361" w:type="dxa"/>
            <w:tcBorders>
              <w:top w:val="single" w:sz="4" w:space="0" w:color="auto"/>
              <w:left w:val="nil"/>
              <w:bottom w:val="nil"/>
              <w:right w:val="nil"/>
            </w:tcBorders>
            <w:shd w:val="clear" w:color="auto" w:fill="auto"/>
            <w:noWrap/>
            <w:vAlign w:val="bottom"/>
            <w:hideMark/>
          </w:tcPr>
          <w:p w14:paraId="5053A97B" w14:textId="19DA7FEF" w:rsidR="00D2773A" w:rsidRPr="00EA5CC3" w:rsidRDefault="00D2773A" w:rsidP="00D2773A">
            <w:pPr>
              <w:spacing w:after="0" w:line="240" w:lineRule="auto"/>
              <w:jc w:val="center"/>
              <w:rPr>
                <w:rFonts w:eastAsia="Times New Roman" w:cstheme="minorHAnsi"/>
                <w:b/>
                <w:bCs/>
                <w:sz w:val="18"/>
                <w:szCs w:val="18"/>
                <w:lang w:eastAsia="hr-HR"/>
              </w:rPr>
            </w:pPr>
            <w:r w:rsidRPr="00EA5CC3">
              <w:rPr>
                <w:rFonts w:cstheme="minorHAnsi"/>
                <w:b/>
                <w:bCs/>
                <w:sz w:val="18"/>
                <w:szCs w:val="18"/>
              </w:rPr>
              <w:t>8.803.901</w:t>
            </w:r>
          </w:p>
        </w:tc>
        <w:tc>
          <w:tcPr>
            <w:tcW w:w="964" w:type="dxa"/>
            <w:tcBorders>
              <w:top w:val="single" w:sz="4" w:space="0" w:color="auto"/>
              <w:left w:val="nil"/>
              <w:bottom w:val="nil"/>
              <w:right w:val="nil"/>
            </w:tcBorders>
            <w:shd w:val="clear" w:color="auto" w:fill="auto"/>
            <w:noWrap/>
            <w:vAlign w:val="bottom"/>
            <w:hideMark/>
          </w:tcPr>
          <w:p w14:paraId="3499BC6F" w14:textId="0F5007BD" w:rsidR="00D2773A" w:rsidRPr="00EA5CC3" w:rsidRDefault="00D2773A" w:rsidP="00D2773A">
            <w:pPr>
              <w:spacing w:after="0" w:line="240" w:lineRule="auto"/>
              <w:jc w:val="center"/>
              <w:rPr>
                <w:rFonts w:eastAsia="Times New Roman" w:cstheme="minorHAnsi"/>
                <w:b/>
                <w:bCs/>
                <w:color w:val="000000"/>
                <w:sz w:val="18"/>
                <w:szCs w:val="18"/>
                <w:lang w:eastAsia="hr-HR"/>
              </w:rPr>
            </w:pPr>
            <w:r w:rsidRPr="00EA5CC3">
              <w:rPr>
                <w:rFonts w:cstheme="minorHAnsi"/>
                <w:b/>
                <w:bCs/>
                <w:sz w:val="18"/>
                <w:szCs w:val="18"/>
              </w:rPr>
              <w:t>27,29%</w:t>
            </w:r>
          </w:p>
        </w:tc>
        <w:tc>
          <w:tcPr>
            <w:tcW w:w="1361" w:type="dxa"/>
            <w:tcBorders>
              <w:top w:val="single" w:sz="4" w:space="0" w:color="auto"/>
              <w:left w:val="nil"/>
              <w:bottom w:val="nil"/>
              <w:right w:val="nil"/>
            </w:tcBorders>
            <w:shd w:val="clear" w:color="auto" w:fill="auto"/>
            <w:noWrap/>
            <w:vAlign w:val="bottom"/>
            <w:hideMark/>
          </w:tcPr>
          <w:p w14:paraId="08DEC59F" w14:textId="65AF686F" w:rsidR="00D2773A" w:rsidRPr="00EA5CC3" w:rsidRDefault="00D2773A" w:rsidP="00D2773A">
            <w:pPr>
              <w:spacing w:after="0" w:line="240" w:lineRule="auto"/>
              <w:jc w:val="center"/>
              <w:rPr>
                <w:rFonts w:eastAsia="Times New Roman" w:cstheme="minorHAnsi"/>
                <w:b/>
                <w:bCs/>
                <w:sz w:val="18"/>
                <w:szCs w:val="18"/>
                <w:lang w:eastAsia="hr-HR"/>
              </w:rPr>
            </w:pPr>
            <w:r w:rsidRPr="00EA5CC3">
              <w:rPr>
                <w:rFonts w:cstheme="minorHAnsi"/>
                <w:b/>
                <w:bCs/>
                <w:sz w:val="18"/>
                <w:szCs w:val="18"/>
              </w:rPr>
              <w:t>8.845.044</w:t>
            </w:r>
          </w:p>
        </w:tc>
        <w:tc>
          <w:tcPr>
            <w:tcW w:w="964" w:type="dxa"/>
            <w:tcBorders>
              <w:top w:val="single" w:sz="4" w:space="0" w:color="auto"/>
              <w:left w:val="nil"/>
              <w:bottom w:val="nil"/>
              <w:right w:val="nil"/>
            </w:tcBorders>
            <w:shd w:val="clear" w:color="auto" w:fill="auto"/>
            <w:noWrap/>
            <w:vAlign w:val="bottom"/>
            <w:hideMark/>
          </w:tcPr>
          <w:p w14:paraId="65500953" w14:textId="47102A22" w:rsidR="00D2773A" w:rsidRPr="00EA5CC3" w:rsidRDefault="00D2773A" w:rsidP="00D2773A">
            <w:pPr>
              <w:spacing w:after="0" w:line="240" w:lineRule="auto"/>
              <w:jc w:val="center"/>
              <w:rPr>
                <w:rFonts w:eastAsia="Times New Roman" w:cstheme="minorHAnsi"/>
                <w:b/>
                <w:bCs/>
                <w:color w:val="000000"/>
                <w:sz w:val="18"/>
                <w:szCs w:val="18"/>
                <w:lang w:eastAsia="hr-HR"/>
              </w:rPr>
            </w:pPr>
            <w:r w:rsidRPr="00EA5CC3">
              <w:rPr>
                <w:rFonts w:cstheme="minorHAnsi"/>
                <w:b/>
                <w:bCs/>
                <w:sz w:val="18"/>
                <w:szCs w:val="18"/>
              </w:rPr>
              <w:t>29,11%</w:t>
            </w:r>
          </w:p>
        </w:tc>
        <w:tc>
          <w:tcPr>
            <w:tcW w:w="964" w:type="dxa"/>
            <w:tcBorders>
              <w:top w:val="single" w:sz="4" w:space="0" w:color="auto"/>
              <w:left w:val="nil"/>
              <w:bottom w:val="nil"/>
              <w:right w:val="single" w:sz="4" w:space="0" w:color="auto"/>
            </w:tcBorders>
            <w:shd w:val="clear" w:color="auto" w:fill="auto"/>
            <w:noWrap/>
            <w:vAlign w:val="bottom"/>
            <w:hideMark/>
          </w:tcPr>
          <w:p w14:paraId="4A82A791" w14:textId="29D95D41" w:rsidR="00D2773A" w:rsidRPr="00EA5CC3" w:rsidRDefault="00D2773A" w:rsidP="00D2773A">
            <w:pPr>
              <w:spacing w:after="0" w:line="240" w:lineRule="auto"/>
              <w:jc w:val="center"/>
              <w:rPr>
                <w:rFonts w:eastAsia="Times New Roman" w:cstheme="minorHAnsi"/>
                <w:b/>
                <w:bCs/>
                <w:color w:val="000000"/>
                <w:sz w:val="18"/>
                <w:szCs w:val="18"/>
                <w:lang w:eastAsia="hr-HR"/>
              </w:rPr>
            </w:pPr>
            <w:r w:rsidRPr="00EA5CC3">
              <w:rPr>
                <w:rFonts w:cstheme="minorHAnsi"/>
                <w:b/>
                <w:bCs/>
                <w:sz w:val="18"/>
                <w:szCs w:val="18"/>
              </w:rPr>
              <w:t>100%</w:t>
            </w:r>
          </w:p>
        </w:tc>
      </w:tr>
      <w:tr w:rsidR="00D2773A" w:rsidRPr="00DB02CE" w14:paraId="77CCF2A1"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29A20471" w14:textId="261A66BD"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1.1.</w:t>
            </w:r>
          </w:p>
        </w:tc>
        <w:tc>
          <w:tcPr>
            <w:tcW w:w="3476" w:type="dxa"/>
            <w:tcBorders>
              <w:top w:val="nil"/>
              <w:left w:val="nil"/>
              <w:bottom w:val="nil"/>
              <w:right w:val="nil"/>
            </w:tcBorders>
            <w:shd w:val="clear" w:color="auto" w:fill="auto"/>
            <w:vAlign w:val="bottom"/>
            <w:hideMark/>
          </w:tcPr>
          <w:p w14:paraId="47913911" w14:textId="43342768"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Temeljni (upisani) kapital</w:t>
            </w:r>
          </w:p>
        </w:tc>
        <w:tc>
          <w:tcPr>
            <w:tcW w:w="1361" w:type="dxa"/>
            <w:tcBorders>
              <w:top w:val="nil"/>
              <w:left w:val="nil"/>
              <w:bottom w:val="nil"/>
              <w:right w:val="nil"/>
            </w:tcBorders>
            <w:shd w:val="clear" w:color="auto" w:fill="auto"/>
            <w:noWrap/>
            <w:vAlign w:val="bottom"/>
            <w:hideMark/>
          </w:tcPr>
          <w:p w14:paraId="29472F19" w14:textId="7FDA4FD1"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6.962.307</w:t>
            </w:r>
          </w:p>
        </w:tc>
        <w:tc>
          <w:tcPr>
            <w:tcW w:w="964" w:type="dxa"/>
            <w:tcBorders>
              <w:top w:val="nil"/>
              <w:left w:val="nil"/>
              <w:bottom w:val="nil"/>
              <w:right w:val="nil"/>
            </w:tcBorders>
            <w:shd w:val="clear" w:color="auto" w:fill="auto"/>
            <w:noWrap/>
            <w:vAlign w:val="bottom"/>
            <w:hideMark/>
          </w:tcPr>
          <w:p w14:paraId="2AE69778" w14:textId="0D1B5FDC"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21,58%</w:t>
            </w:r>
          </w:p>
        </w:tc>
        <w:tc>
          <w:tcPr>
            <w:tcW w:w="1361" w:type="dxa"/>
            <w:tcBorders>
              <w:top w:val="nil"/>
              <w:left w:val="nil"/>
              <w:bottom w:val="nil"/>
              <w:right w:val="nil"/>
            </w:tcBorders>
            <w:shd w:val="clear" w:color="auto" w:fill="auto"/>
            <w:noWrap/>
            <w:vAlign w:val="bottom"/>
            <w:hideMark/>
          </w:tcPr>
          <w:p w14:paraId="6B4D91B6" w14:textId="25117592"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6.962.307</w:t>
            </w:r>
          </w:p>
        </w:tc>
        <w:tc>
          <w:tcPr>
            <w:tcW w:w="964" w:type="dxa"/>
            <w:tcBorders>
              <w:top w:val="nil"/>
              <w:left w:val="nil"/>
              <w:bottom w:val="nil"/>
              <w:right w:val="nil"/>
            </w:tcBorders>
            <w:shd w:val="clear" w:color="auto" w:fill="auto"/>
            <w:noWrap/>
            <w:vAlign w:val="bottom"/>
            <w:hideMark/>
          </w:tcPr>
          <w:p w14:paraId="19DBD906" w14:textId="64369E2C"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22,92%</w:t>
            </w:r>
          </w:p>
        </w:tc>
        <w:tc>
          <w:tcPr>
            <w:tcW w:w="964" w:type="dxa"/>
            <w:tcBorders>
              <w:top w:val="nil"/>
              <w:left w:val="nil"/>
              <w:bottom w:val="nil"/>
              <w:right w:val="single" w:sz="4" w:space="0" w:color="auto"/>
            </w:tcBorders>
            <w:shd w:val="clear" w:color="auto" w:fill="auto"/>
            <w:noWrap/>
            <w:vAlign w:val="bottom"/>
            <w:hideMark/>
          </w:tcPr>
          <w:p w14:paraId="22216FDB" w14:textId="3995B3CA"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100%</w:t>
            </w:r>
          </w:p>
        </w:tc>
      </w:tr>
      <w:tr w:rsidR="00D2773A" w:rsidRPr="00DB02CE" w14:paraId="122EA479"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0C851509" w14:textId="12FF07B7"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1.2.</w:t>
            </w:r>
          </w:p>
        </w:tc>
        <w:tc>
          <w:tcPr>
            <w:tcW w:w="3476" w:type="dxa"/>
            <w:tcBorders>
              <w:top w:val="nil"/>
              <w:left w:val="nil"/>
              <w:bottom w:val="nil"/>
              <w:right w:val="nil"/>
            </w:tcBorders>
            <w:shd w:val="clear" w:color="auto" w:fill="auto"/>
            <w:vAlign w:val="bottom"/>
            <w:hideMark/>
          </w:tcPr>
          <w:p w14:paraId="6884A833" w14:textId="0C6E2364"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Kapitalne rezerve</w:t>
            </w:r>
          </w:p>
        </w:tc>
        <w:tc>
          <w:tcPr>
            <w:tcW w:w="1361" w:type="dxa"/>
            <w:tcBorders>
              <w:top w:val="nil"/>
              <w:left w:val="nil"/>
              <w:bottom w:val="nil"/>
              <w:right w:val="nil"/>
            </w:tcBorders>
            <w:shd w:val="clear" w:color="auto" w:fill="auto"/>
            <w:noWrap/>
            <w:vAlign w:val="bottom"/>
            <w:hideMark/>
          </w:tcPr>
          <w:p w14:paraId="443593A1" w14:textId="25CE4FA0"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616.813</w:t>
            </w:r>
          </w:p>
        </w:tc>
        <w:tc>
          <w:tcPr>
            <w:tcW w:w="964" w:type="dxa"/>
            <w:tcBorders>
              <w:top w:val="nil"/>
              <w:left w:val="nil"/>
              <w:bottom w:val="nil"/>
              <w:right w:val="nil"/>
            </w:tcBorders>
            <w:shd w:val="clear" w:color="auto" w:fill="auto"/>
            <w:noWrap/>
            <w:vAlign w:val="bottom"/>
            <w:hideMark/>
          </w:tcPr>
          <w:p w14:paraId="566D5EEE" w14:textId="5EC64851"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1,91%</w:t>
            </w:r>
          </w:p>
        </w:tc>
        <w:tc>
          <w:tcPr>
            <w:tcW w:w="1361" w:type="dxa"/>
            <w:tcBorders>
              <w:top w:val="nil"/>
              <w:left w:val="nil"/>
              <w:bottom w:val="nil"/>
              <w:right w:val="nil"/>
            </w:tcBorders>
            <w:shd w:val="clear" w:color="auto" w:fill="auto"/>
            <w:noWrap/>
            <w:vAlign w:val="bottom"/>
            <w:hideMark/>
          </w:tcPr>
          <w:p w14:paraId="3CDFA954" w14:textId="2DF6EEB8"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616.813</w:t>
            </w:r>
          </w:p>
        </w:tc>
        <w:tc>
          <w:tcPr>
            <w:tcW w:w="964" w:type="dxa"/>
            <w:tcBorders>
              <w:top w:val="nil"/>
              <w:left w:val="nil"/>
              <w:bottom w:val="nil"/>
              <w:right w:val="nil"/>
            </w:tcBorders>
            <w:shd w:val="clear" w:color="auto" w:fill="auto"/>
            <w:noWrap/>
            <w:vAlign w:val="bottom"/>
            <w:hideMark/>
          </w:tcPr>
          <w:p w14:paraId="6B6FBF53" w14:textId="702D1CF7"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2,03%</w:t>
            </w:r>
          </w:p>
        </w:tc>
        <w:tc>
          <w:tcPr>
            <w:tcW w:w="964" w:type="dxa"/>
            <w:tcBorders>
              <w:top w:val="nil"/>
              <w:left w:val="nil"/>
              <w:bottom w:val="nil"/>
              <w:right w:val="single" w:sz="4" w:space="0" w:color="auto"/>
            </w:tcBorders>
            <w:shd w:val="clear" w:color="auto" w:fill="auto"/>
            <w:noWrap/>
            <w:vAlign w:val="bottom"/>
            <w:hideMark/>
          </w:tcPr>
          <w:p w14:paraId="390BBBC1" w14:textId="2E912DD0"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100%</w:t>
            </w:r>
          </w:p>
        </w:tc>
      </w:tr>
      <w:tr w:rsidR="00D2773A" w:rsidRPr="00DB02CE" w14:paraId="4E63468F"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226862C4" w14:textId="5B6CAC27"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1.3.</w:t>
            </w:r>
          </w:p>
        </w:tc>
        <w:tc>
          <w:tcPr>
            <w:tcW w:w="3476" w:type="dxa"/>
            <w:tcBorders>
              <w:top w:val="nil"/>
              <w:left w:val="nil"/>
              <w:bottom w:val="nil"/>
              <w:right w:val="nil"/>
            </w:tcBorders>
            <w:shd w:val="clear" w:color="auto" w:fill="auto"/>
            <w:vAlign w:val="bottom"/>
            <w:hideMark/>
          </w:tcPr>
          <w:p w14:paraId="19A1C482" w14:textId="41760822"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Rezerve iz dobiti</w:t>
            </w:r>
          </w:p>
        </w:tc>
        <w:tc>
          <w:tcPr>
            <w:tcW w:w="1361" w:type="dxa"/>
            <w:tcBorders>
              <w:top w:val="nil"/>
              <w:left w:val="nil"/>
              <w:bottom w:val="nil"/>
              <w:right w:val="nil"/>
            </w:tcBorders>
            <w:shd w:val="clear" w:color="auto" w:fill="auto"/>
            <w:noWrap/>
            <w:vAlign w:val="bottom"/>
            <w:hideMark/>
          </w:tcPr>
          <w:p w14:paraId="6DFC77C1" w14:textId="52781953"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098B20BA" w14:textId="46BF5F06"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1361" w:type="dxa"/>
            <w:tcBorders>
              <w:top w:val="nil"/>
              <w:left w:val="nil"/>
              <w:bottom w:val="nil"/>
              <w:right w:val="nil"/>
            </w:tcBorders>
            <w:shd w:val="clear" w:color="auto" w:fill="auto"/>
            <w:noWrap/>
            <w:vAlign w:val="bottom"/>
            <w:hideMark/>
          </w:tcPr>
          <w:p w14:paraId="39732B8E" w14:textId="2D81248E"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125AB1F8" w14:textId="715A76B2"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3C6A203B" w14:textId="368879B5" w:rsidR="00D2773A" w:rsidRPr="00EA5CC3" w:rsidRDefault="00D2773A" w:rsidP="00D2773A">
            <w:pPr>
              <w:spacing w:after="0" w:line="240" w:lineRule="auto"/>
              <w:jc w:val="center"/>
              <w:rPr>
                <w:rFonts w:eastAsia="Times New Roman" w:cstheme="minorHAnsi"/>
                <w:color w:val="000000"/>
                <w:sz w:val="18"/>
                <w:szCs w:val="18"/>
                <w:lang w:eastAsia="hr-HR"/>
              </w:rPr>
            </w:pPr>
          </w:p>
        </w:tc>
      </w:tr>
      <w:tr w:rsidR="00D2773A" w:rsidRPr="00DB02CE" w14:paraId="268B541A"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5196AE98" w14:textId="123BEA3E"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1.4.</w:t>
            </w:r>
          </w:p>
        </w:tc>
        <w:tc>
          <w:tcPr>
            <w:tcW w:w="3476" w:type="dxa"/>
            <w:tcBorders>
              <w:top w:val="nil"/>
              <w:left w:val="nil"/>
              <w:bottom w:val="nil"/>
              <w:right w:val="nil"/>
            </w:tcBorders>
            <w:shd w:val="clear" w:color="auto" w:fill="auto"/>
            <w:vAlign w:val="bottom"/>
            <w:hideMark/>
          </w:tcPr>
          <w:p w14:paraId="1CB4E479" w14:textId="1E6F4093"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Revalorizacijske rezerve</w:t>
            </w:r>
          </w:p>
        </w:tc>
        <w:tc>
          <w:tcPr>
            <w:tcW w:w="1361" w:type="dxa"/>
            <w:tcBorders>
              <w:top w:val="nil"/>
              <w:left w:val="nil"/>
              <w:bottom w:val="nil"/>
              <w:right w:val="nil"/>
            </w:tcBorders>
            <w:shd w:val="clear" w:color="auto" w:fill="auto"/>
            <w:noWrap/>
            <w:vAlign w:val="bottom"/>
            <w:hideMark/>
          </w:tcPr>
          <w:p w14:paraId="62ADB4F8" w14:textId="423A81F5"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3D048515" w14:textId="4924F8D8"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1361" w:type="dxa"/>
            <w:tcBorders>
              <w:top w:val="nil"/>
              <w:left w:val="nil"/>
              <w:bottom w:val="nil"/>
              <w:right w:val="nil"/>
            </w:tcBorders>
            <w:shd w:val="clear" w:color="auto" w:fill="auto"/>
            <w:noWrap/>
            <w:vAlign w:val="bottom"/>
            <w:hideMark/>
          </w:tcPr>
          <w:p w14:paraId="71723B30" w14:textId="748F9A5D"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465581FE" w14:textId="63493442"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5968DA4B" w14:textId="0A66B5AD" w:rsidR="00D2773A" w:rsidRPr="00EA5CC3" w:rsidRDefault="00D2773A" w:rsidP="00D2773A">
            <w:pPr>
              <w:spacing w:after="0" w:line="240" w:lineRule="auto"/>
              <w:jc w:val="center"/>
              <w:rPr>
                <w:rFonts w:eastAsia="Times New Roman" w:cstheme="minorHAnsi"/>
                <w:color w:val="000000"/>
                <w:sz w:val="18"/>
                <w:szCs w:val="18"/>
                <w:lang w:eastAsia="hr-HR"/>
              </w:rPr>
            </w:pPr>
          </w:p>
        </w:tc>
      </w:tr>
      <w:tr w:rsidR="00D2773A" w:rsidRPr="00DB02CE" w14:paraId="414C3F8B"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4A262FA7" w14:textId="585CD3BD"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1.5.</w:t>
            </w:r>
          </w:p>
        </w:tc>
        <w:tc>
          <w:tcPr>
            <w:tcW w:w="3476" w:type="dxa"/>
            <w:tcBorders>
              <w:top w:val="nil"/>
              <w:left w:val="nil"/>
              <w:bottom w:val="nil"/>
              <w:right w:val="nil"/>
            </w:tcBorders>
            <w:shd w:val="clear" w:color="auto" w:fill="auto"/>
            <w:vAlign w:val="bottom"/>
            <w:hideMark/>
          </w:tcPr>
          <w:p w14:paraId="35FEFB13" w14:textId="69B5F0BB"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Zadržana dobit/preneseni gubitak</w:t>
            </w:r>
          </w:p>
        </w:tc>
        <w:tc>
          <w:tcPr>
            <w:tcW w:w="1361" w:type="dxa"/>
            <w:tcBorders>
              <w:top w:val="nil"/>
              <w:left w:val="nil"/>
              <w:bottom w:val="nil"/>
              <w:right w:val="nil"/>
            </w:tcBorders>
            <w:shd w:val="clear" w:color="auto" w:fill="auto"/>
            <w:noWrap/>
            <w:vAlign w:val="bottom"/>
            <w:hideMark/>
          </w:tcPr>
          <w:p w14:paraId="11F2E6D7" w14:textId="3CB383FF"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927.256</w:t>
            </w:r>
          </w:p>
        </w:tc>
        <w:tc>
          <w:tcPr>
            <w:tcW w:w="964" w:type="dxa"/>
            <w:tcBorders>
              <w:top w:val="nil"/>
              <w:left w:val="nil"/>
              <w:bottom w:val="nil"/>
              <w:right w:val="nil"/>
            </w:tcBorders>
            <w:shd w:val="clear" w:color="auto" w:fill="auto"/>
            <w:noWrap/>
            <w:vAlign w:val="bottom"/>
            <w:hideMark/>
          </w:tcPr>
          <w:p w14:paraId="2E8E7EE7" w14:textId="0058721D"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2,87%</w:t>
            </w:r>
          </w:p>
        </w:tc>
        <w:tc>
          <w:tcPr>
            <w:tcW w:w="1361" w:type="dxa"/>
            <w:tcBorders>
              <w:top w:val="nil"/>
              <w:left w:val="nil"/>
              <w:bottom w:val="nil"/>
              <w:right w:val="nil"/>
            </w:tcBorders>
            <w:shd w:val="clear" w:color="auto" w:fill="auto"/>
            <w:noWrap/>
            <w:vAlign w:val="bottom"/>
            <w:hideMark/>
          </w:tcPr>
          <w:p w14:paraId="2BA7319F" w14:textId="19628E97"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1.224.781</w:t>
            </w:r>
          </w:p>
        </w:tc>
        <w:tc>
          <w:tcPr>
            <w:tcW w:w="964" w:type="dxa"/>
            <w:tcBorders>
              <w:top w:val="nil"/>
              <w:left w:val="nil"/>
              <w:bottom w:val="nil"/>
              <w:right w:val="nil"/>
            </w:tcBorders>
            <w:shd w:val="clear" w:color="auto" w:fill="auto"/>
            <w:noWrap/>
            <w:vAlign w:val="bottom"/>
            <w:hideMark/>
          </w:tcPr>
          <w:p w14:paraId="48276219" w14:textId="5C19A875"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4,03%</w:t>
            </w:r>
          </w:p>
        </w:tc>
        <w:tc>
          <w:tcPr>
            <w:tcW w:w="964" w:type="dxa"/>
            <w:tcBorders>
              <w:top w:val="nil"/>
              <w:left w:val="nil"/>
              <w:bottom w:val="nil"/>
              <w:right w:val="single" w:sz="4" w:space="0" w:color="auto"/>
            </w:tcBorders>
            <w:shd w:val="clear" w:color="auto" w:fill="auto"/>
            <w:noWrap/>
            <w:vAlign w:val="bottom"/>
            <w:hideMark/>
          </w:tcPr>
          <w:p w14:paraId="29EB41E9" w14:textId="14D0561F"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132%</w:t>
            </w:r>
          </w:p>
        </w:tc>
      </w:tr>
      <w:tr w:rsidR="00D2773A" w:rsidRPr="00DB02CE" w14:paraId="2B547AE2"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252E7E4E" w14:textId="7C33EE9F" w:rsidR="00D2773A" w:rsidRPr="00D2773A" w:rsidRDefault="00D2773A" w:rsidP="00D2773A">
            <w:pPr>
              <w:spacing w:after="0" w:line="240" w:lineRule="auto"/>
              <w:rPr>
                <w:rFonts w:eastAsia="Times New Roman" w:cstheme="minorHAnsi"/>
                <w:sz w:val="18"/>
                <w:szCs w:val="18"/>
                <w:lang w:eastAsia="hr-HR"/>
              </w:rPr>
            </w:pPr>
          </w:p>
        </w:tc>
        <w:tc>
          <w:tcPr>
            <w:tcW w:w="3476" w:type="dxa"/>
            <w:tcBorders>
              <w:top w:val="nil"/>
              <w:left w:val="nil"/>
              <w:bottom w:val="nil"/>
              <w:right w:val="nil"/>
            </w:tcBorders>
            <w:shd w:val="clear" w:color="auto" w:fill="auto"/>
            <w:vAlign w:val="bottom"/>
            <w:hideMark/>
          </w:tcPr>
          <w:p w14:paraId="03B042C4" w14:textId="6F404CE8" w:rsidR="00D2773A" w:rsidRPr="00D2773A" w:rsidRDefault="00D2773A" w:rsidP="00D2773A">
            <w:pPr>
              <w:spacing w:after="0" w:line="240" w:lineRule="auto"/>
              <w:rPr>
                <w:rFonts w:eastAsia="Times New Roman" w:cstheme="minorHAnsi"/>
                <w:i/>
                <w:iCs/>
                <w:sz w:val="18"/>
                <w:szCs w:val="18"/>
                <w:lang w:eastAsia="hr-HR"/>
              </w:rPr>
            </w:pPr>
            <w:r w:rsidRPr="00D2773A">
              <w:rPr>
                <w:rFonts w:ascii="Calibri" w:hAnsi="Calibri" w:cs="Calibri"/>
                <w:i/>
                <w:iCs/>
                <w:sz w:val="18"/>
                <w:szCs w:val="18"/>
              </w:rPr>
              <w:t>Zadržana dobit</w:t>
            </w:r>
          </w:p>
        </w:tc>
        <w:tc>
          <w:tcPr>
            <w:tcW w:w="1361" w:type="dxa"/>
            <w:tcBorders>
              <w:top w:val="nil"/>
              <w:left w:val="nil"/>
              <w:bottom w:val="nil"/>
              <w:right w:val="nil"/>
            </w:tcBorders>
            <w:shd w:val="clear" w:color="auto" w:fill="auto"/>
            <w:noWrap/>
            <w:vAlign w:val="bottom"/>
            <w:hideMark/>
          </w:tcPr>
          <w:p w14:paraId="1BFE172C" w14:textId="559A56B1"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927.256</w:t>
            </w:r>
          </w:p>
        </w:tc>
        <w:tc>
          <w:tcPr>
            <w:tcW w:w="964" w:type="dxa"/>
            <w:tcBorders>
              <w:top w:val="nil"/>
              <w:left w:val="nil"/>
              <w:bottom w:val="nil"/>
              <w:right w:val="nil"/>
            </w:tcBorders>
            <w:shd w:val="clear" w:color="auto" w:fill="auto"/>
            <w:noWrap/>
            <w:vAlign w:val="bottom"/>
            <w:hideMark/>
          </w:tcPr>
          <w:p w14:paraId="7DCBAEC6" w14:textId="2423078B"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2,87%</w:t>
            </w:r>
          </w:p>
        </w:tc>
        <w:tc>
          <w:tcPr>
            <w:tcW w:w="1361" w:type="dxa"/>
            <w:tcBorders>
              <w:top w:val="nil"/>
              <w:left w:val="nil"/>
              <w:bottom w:val="nil"/>
              <w:right w:val="nil"/>
            </w:tcBorders>
            <w:shd w:val="clear" w:color="auto" w:fill="auto"/>
            <w:noWrap/>
            <w:vAlign w:val="bottom"/>
            <w:hideMark/>
          </w:tcPr>
          <w:p w14:paraId="09FCE030" w14:textId="6737D38E"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1.224.781</w:t>
            </w:r>
          </w:p>
        </w:tc>
        <w:tc>
          <w:tcPr>
            <w:tcW w:w="964" w:type="dxa"/>
            <w:tcBorders>
              <w:top w:val="nil"/>
              <w:left w:val="nil"/>
              <w:bottom w:val="nil"/>
              <w:right w:val="nil"/>
            </w:tcBorders>
            <w:shd w:val="clear" w:color="auto" w:fill="auto"/>
            <w:noWrap/>
            <w:vAlign w:val="bottom"/>
            <w:hideMark/>
          </w:tcPr>
          <w:p w14:paraId="45314776" w14:textId="3957A8FD"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4,03%</w:t>
            </w:r>
          </w:p>
        </w:tc>
        <w:tc>
          <w:tcPr>
            <w:tcW w:w="964" w:type="dxa"/>
            <w:tcBorders>
              <w:top w:val="nil"/>
              <w:left w:val="nil"/>
              <w:bottom w:val="nil"/>
              <w:right w:val="single" w:sz="4" w:space="0" w:color="auto"/>
            </w:tcBorders>
            <w:shd w:val="clear" w:color="auto" w:fill="auto"/>
            <w:noWrap/>
            <w:vAlign w:val="bottom"/>
            <w:hideMark/>
          </w:tcPr>
          <w:p w14:paraId="0E8F5249" w14:textId="1B8109C0"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132%</w:t>
            </w:r>
          </w:p>
        </w:tc>
      </w:tr>
      <w:tr w:rsidR="00D2773A" w:rsidRPr="00DB02CE" w14:paraId="6B50CF39"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62FB0B10" w14:textId="6F56385A" w:rsidR="00D2773A" w:rsidRPr="00D2773A" w:rsidRDefault="00D2773A" w:rsidP="00D2773A">
            <w:pPr>
              <w:spacing w:after="0" w:line="240" w:lineRule="auto"/>
              <w:rPr>
                <w:rFonts w:eastAsia="Times New Roman" w:cstheme="minorHAnsi"/>
                <w:sz w:val="18"/>
                <w:szCs w:val="18"/>
                <w:lang w:eastAsia="hr-HR"/>
              </w:rPr>
            </w:pPr>
          </w:p>
        </w:tc>
        <w:tc>
          <w:tcPr>
            <w:tcW w:w="3476" w:type="dxa"/>
            <w:tcBorders>
              <w:top w:val="nil"/>
              <w:left w:val="nil"/>
              <w:bottom w:val="nil"/>
              <w:right w:val="nil"/>
            </w:tcBorders>
            <w:shd w:val="clear" w:color="auto" w:fill="auto"/>
            <w:vAlign w:val="bottom"/>
            <w:hideMark/>
          </w:tcPr>
          <w:p w14:paraId="53E45248" w14:textId="145DB282" w:rsidR="00D2773A" w:rsidRPr="00D2773A" w:rsidRDefault="00D2773A" w:rsidP="00D2773A">
            <w:pPr>
              <w:spacing w:after="0" w:line="240" w:lineRule="auto"/>
              <w:rPr>
                <w:rFonts w:eastAsia="Times New Roman" w:cstheme="minorHAnsi"/>
                <w:i/>
                <w:iCs/>
                <w:sz w:val="18"/>
                <w:szCs w:val="18"/>
                <w:lang w:eastAsia="hr-HR"/>
              </w:rPr>
            </w:pPr>
            <w:r w:rsidRPr="00D2773A">
              <w:rPr>
                <w:rFonts w:ascii="Calibri" w:hAnsi="Calibri" w:cs="Calibri"/>
                <w:i/>
                <w:iCs/>
                <w:sz w:val="18"/>
                <w:szCs w:val="18"/>
              </w:rPr>
              <w:t>Preneseni gubitak</w:t>
            </w:r>
          </w:p>
        </w:tc>
        <w:tc>
          <w:tcPr>
            <w:tcW w:w="1361" w:type="dxa"/>
            <w:tcBorders>
              <w:top w:val="nil"/>
              <w:left w:val="nil"/>
              <w:bottom w:val="nil"/>
              <w:right w:val="nil"/>
            </w:tcBorders>
            <w:shd w:val="clear" w:color="auto" w:fill="auto"/>
            <w:noWrap/>
            <w:vAlign w:val="bottom"/>
            <w:hideMark/>
          </w:tcPr>
          <w:p w14:paraId="79357C74" w14:textId="36B7EA39"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13F4685A" w14:textId="70D13295"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1361" w:type="dxa"/>
            <w:tcBorders>
              <w:top w:val="nil"/>
              <w:left w:val="nil"/>
              <w:bottom w:val="nil"/>
              <w:right w:val="nil"/>
            </w:tcBorders>
            <w:shd w:val="clear" w:color="auto" w:fill="auto"/>
            <w:noWrap/>
            <w:vAlign w:val="bottom"/>
            <w:hideMark/>
          </w:tcPr>
          <w:p w14:paraId="22540210" w14:textId="096356B3"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0BDFF097" w14:textId="353881E8"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291D7CFD" w14:textId="53DC7F64" w:rsidR="00D2773A" w:rsidRPr="00EA5CC3" w:rsidRDefault="00D2773A" w:rsidP="00D2773A">
            <w:pPr>
              <w:spacing w:after="0" w:line="240" w:lineRule="auto"/>
              <w:jc w:val="center"/>
              <w:rPr>
                <w:rFonts w:eastAsia="Times New Roman" w:cstheme="minorHAnsi"/>
                <w:color w:val="000000"/>
                <w:sz w:val="18"/>
                <w:szCs w:val="18"/>
                <w:lang w:eastAsia="hr-HR"/>
              </w:rPr>
            </w:pPr>
          </w:p>
        </w:tc>
      </w:tr>
      <w:tr w:rsidR="00D2773A" w:rsidRPr="00DB02CE" w14:paraId="72B3927B"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162AAB54" w14:textId="3CD5C694"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1.6.</w:t>
            </w:r>
          </w:p>
        </w:tc>
        <w:tc>
          <w:tcPr>
            <w:tcW w:w="3476" w:type="dxa"/>
            <w:tcBorders>
              <w:top w:val="nil"/>
              <w:left w:val="nil"/>
              <w:bottom w:val="nil"/>
              <w:right w:val="nil"/>
            </w:tcBorders>
            <w:shd w:val="clear" w:color="auto" w:fill="auto"/>
            <w:vAlign w:val="bottom"/>
            <w:hideMark/>
          </w:tcPr>
          <w:p w14:paraId="7DFB8576" w14:textId="37678361"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Dobit/gubitak poslovne godine</w:t>
            </w:r>
          </w:p>
        </w:tc>
        <w:tc>
          <w:tcPr>
            <w:tcW w:w="1361" w:type="dxa"/>
            <w:tcBorders>
              <w:top w:val="nil"/>
              <w:left w:val="nil"/>
              <w:bottom w:val="nil"/>
              <w:right w:val="nil"/>
            </w:tcBorders>
            <w:shd w:val="clear" w:color="auto" w:fill="auto"/>
            <w:noWrap/>
            <w:vAlign w:val="bottom"/>
            <w:hideMark/>
          </w:tcPr>
          <w:p w14:paraId="353BF8CD" w14:textId="79A5AEFA"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297.524</w:t>
            </w:r>
          </w:p>
        </w:tc>
        <w:tc>
          <w:tcPr>
            <w:tcW w:w="964" w:type="dxa"/>
            <w:tcBorders>
              <w:top w:val="nil"/>
              <w:left w:val="nil"/>
              <w:bottom w:val="nil"/>
              <w:right w:val="nil"/>
            </w:tcBorders>
            <w:shd w:val="clear" w:color="auto" w:fill="auto"/>
            <w:noWrap/>
            <w:vAlign w:val="bottom"/>
            <w:hideMark/>
          </w:tcPr>
          <w:p w14:paraId="58C4B0E7" w14:textId="220E401E"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0,92%</w:t>
            </w:r>
          </w:p>
        </w:tc>
        <w:tc>
          <w:tcPr>
            <w:tcW w:w="1361" w:type="dxa"/>
            <w:tcBorders>
              <w:top w:val="nil"/>
              <w:left w:val="nil"/>
              <w:bottom w:val="nil"/>
              <w:right w:val="nil"/>
            </w:tcBorders>
            <w:shd w:val="clear" w:color="auto" w:fill="auto"/>
            <w:noWrap/>
            <w:vAlign w:val="bottom"/>
            <w:hideMark/>
          </w:tcPr>
          <w:p w14:paraId="0CC3855B" w14:textId="016470F9"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41.143</w:t>
            </w:r>
          </w:p>
        </w:tc>
        <w:tc>
          <w:tcPr>
            <w:tcW w:w="964" w:type="dxa"/>
            <w:tcBorders>
              <w:top w:val="nil"/>
              <w:left w:val="nil"/>
              <w:bottom w:val="nil"/>
              <w:right w:val="nil"/>
            </w:tcBorders>
            <w:shd w:val="clear" w:color="auto" w:fill="auto"/>
            <w:noWrap/>
            <w:vAlign w:val="bottom"/>
            <w:hideMark/>
          </w:tcPr>
          <w:p w14:paraId="43DFBC11" w14:textId="35AD5CC5"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0,14%</w:t>
            </w:r>
          </w:p>
        </w:tc>
        <w:tc>
          <w:tcPr>
            <w:tcW w:w="964" w:type="dxa"/>
            <w:tcBorders>
              <w:top w:val="nil"/>
              <w:left w:val="nil"/>
              <w:bottom w:val="nil"/>
              <w:right w:val="single" w:sz="4" w:space="0" w:color="auto"/>
            </w:tcBorders>
            <w:shd w:val="clear" w:color="auto" w:fill="auto"/>
            <w:noWrap/>
            <w:vAlign w:val="bottom"/>
            <w:hideMark/>
          </w:tcPr>
          <w:p w14:paraId="793EA101" w14:textId="0594D73D"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14%</w:t>
            </w:r>
          </w:p>
        </w:tc>
      </w:tr>
      <w:tr w:rsidR="00D2773A" w:rsidRPr="00DB02CE" w14:paraId="6B3E00B1"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6E0760E8" w14:textId="702FE5A4" w:rsidR="00D2773A" w:rsidRPr="00D2773A" w:rsidRDefault="00D2773A" w:rsidP="00D2773A">
            <w:pPr>
              <w:spacing w:after="0" w:line="240" w:lineRule="auto"/>
              <w:rPr>
                <w:rFonts w:eastAsia="Times New Roman" w:cstheme="minorHAnsi"/>
                <w:sz w:val="18"/>
                <w:szCs w:val="18"/>
                <w:lang w:eastAsia="hr-HR"/>
              </w:rPr>
            </w:pPr>
          </w:p>
        </w:tc>
        <w:tc>
          <w:tcPr>
            <w:tcW w:w="3476" w:type="dxa"/>
            <w:tcBorders>
              <w:top w:val="nil"/>
              <w:left w:val="nil"/>
              <w:bottom w:val="nil"/>
              <w:right w:val="nil"/>
            </w:tcBorders>
            <w:shd w:val="clear" w:color="auto" w:fill="auto"/>
            <w:vAlign w:val="bottom"/>
            <w:hideMark/>
          </w:tcPr>
          <w:p w14:paraId="2C1D9799" w14:textId="2BCBD8CC" w:rsidR="00D2773A" w:rsidRPr="00D2773A" w:rsidRDefault="00D2773A" w:rsidP="00D2773A">
            <w:pPr>
              <w:spacing w:after="0" w:line="240" w:lineRule="auto"/>
              <w:rPr>
                <w:rFonts w:eastAsia="Times New Roman" w:cstheme="minorHAnsi"/>
                <w:i/>
                <w:iCs/>
                <w:sz w:val="18"/>
                <w:szCs w:val="18"/>
                <w:lang w:eastAsia="hr-HR"/>
              </w:rPr>
            </w:pPr>
            <w:r w:rsidRPr="00D2773A">
              <w:rPr>
                <w:rFonts w:ascii="Calibri" w:hAnsi="Calibri" w:cs="Calibri"/>
                <w:i/>
                <w:iCs/>
                <w:sz w:val="18"/>
                <w:szCs w:val="18"/>
              </w:rPr>
              <w:t>Dobit poslovne godine</w:t>
            </w:r>
          </w:p>
        </w:tc>
        <w:tc>
          <w:tcPr>
            <w:tcW w:w="1361" w:type="dxa"/>
            <w:tcBorders>
              <w:top w:val="nil"/>
              <w:left w:val="nil"/>
              <w:bottom w:val="nil"/>
              <w:right w:val="nil"/>
            </w:tcBorders>
            <w:shd w:val="clear" w:color="auto" w:fill="auto"/>
            <w:noWrap/>
            <w:vAlign w:val="bottom"/>
            <w:hideMark/>
          </w:tcPr>
          <w:p w14:paraId="064D910B" w14:textId="5FCC6F68"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297.524</w:t>
            </w:r>
          </w:p>
        </w:tc>
        <w:tc>
          <w:tcPr>
            <w:tcW w:w="964" w:type="dxa"/>
            <w:tcBorders>
              <w:top w:val="nil"/>
              <w:left w:val="nil"/>
              <w:bottom w:val="nil"/>
              <w:right w:val="nil"/>
            </w:tcBorders>
            <w:shd w:val="clear" w:color="auto" w:fill="auto"/>
            <w:noWrap/>
            <w:vAlign w:val="bottom"/>
            <w:hideMark/>
          </w:tcPr>
          <w:p w14:paraId="68C1F8E8" w14:textId="282908BB"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0,92%</w:t>
            </w:r>
          </w:p>
        </w:tc>
        <w:tc>
          <w:tcPr>
            <w:tcW w:w="1361" w:type="dxa"/>
            <w:tcBorders>
              <w:top w:val="nil"/>
              <w:left w:val="nil"/>
              <w:bottom w:val="nil"/>
              <w:right w:val="nil"/>
            </w:tcBorders>
            <w:shd w:val="clear" w:color="auto" w:fill="auto"/>
            <w:noWrap/>
            <w:vAlign w:val="bottom"/>
            <w:hideMark/>
          </w:tcPr>
          <w:p w14:paraId="7476D909" w14:textId="52A4C67A"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41.143</w:t>
            </w:r>
          </w:p>
        </w:tc>
        <w:tc>
          <w:tcPr>
            <w:tcW w:w="964" w:type="dxa"/>
            <w:tcBorders>
              <w:top w:val="nil"/>
              <w:left w:val="nil"/>
              <w:bottom w:val="nil"/>
              <w:right w:val="nil"/>
            </w:tcBorders>
            <w:shd w:val="clear" w:color="auto" w:fill="auto"/>
            <w:noWrap/>
            <w:vAlign w:val="bottom"/>
            <w:hideMark/>
          </w:tcPr>
          <w:p w14:paraId="0E7118AC" w14:textId="56D973A1"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0,14%</w:t>
            </w:r>
          </w:p>
        </w:tc>
        <w:tc>
          <w:tcPr>
            <w:tcW w:w="964" w:type="dxa"/>
            <w:tcBorders>
              <w:top w:val="nil"/>
              <w:left w:val="nil"/>
              <w:bottom w:val="nil"/>
              <w:right w:val="single" w:sz="4" w:space="0" w:color="auto"/>
            </w:tcBorders>
            <w:shd w:val="clear" w:color="auto" w:fill="auto"/>
            <w:noWrap/>
            <w:vAlign w:val="bottom"/>
            <w:hideMark/>
          </w:tcPr>
          <w:p w14:paraId="23CC2F44" w14:textId="7B57EFEB"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14%</w:t>
            </w:r>
          </w:p>
        </w:tc>
      </w:tr>
      <w:tr w:rsidR="00D2773A" w:rsidRPr="00DB02CE" w14:paraId="3ABAC8D5"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44AD80F5" w14:textId="7889C886" w:rsidR="00D2773A" w:rsidRPr="00D2773A" w:rsidRDefault="00D2773A" w:rsidP="00D2773A">
            <w:pPr>
              <w:spacing w:after="0" w:line="240" w:lineRule="auto"/>
              <w:rPr>
                <w:rFonts w:eastAsia="Times New Roman" w:cstheme="minorHAnsi"/>
                <w:sz w:val="18"/>
                <w:szCs w:val="18"/>
                <w:lang w:eastAsia="hr-HR"/>
              </w:rPr>
            </w:pPr>
          </w:p>
        </w:tc>
        <w:tc>
          <w:tcPr>
            <w:tcW w:w="3476" w:type="dxa"/>
            <w:tcBorders>
              <w:top w:val="nil"/>
              <w:left w:val="nil"/>
              <w:bottom w:val="nil"/>
              <w:right w:val="nil"/>
            </w:tcBorders>
            <w:shd w:val="clear" w:color="auto" w:fill="auto"/>
            <w:vAlign w:val="bottom"/>
            <w:hideMark/>
          </w:tcPr>
          <w:p w14:paraId="4F391E2E" w14:textId="706FCBB8" w:rsidR="00D2773A" w:rsidRPr="00D2773A" w:rsidRDefault="00D2773A" w:rsidP="00D2773A">
            <w:pPr>
              <w:spacing w:after="0" w:line="240" w:lineRule="auto"/>
              <w:rPr>
                <w:rFonts w:eastAsia="Times New Roman" w:cstheme="minorHAnsi"/>
                <w:i/>
                <w:iCs/>
                <w:sz w:val="18"/>
                <w:szCs w:val="18"/>
                <w:lang w:eastAsia="hr-HR"/>
              </w:rPr>
            </w:pPr>
            <w:r w:rsidRPr="00D2773A">
              <w:rPr>
                <w:rFonts w:ascii="Calibri" w:hAnsi="Calibri" w:cs="Calibri"/>
                <w:i/>
                <w:iCs/>
                <w:sz w:val="18"/>
                <w:szCs w:val="18"/>
              </w:rPr>
              <w:t>Gubitak poslovne godine</w:t>
            </w:r>
          </w:p>
        </w:tc>
        <w:tc>
          <w:tcPr>
            <w:tcW w:w="1361" w:type="dxa"/>
            <w:tcBorders>
              <w:top w:val="nil"/>
              <w:left w:val="nil"/>
              <w:bottom w:val="nil"/>
              <w:right w:val="nil"/>
            </w:tcBorders>
            <w:shd w:val="clear" w:color="auto" w:fill="auto"/>
            <w:noWrap/>
            <w:vAlign w:val="bottom"/>
            <w:hideMark/>
          </w:tcPr>
          <w:p w14:paraId="5D47A91E" w14:textId="37C4815C"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212FDF02" w14:textId="7F9F887F"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1361" w:type="dxa"/>
            <w:tcBorders>
              <w:top w:val="nil"/>
              <w:left w:val="nil"/>
              <w:bottom w:val="nil"/>
              <w:right w:val="nil"/>
            </w:tcBorders>
            <w:shd w:val="clear" w:color="auto" w:fill="auto"/>
            <w:noWrap/>
            <w:vAlign w:val="bottom"/>
            <w:hideMark/>
          </w:tcPr>
          <w:p w14:paraId="448B13E9" w14:textId="2A404F3C" w:rsidR="00D2773A" w:rsidRPr="00EA5CC3" w:rsidRDefault="00D2773A" w:rsidP="00D2773A">
            <w:pPr>
              <w:spacing w:after="0" w:line="240" w:lineRule="auto"/>
              <w:jc w:val="center"/>
              <w:rPr>
                <w:rFonts w:eastAsia="Times New Roman" w:cstheme="minorHAnsi"/>
                <w:i/>
                <w:iCs/>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2687B6BA" w14:textId="4451691B"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3F79B252" w14:textId="023A19DD" w:rsidR="00D2773A" w:rsidRPr="00EA5CC3" w:rsidRDefault="00D2773A" w:rsidP="00D2773A">
            <w:pPr>
              <w:spacing w:after="0" w:line="240" w:lineRule="auto"/>
              <w:jc w:val="center"/>
              <w:rPr>
                <w:rFonts w:eastAsia="Times New Roman" w:cstheme="minorHAnsi"/>
                <w:color w:val="000000"/>
                <w:sz w:val="18"/>
                <w:szCs w:val="18"/>
                <w:lang w:eastAsia="hr-HR"/>
              </w:rPr>
            </w:pPr>
          </w:p>
        </w:tc>
      </w:tr>
      <w:tr w:rsidR="00D2773A" w:rsidRPr="00DB02CE" w14:paraId="5FC85B7C"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2AB77370" w14:textId="73434462" w:rsidR="00D2773A" w:rsidRPr="00D2773A" w:rsidRDefault="00D2773A" w:rsidP="00D2773A">
            <w:pPr>
              <w:spacing w:after="0" w:line="240" w:lineRule="auto"/>
              <w:rPr>
                <w:rFonts w:eastAsia="Times New Roman" w:cstheme="minorHAnsi"/>
                <w:b/>
                <w:bCs/>
                <w:sz w:val="18"/>
                <w:szCs w:val="18"/>
                <w:lang w:eastAsia="hr-HR"/>
              </w:rPr>
            </w:pPr>
            <w:r w:rsidRPr="00D2773A">
              <w:rPr>
                <w:b/>
                <w:bCs/>
                <w:sz w:val="18"/>
                <w:szCs w:val="18"/>
              </w:rPr>
              <w:t>2.</w:t>
            </w:r>
          </w:p>
        </w:tc>
        <w:tc>
          <w:tcPr>
            <w:tcW w:w="3476" w:type="dxa"/>
            <w:tcBorders>
              <w:top w:val="nil"/>
              <w:left w:val="nil"/>
              <w:bottom w:val="nil"/>
              <w:right w:val="nil"/>
            </w:tcBorders>
            <w:shd w:val="clear" w:color="auto" w:fill="auto"/>
            <w:vAlign w:val="bottom"/>
            <w:hideMark/>
          </w:tcPr>
          <w:p w14:paraId="5AD46448" w14:textId="451AFE7B" w:rsidR="00D2773A" w:rsidRPr="00D2773A" w:rsidRDefault="00D2773A" w:rsidP="00D2773A">
            <w:pPr>
              <w:spacing w:after="0" w:line="240" w:lineRule="auto"/>
              <w:rPr>
                <w:rFonts w:eastAsia="Times New Roman" w:cstheme="minorHAnsi"/>
                <w:b/>
                <w:bCs/>
                <w:sz w:val="18"/>
                <w:szCs w:val="18"/>
                <w:lang w:eastAsia="hr-HR"/>
              </w:rPr>
            </w:pPr>
            <w:r w:rsidRPr="00D2773A">
              <w:rPr>
                <w:rFonts w:ascii="Calibri" w:hAnsi="Calibri" w:cs="Calibri"/>
                <w:b/>
                <w:bCs/>
                <w:sz w:val="18"/>
                <w:szCs w:val="18"/>
              </w:rPr>
              <w:t>DUGOROČNA REZERVIRANJA</w:t>
            </w:r>
          </w:p>
        </w:tc>
        <w:tc>
          <w:tcPr>
            <w:tcW w:w="1361" w:type="dxa"/>
            <w:tcBorders>
              <w:top w:val="nil"/>
              <w:left w:val="nil"/>
              <w:bottom w:val="nil"/>
              <w:right w:val="nil"/>
            </w:tcBorders>
            <w:shd w:val="clear" w:color="auto" w:fill="auto"/>
            <w:noWrap/>
            <w:vAlign w:val="bottom"/>
            <w:hideMark/>
          </w:tcPr>
          <w:p w14:paraId="2117FAC5" w14:textId="131B5630" w:rsidR="00D2773A" w:rsidRPr="00D2773A" w:rsidRDefault="00D2773A" w:rsidP="00D2773A">
            <w:pPr>
              <w:spacing w:after="0" w:line="240" w:lineRule="auto"/>
              <w:jc w:val="center"/>
              <w:rPr>
                <w:rFonts w:eastAsia="Times New Roman" w:cstheme="minorHAnsi"/>
                <w:b/>
                <w:bCs/>
                <w:sz w:val="18"/>
                <w:szCs w:val="18"/>
                <w:lang w:eastAsia="hr-HR"/>
              </w:rPr>
            </w:pPr>
            <w:r w:rsidRPr="00D2773A">
              <w:rPr>
                <w:rFonts w:cstheme="minorHAnsi"/>
                <w:b/>
                <w:bCs/>
                <w:sz w:val="18"/>
                <w:szCs w:val="18"/>
              </w:rPr>
              <w:t>1.688.592</w:t>
            </w:r>
          </w:p>
        </w:tc>
        <w:tc>
          <w:tcPr>
            <w:tcW w:w="964" w:type="dxa"/>
            <w:tcBorders>
              <w:top w:val="nil"/>
              <w:left w:val="nil"/>
              <w:bottom w:val="nil"/>
              <w:right w:val="nil"/>
            </w:tcBorders>
            <w:shd w:val="clear" w:color="auto" w:fill="auto"/>
            <w:noWrap/>
            <w:vAlign w:val="bottom"/>
            <w:hideMark/>
          </w:tcPr>
          <w:p w14:paraId="2FFC1E86" w14:textId="41F8D562"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5,23%</w:t>
            </w:r>
          </w:p>
        </w:tc>
        <w:tc>
          <w:tcPr>
            <w:tcW w:w="1361" w:type="dxa"/>
            <w:tcBorders>
              <w:top w:val="nil"/>
              <w:left w:val="nil"/>
              <w:bottom w:val="nil"/>
              <w:right w:val="nil"/>
            </w:tcBorders>
            <w:shd w:val="clear" w:color="auto" w:fill="auto"/>
            <w:noWrap/>
            <w:vAlign w:val="bottom"/>
            <w:hideMark/>
          </w:tcPr>
          <w:p w14:paraId="762BD50A" w14:textId="746CF158" w:rsidR="00D2773A" w:rsidRPr="00D2773A" w:rsidRDefault="00D2773A" w:rsidP="00D2773A">
            <w:pPr>
              <w:spacing w:after="0" w:line="240" w:lineRule="auto"/>
              <w:jc w:val="center"/>
              <w:rPr>
                <w:rFonts w:eastAsia="Times New Roman" w:cstheme="minorHAnsi"/>
                <w:b/>
                <w:bCs/>
                <w:sz w:val="18"/>
                <w:szCs w:val="18"/>
                <w:lang w:eastAsia="hr-HR"/>
              </w:rPr>
            </w:pPr>
            <w:r w:rsidRPr="00D2773A">
              <w:rPr>
                <w:rFonts w:cstheme="minorHAnsi"/>
                <w:b/>
                <w:bCs/>
                <w:sz w:val="18"/>
                <w:szCs w:val="18"/>
              </w:rPr>
              <w:t>1.683.539</w:t>
            </w:r>
          </w:p>
        </w:tc>
        <w:tc>
          <w:tcPr>
            <w:tcW w:w="964" w:type="dxa"/>
            <w:tcBorders>
              <w:top w:val="nil"/>
              <w:left w:val="nil"/>
              <w:bottom w:val="nil"/>
              <w:right w:val="nil"/>
            </w:tcBorders>
            <w:shd w:val="clear" w:color="auto" w:fill="auto"/>
            <w:noWrap/>
            <w:vAlign w:val="bottom"/>
            <w:hideMark/>
          </w:tcPr>
          <w:p w14:paraId="0A98E316" w14:textId="7A364BCC"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5,54%</w:t>
            </w:r>
          </w:p>
        </w:tc>
        <w:tc>
          <w:tcPr>
            <w:tcW w:w="964" w:type="dxa"/>
            <w:tcBorders>
              <w:top w:val="nil"/>
              <w:left w:val="nil"/>
              <w:bottom w:val="nil"/>
              <w:right w:val="single" w:sz="4" w:space="0" w:color="auto"/>
            </w:tcBorders>
            <w:shd w:val="clear" w:color="auto" w:fill="auto"/>
            <w:noWrap/>
            <w:vAlign w:val="bottom"/>
            <w:hideMark/>
          </w:tcPr>
          <w:p w14:paraId="264C7F9C" w14:textId="713C945C"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100%</w:t>
            </w:r>
          </w:p>
        </w:tc>
      </w:tr>
      <w:tr w:rsidR="00D2773A" w:rsidRPr="00DB02CE" w14:paraId="75F94928"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246A9FC1" w14:textId="70F73885"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2.1</w:t>
            </w:r>
          </w:p>
        </w:tc>
        <w:tc>
          <w:tcPr>
            <w:tcW w:w="3476" w:type="dxa"/>
            <w:tcBorders>
              <w:top w:val="nil"/>
              <w:left w:val="nil"/>
              <w:bottom w:val="nil"/>
              <w:right w:val="nil"/>
            </w:tcBorders>
            <w:shd w:val="clear" w:color="auto" w:fill="auto"/>
            <w:vAlign w:val="bottom"/>
            <w:hideMark/>
          </w:tcPr>
          <w:p w14:paraId="297F84AF" w14:textId="4D9788D3"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Rezerviranja za mirovine, otpremnine i slične obveze</w:t>
            </w:r>
          </w:p>
        </w:tc>
        <w:tc>
          <w:tcPr>
            <w:tcW w:w="1361" w:type="dxa"/>
            <w:tcBorders>
              <w:top w:val="nil"/>
              <w:left w:val="nil"/>
              <w:bottom w:val="nil"/>
              <w:right w:val="nil"/>
            </w:tcBorders>
            <w:shd w:val="clear" w:color="auto" w:fill="auto"/>
            <w:noWrap/>
            <w:vAlign w:val="bottom"/>
            <w:hideMark/>
          </w:tcPr>
          <w:p w14:paraId="1C11F1B0" w14:textId="7AC3ADDE"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16.393</w:t>
            </w:r>
          </w:p>
        </w:tc>
        <w:tc>
          <w:tcPr>
            <w:tcW w:w="964" w:type="dxa"/>
            <w:tcBorders>
              <w:top w:val="nil"/>
              <w:left w:val="nil"/>
              <w:bottom w:val="nil"/>
              <w:right w:val="nil"/>
            </w:tcBorders>
            <w:shd w:val="clear" w:color="auto" w:fill="auto"/>
            <w:noWrap/>
            <w:vAlign w:val="bottom"/>
            <w:hideMark/>
          </w:tcPr>
          <w:p w14:paraId="7771A4AE" w14:textId="451435AA"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0,05%</w:t>
            </w:r>
          </w:p>
        </w:tc>
        <w:tc>
          <w:tcPr>
            <w:tcW w:w="1361" w:type="dxa"/>
            <w:tcBorders>
              <w:top w:val="nil"/>
              <w:left w:val="nil"/>
              <w:bottom w:val="nil"/>
              <w:right w:val="nil"/>
            </w:tcBorders>
            <w:shd w:val="clear" w:color="auto" w:fill="auto"/>
            <w:noWrap/>
            <w:vAlign w:val="bottom"/>
            <w:hideMark/>
          </w:tcPr>
          <w:p w14:paraId="5DC7ACCE" w14:textId="5D630C1A"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503D55F1" w14:textId="5785BEE2"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5C16E919" w14:textId="40F8C5A9" w:rsidR="00D2773A" w:rsidRPr="00EA5CC3" w:rsidRDefault="00D2773A" w:rsidP="00D2773A">
            <w:pPr>
              <w:spacing w:after="0" w:line="240" w:lineRule="auto"/>
              <w:jc w:val="center"/>
              <w:rPr>
                <w:rFonts w:eastAsia="Times New Roman" w:cstheme="minorHAnsi"/>
                <w:color w:val="000000"/>
                <w:sz w:val="18"/>
                <w:szCs w:val="18"/>
                <w:lang w:eastAsia="hr-HR"/>
              </w:rPr>
            </w:pPr>
          </w:p>
        </w:tc>
      </w:tr>
      <w:tr w:rsidR="00D2773A" w:rsidRPr="00DB02CE" w14:paraId="04340831"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77788501" w14:textId="562941B8"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2.2</w:t>
            </w:r>
          </w:p>
        </w:tc>
        <w:tc>
          <w:tcPr>
            <w:tcW w:w="3476" w:type="dxa"/>
            <w:tcBorders>
              <w:top w:val="nil"/>
              <w:left w:val="nil"/>
              <w:bottom w:val="nil"/>
              <w:right w:val="nil"/>
            </w:tcBorders>
            <w:shd w:val="clear" w:color="auto" w:fill="auto"/>
            <w:vAlign w:val="bottom"/>
            <w:hideMark/>
          </w:tcPr>
          <w:p w14:paraId="659372C5" w14:textId="562302D6"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Rezerviranja za započete sudske sporove</w:t>
            </w:r>
          </w:p>
        </w:tc>
        <w:tc>
          <w:tcPr>
            <w:tcW w:w="1361" w:type="dxa"/>
            <w:tcBorders>
              <w:top w:val="nil"/>
              <w:left w:val="nil"/>
              <w:bottom w:val="nil"/>
              <w:right w:val="nil"/>
            </w:tcBorders>
            <w:shd w:val="clear" w:color="auto" w:fill="auto"/>
            <w:noWrap/>
            <w:vAlign w:val="bottom"/>
            <w:hideMark/>
          </w:tcPr>
          <w:p w14:paraId="64A6CFB3" w14:textId="478036D6"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679.255</w:t>
            </w:r>
          </w:p>
        </w:tc>
        <w:tc>
          <w:tcPr>
            <w:tcW w:w="964" w:type="dxa"/>
            <w:tcBorders>
              <w:top w:val="nil"/>
              <w:left w:val="nil"/>
              <w:bottom w:val="nil"/>
              <w:right w:val="nil"/>
            </w:tcBorders>
            <w:shd w:val="clear" w:color="auto" w:fill="auto"/>
            <w:noWrap/>
            <w:vAlign w:val="bottom"/>
            <w:hideMark/>
          </w:tcPr>
          <w:p w14:paraId="6E7AE196" w14:textId="3929FE76"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2,11%</w:t>
            </w:r>
          </w:p>
        </w:tc>
        <w:tc>
          <w:tcPr>
            <w:tcW w:w="1361" w:type="dxa"/>
            <w:tcBorders>
              <w:top w:val="nil"/>
              <w:left w:val="nil"/>
              <w:bottom w:val="nil"/>
              <w:right w:val="nil"/>
            </w:tcBorders>
            <w:shd w:val="clear" w:color="auto" w:fill="auto"/>
            <w:noWrap/>
            <w:vAlign w:val="bottom"/>
            <w:hideMark/>
          </w:tcPr>
          <w:p w14:paraId="7B2D3658" w14:textId="5DFFB4B0"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645.673</w:t>
            </w:r>
          </w:p>
        </w:tc>
        <w:tc>
          <w:tcPr>
            <w:tcW w:w="964" w:type="dxa"/>
            <w:tcBorders>
              <w:top w:val="nil"/>
              <w:left w:val="nil"/>
              <w:bottom w:val="nil"/>
              <w:right w:val="nil"/>
            </w:tcBorders>
            <w:shd w:val="clear" w:color="auto" w:fill="auto"/>
            <w:noWrap/>
            <w:vAlign w:val="bottom"/>
            <w:hideMark/>
          </w:tcPr>
          <w:p w14:paraId="108ABBBE" w14:textId="2FE7062B"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2,13%</w:t>
            </w:r>
          </w:p>
        </w:tc>
        <w:tc>
          <w:tcPr>
            <w:tcW w:w="964" w:type="dxa"/>
            <w:tcBorders>
              <w:top w:val="nil"/>
              <w:left w:val="nil"/>
              <w:bottom w:val="nil"/>
              <w:right w:val="single" w:sz="4" w:space="0" w:color="auto"/>
            </w:tcBorders>
            <w:shd w:val="clear" w:color="auto" w:fill="auto"/>
            <w:noWrap/>
            <w:vAlign w:val="bottom"/>
            <w:hideMark/>
          </w:tcPr>
          <w:p w14:paraId="35511F8C" w14:textId="72B5C550"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95%</w:t>
            </w:r>
          </w:p>
        </w:tc>
      </w:tr>
      <w:tr w:rsidR="00D2773A" w:rsidRPr="00DB02CE" w14:paraId="3DE9E3D9"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5B2AFA78" w14:textId="161C4F45"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2.3</w:t>
            </w:r>
          </w:p>
        </w:tc>
        <w:tc>
          <w:tcPr>
            <w:tcW w:w="3476" w:type="dxa"/>
            <w:tcBorders>
              <w:top w:val="nil"/>
              <w:left w:val="nil"/>
              <w:bottom w:val="nil"/>
              <w:right w:val="nil"/>
            </w:tcBorders>
            <w:shd w:val="clear" w:color="auto" w:fill="auto"/>
            <w:vAlign w:val="bottom"/>
            <w:hideMark/>
          </w:tcPr>
          <w:p w14:paraId="1AD7B00D" w14:textId="1BFCC5EF"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Rezerviranja za sanaciju odlagališta</w:t>
            </w:r>
          </w:p>
        </w:tc>
        <w:tc>
          <w:tcPr>
            <w:tcW w:w="1361" w:type="dxa"/>
            <w:tcBorders>
              <w:top w:val="nil"/>
              <w:left w:val="nil"/>
              <w:bottom w:val="nil"/>
              <w:right w:val="nil"/>
            </w:tcBorders>
            <w:shd w:val="clear" w:color="auto" w:fill="auto"/>
            <w:noWrap/>
            <w:vAlign w:val="bottom"/>
            <w:hideMark/>
          </w:tcPr>
          <w:p w14:paraId="5F89B01F" w14:textId="676B923D"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988.443</w:t>
            </w:r>
          </w:p>
        </w:tc>
        <w:tc>
          <w:tcPr>
            <w:tcW w:w="964" w:type="dxa"/>
            <w:tcBorders>
              <w:top w:val="nil"/>
              <w:left w:val="nil"/>
              <w:bottom w:val="nil"/>
              <w:right w:val="nil"/>
            </w:tcBorders>
            <w:shd w:val="clear" w:color="auto" w:fill="auto"/>
            <w:noWrap/>
            <w:vAlign w:val="bottom"/>
            <w:hideMark/>
          </w:tcPr>
          <w:p w14:paraId="40368774" w14:textId="47D1968D"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3,06%</w:t>
            </w:r>
          </w:p>
        </w:tc>
        <w:tc>
          <w:tcPr>
            <w:tcW w:w="1361" w:type="dxa"/>
            <w:tcBorders>
              <w:top w:val="nil"/>
              <w:left w:val="nil"/>
              <w:bottom w:val="nil"/>
              <w:right w:val="nil"/>
            </w:tcBorders>
            <w:shd w:val="clear" w:color="auto" w:fill="auto"/>
            <w:noWrap/>
            <w:vAlign w:val="bottom"/>
            <w:hideMark/>
          </w:tcPr>
          <w:p w14:paraId="06F74017" w14:textId="0C51FCD7"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1.037.866</w:t>
            </w:r>
          </w:p>
        </w:tc>
        <w:tc>
          <w:tcPr>
            <w:tcW w:w="964" w:type="dxa"/>
            <w:tcBorders>
              <w:top w:val="nil"/>
              <w:left w:val="nil"/>
              <w:bottom w:val="nil"/>
              <w:right w:val="nil"/>
            </w:tcBorders>
            <w:shd w:val="clear" w:color="auto" w:fill="auto"/>
            <w:noWrap/>
            <w:vAlign w:val="bottom"/>
            <w:hideMark/>
          </w:tcPr>
          <w:p w14:paraId="566268C1" w14:textId="5CB30172"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3,42%</w:t>
            </w:r>
          </w:p>
        </w:tc>
        <w:tc>
          <w:tcPr>
            <w:tcW w:w="964" w:type="dxa"/>
            <w:tcBorders>
              <w:top w:val="nil"/>
              <w:left w:val="nil"/>
              <w:bottom w:val="nil"/>
              <w:right w:val="single" w:sz="4" w:space="0" w:color="auto"/>
            </w:tcBorders>
            <w:shd w:val="clear" w:color="auto" w:fill="auto"/>
            <w:noWrap/>
            <w:vAlign w:val="bottom"/>
            <w:hideMark/>
          </w:tcPr>
          <w:p w14:paraId="18598903" w14:textId="18BE6880"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105%</w:t>
            </w:r>
          </w:p>
        </w:tc>
      </w:tr>
      <w:tr w:rsidR="00D2773A" w:rsidRPr="00DB02CE" w14:paraId="52393754"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50D6D8AB" w14:textId="14F607BA"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2.4</w:t>
            </w:r>
          </w:p>
        </w:tc>
        <w:tc>
          <w:tcPr>
            <w:tcW w:w="3476" w:type="dxa"/>
            <w:tcBorders>
              <w:top w:val="nil"/>
              <w:left w:val="nil"/>
              <w:bottom w:val="nil"/>
              <w:right w:val="nil"/>
            </w:tcBorders>
            <w:shd w:val="clear" w:color="auto" w:fill="auto"/>
            <w:vAlign w:val="bottom"/>
            <w:hideMark/>
          </w:tcPr>
          <w:p w14:paraId="5D42F3FB" w14:textId="446B37C9"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Druga rezerviranja</w:t>
            </w:r>
          </w:p>
        </w:tc>
        <w:tc>
          <w:tcPr>
            <w:tcW w:w="1361" w:type="dxa"/>
            <w:tcBorders>
              <w:top w:val="nil"/>
              <w:left w:val="nil"/>
              <w:bottom w:val="nil"/>
              <w:right w:val="nil"/>
            </w:tcBorders>
            <w:shd w:val="clear" w:color="auto" w:fill="auto"/>
            <w:noWrap/>
            <w:vAlign w:val="bottom"/>
            <w:hideMark/>
          </w:tcPr>
          <w:p w14:paraId="6C96D88B" w14:textId="49FBC76A" w:rsidR="00D2773A" w:rsidRPr="00D2773A" w:rsidRDefault="00D2773A" w:rsidP="00D2773A">
            <w:pPr>
              <w:spacing w:after="0" w:line="240" w:lineRule="auto"/>
              <w:jc w:val="center"/>
              <w:rPr>
                <w:rFonts w:eastAsia="Times New Roman" w:cstheme="minorHAnsi"/>
                <w:sz w:val="18"/>
                <w:szCs w:val="18"/>
                <w:lang w:eastAsia="hr-HR"/>
              </w:rPr>
            </w:pPr>
            <w:r w:rsidRPr="00D2773A">
              <w:rPr>
                <w:rFonts w:cstheme="minorHAnsi"/>
                <w:sz w:val="18"/>
                <w:szCs w:val="18"/>
              </w:rPr>
              <w:t>4.500</w:t>
            </w:r>
          </w:p>
        </w:tc>
        <w:tc>
          <w:tcPr>
            <w:tcW w:w="964" w:type="dxa"/>
            <w:tcBorders>
              <w:top w:val="nil"/>
              <w:left w:val="nil"/>
              <w:bottom w:val="nil"/>
              <w:right w:val="nil"/>
            </w:tcBorders>
            <w:shd w:val="clear" w:color="auto" w:fill="auto"/>
            <w:noWrap/>
            <w:vAlign w:val="bottom"/>
            <w:hideMark/>
          </w:tcPr>
          <w:p w14:paraId="71FE5011" w14:textId="29B39704"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0,01%</w:t>
            </w:r>
          </w:p>
        </w:tc>
        <w:tc>
          <w:tcPr>
            <w:tcW w:w="1361" w:type="dxa"/>
            <w:tcBorders>
              <w:top w:val="nil"/>
              <w:left w:val="nil"/>
              <w:bottom w:val="nil"/>
              <w:right w:val="nil"/>
            </w:tcBorders>
            <w:shd w:val="clear" w:color="auto" w:fill="auto"/>
            <w:noWrap/>
            <w:vAlign w:val="bottom"/>
            <w:hideMark/>
          </w:tcPr>
          <w:p w14:paraId="44529AE1" w14:textId="679E320D" w:rsidR="00D2773A" w:rsidRPr="00D2773A" w:rsidRDefault="00D2773A" w:rsidP="00D2773A">
            <w:pPr>
              <w:spacing w:after="0" w:line="240" w:lineRule="auto"/>
              <w:jc w:val="center"/>
              <w:rPr>
                <w:rFonts w:eastAsia="Times New Roman" w:cstheme="minorHAnsi"/>
                <w:sz w:val="18"/>
                <w:szCs w:val="18"/>
                <w:lang w:eastAsia="hr-HR"/>
              </w:rPr>
            </w:pPr>
            <w:r w:rsidRPr="00D2773A">
              <w:rPr>
                <w:rFonts w:cstheme="minorHAnsi"/>
                <w:sz w:val="18"/>
                <w:szCs w:val="18"/>
              </w:rPr>
              <w:t>0</w:t>
            </w:r>
          </w:p>
        </w:tc>
        <w:tc>
          <w:tcPr>
            <w:tcW w:w="964" w:type="dxa"/>
            <w:tcBorders>
              <w:top w:val="nil"/>
              <w:left w:val="nil"/>
              <w:bottom w:val="nil"/>
              <w:right w:val="nil"/>
            </w:tcBorders>
            <w:shd w:val="clear" w:color="auto" w:fill="auto"/>
            <w:noWrap/>
            <w:vAlign w:val="bottom"/>
            <w:hideMark/>
          </w:tcPr>
          <w:p w14:paraId="300C8993" w14:textId="18AA044D"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6C068C17" w14:textId="6E454E17"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0%</w:t>
            </w:r>
          </w:p>
        </w:tc>
      </w:tr>
      <w:tr w:rsidR="00D2773A" w:rsidRPr="00DB02CE" w14:paraId="69A63BF4"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780C7DC9" w14:textId="513F1528" w:rsidR="00D2773A" w:rsidRPr="00D2773A" w:rsidRDefault="00D2773A" w:rsidP="00D2773A">
            <w:pPr>
              <w:spacing w:after="0" w:line="240" w:lineRule="auto"/>
              <w:rPr>
                <w:rFonts w:eastAsia="Times New Roman" w:cstheme="minorHAnsi"/>
                <w:b/>
                <w:bCs/>
                <w:sz w:val="18"/>
                <w:szCs w:val="18"/>
                <w:lang w:eastAsia="hr-HR"/>
              </w:rPr>
            </w:pPr>
            <w:r w:rsidRPr="00D2773A">
              <w:rPr>
                <w:b/>
                <w:bCs/>
                <w:sz w:val="18"/>
                <w:szCs w:val="18"/>
              </w:rPr>
              <w:t>3.</w:t>
            </w:r>
          </w:p>
        </w:tc>
        <w:tc>
          <w:tcPr>
            <w:tcW w:w="3476" w:type="dxa"/>
            <w:tcBorders>
              <w:top w:val="nil"/>
              <w:left w:val="nil"/>
              <w:bottom w:val="nil"/>
              <w:right w:val="nil"/>
            </w:tcBorders>
            <w:shd w:val="clear" w:color="auto" w:fill="auto"/>
            <w:vAlign w:val="bottom"/>
            <w:hideMark/>
          </w:tcPr>
          <w:p w14:paraId="124273EB" w14:textId="458817E4" w:rsidR="00D2773A" w:rsidRPr="00D2773A" w:rsidRDefault="00D2773A" w:rsidP="00D2773A">
            <w:pPr>
              <w:spacing w:after="0" w:line="240" w:lineRule="auto"/>
              <w:rPr>
                <w:rFonts w:eastAsia="Times New Roman" w:cstheme="minorHAnsi"/>
                <w:b/>
                <w:bCs/>
                <w:sz w:val="18"/>
                <w:szCs w:val="18"/>
                <w:lang w:eastAsia="hr-HR"/>
              </w:rPr>
            </w:pPr>
            <w:r w:rsidRPr="00D2773A">
              <w:rPr>
                <w:rFonts w:ascii="Calibri" w:hAnsi="Calibri" w:cs="Calibri"/>
                <w:b/>
                <w:bCs/>
                <w:sz w:val="18"/>
                <w:szCs w:val="18"/>
              </w:rPr>
              <w:t>DUGOROČNE OBVEZE</w:t>
            </w:r>
          </w:p>
        </w:tc>
        <w:tc>
          <w:tcPr>
            <w:tcW w:w="1361" w:type="dxa"/>
            <w:tcBorders>
              <w:top w:val="nil"/>
              <w:left w:val="nil"/>
              <w:bottom w:val="nil"/>
              <w:right w:val="nil"/>
            </w:tcBorders>
            <w:shd w:val="clear" w:color="auto" w:fill="auto"/>
            <w:noWrap/>
            <w:vAlign w:val="bottom"/>
            <w:hideMark/>
          </w:tcPr>
          <w:p w14:paraId="1A65C76E" w14:textId="4D1A0065" w:rsidR="00D2773A" w:rsidRPr="00D2773A" w:rsidRDefault="00D2773A" w:rsidP="00D2773A">
            <w:pPr>
              <w:spacing w:after="0" w:line="240" w:lineRule="auto"/>
              <w:jc w:val="center"/>
              <w:rPr>
                <w:rFonts w:eastAsia="Times New Roman" w:cstheme="minorHAnsi"/>
                <w:b/>
                <w:bCs/>
                <w:sz w:val="18"/>
                <w:szCs w:val="18"/>
                <w:lang w:eastAsia="hr-HR"/>
              </w:rPr>
            </w:pPr>
            <w:r w:rsidRPr="00D2773A">
              <w:rPr>
                <w:rFonts w:cstheme="minorHAnsi"/>
                <w:b/>
                <w:bCs/>
                <w:sz w:val="18"/>
                <w:szCs w:val="18"/>
              </w:rPr>
              <w:t>2.781.811</w:t>
            </w:r>
          </w:p>
        </w:tc>
        <w:tc>
          <w:tcPr>
            <w:tcW w:w="964" w:type="dxa"/>
            <w:tcBorders>
              <w:top w:val="nil"/>
              <w:left w:val="nil"/>
              <w:bottom w:val="nil"/>
              <w:right w:val="nil"/>
            </w:tcBorders>
            <w:shd w:val="clear" w:color="auto" w:fill="auto"/>
            <w:noWrap/>
            <w:vAlign w:val="bottom"/>
            <w:hideMark/>
          </w:tcPr>
          <w:p w14:paraId="4DA07E42" w14:textId="57F83540"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8,62%</w:t>
            </w:r>
          </w:p>
        </w:tc>
        <w:tc>
          <w:tcPr>
            <w:tcW w:w="1361" w:type="dxa"/>
            <w:tcBorders>
              <w:top w:val="nil"/>
              <w:left w:val="nil"/>
              <w:bottom w:val="nil"/>
              <w:right w:val="nil"/>
            </w:tcBorders>
            <w:shd w:val="clear" w:color="auto" w:fill="auto"/>
            <w:noWrap/>
            <w:vAlign w:val="bottom"/>
            <w:hideMark/>
          </w:tcPr>
          <w:p w14:paraId="211885C4" w14:textId="2202F969" w:rsidR="00D2773A" w:rsidRPr="00D2773A" w:rsidRDefault="00D2773A" w:rsidP="00D2773A">
            <w:pPr>
              <w:spacing w:after="0" w:line="240" w:lineRule="auto"/>
              <w:jc w:val="center"/>
              <w:rPr>
                <w:rFonts w:eastAsia="Times New Roman" w:cstheme="minorHAnsi"/>
                <w:b/>
                <w:bCs/>
                <w:sz w:val="18"/>
                <w:szCs w:val="18"/>
                <w:lang w:eastAsia="hr-HR"/>
              </w:rPr>
            </w:pPr>
            <w:r w:rsidRPr="00D2773A">
              <w:rPr>
                <w:rFonts w:cstheme="minorHAnsi"/>
                <w:b/>
                <w:bCs/>
                <w:sz w:val="18"/>
                <w:szCs w:val="18"/>
              </w:rPr>
              <w:t>2.848.170</w:t>
            </w:r>
          </w:p>
        </w:tc>
        <w:tc>
          <w:tcPr>
            <w:tcW w:w="964" w:type="dxa"/>
            <w:tcBorders>
              <w:top w:val="nil"/>
              <w:left w:val="nil"/>
              <w:bottom w:val="nil"/>
              <w:right w:val="nil"/>
            </w:tcBorders>
            <w:shd w:val="clear" w:color="auto" w:fill="auto"/>
            <w:noWrap/>
            <w:vAlign w:val="bottom"/>
            <w:hideMark/>
          </w:tcPr>
          <w:p w14:paraId="44D0773C" w14:textId="5CA71C34"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9,37%</w:t>
            </w:r>
          </w:p>
        </w:tc>
        <w:tc>
          <w:tcPr>
            <w:tcW w:w="964" w:type="dxa"/>
            <w:tcBorders>
              <w:top w:val="nil"/>
              <w:left w:val="nil"/>
              <w:bottom w:val="nil"/>
              <w:right w:val="single" w:sz="4" w:space="0" w:color="auto"/>
            </w:tcBorders>
            <w:shd w:val="clear" w:color="auto" w:fill="auto"/>
            <w:noWrap/>
            <w:vAlign w:val="bottom"/>
            <w:hideMark/>
          </w:tcPr>
          <w:p w14:paraId="0C7B1A22" w14:textId="08F7B889"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102%</w:t>
            </w:r>
          </w:p>
        </w:tc>
      </w:tr>
      <w:tr w:rsidR="00D2773A" w:rsidRPr="00DB02CE" w14:paraId="6D6415CE"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2956E2EC" w14:textId="48B23927"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3.1</w:t>
            </w:r>
          </w:p>
        </w:tc>
        <w:tc>
          <w:tcPr>
            <w:tcW w:w="3476" w:type="dxa"/>
            <w:tcBorders>
              <w:top w:val="nil"/>
              <w:left w:val="nil"/>
              <w:bottom w:val="nil"/>
              <w:right w:val="nil"/>
            </w:tcBorders>
            <w:shd w:val="clear" w:color="auto" w:fill="auto"/>
            <w:vAlign w:val="bottom"/>
            <w:hideMark/>
          </w:tcPr>
          <w:p w14:paraId="054C4510" w14:textId="325CB5A0"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 xml:space="preserve"> Obveze za zajmove, depozite i slično</w:t>
            </w:r>
          </w:p>
        </w:tc>
        <w:tc>
          <w:tcPr>
            <w:tcW w:w="1361" w:type="dxa"/>
            <w:tcBorders>
              <w:top w:val="nil"/>
              <w:left w:val="nil"/>
              <w:bottom w:val="nil"/>
              <w:right w:val="nil"/>
            </w:tcBorders>
            <w:shd w:val="clear" w:color="auto" w:fill="auto"/>
            <w:noWrap/>
            <w:vAlign w:val="bottom"/>
            <w:hideMark/>
          </w:tcPr>
          <w:p w14:paraId="5A023BAC" w14:textId="199B7110"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2.745.926</w:t>
            </w:r>
          </w:p>
        </w:tc>
        <w:tc>
          <w:tcPr>
            <w:tcW w:w="964" w:type="dxa"/>
            <w:tcBorders>
              <w:top w:val="nil"/>
              <w:left w:val="nil"/>
              <w:bottom w:val="nil"/>
              <w:right w:val="nil"/>
            </w:tcBorders>
            <w:shd w:val="clear" w:color="auto" w:fill="auto"/>
            <w:noWrap/>
            <w:vAlign w:val="bottom"/>
            <w:hideMark/>
          </w:tcPr>
          <w:p w14:paraId="22B80C8E" w14:textId="5B04A812"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8,51%</w:t>
            </w:r>
          </w:p>
        </w:tc>
        <w:tc>
          <w:tcPr>
            <w:tcW w:w="1361" w:type="dxa"/>
            <w:tcBorders>
              <w:top w:val="nil"/>
              <w:left w:val="nil"/>
              <w:bottom w:val="nil"/>
              <w:right w:val="nil"/>
            </w:tcBorders>
            <w:shd w:val="clear" w:color="auto" w:fill="auto"/>
            <w:noWrap/>
            <w:vAlign w:val="bottom"/>
            <w:hideMark/>
          </w:tcPr>
          <w:p w14:paraId="09C6599D" w14:textId="7CFFA17E"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2.517.100</w:t>
            </w:r>
          </w:p>
        </w:tc>
        <w:tc>
          <w:tcPr>
            <w:tcW w:w="964" w:type="dxa"/>
            <w:tcBorders>
              <w:top w:val="nil"/>
              <w:left w:val="nil"/>
              <w:bottom w:val="nil"/>
              <w:right w:val="nil"/>
            </w:tcBorders>
            <w:shd w:val="clear" w:color="auto" w:fill="auto"/>
            <w:noWrap/>
            <w:vAlign w:val="bottom"/>
            <w:hideMark/>
          </w:tcPr>
          <w:p w14:paraId="19688E17" w14:textId="2F88A584"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8,29%</w:t>
            </w:r>
          </w:p>
        </w:tc>
        <w:tc>
          <w:tcPr>
            <w:tcW w:w="964" w:type="dxa"/>
            <w:tcBorders>
              <w:top w:val="nil"/>
              <w:left w:val="nil"/>
              <w:bottom w:val="nil"/>
              <w:right w:val="single" w:sz="4" w:space="0" w:color="auto"/>
            </w:tcBorders>
            <w:shd w:val="clear" w:color="auto" w:fill="auto"/>
            <w:noWrap/>
            <w:vAlign w:val="bottom"/>
            <w:hideMark/>
          </w:tcPr>
          <w:p w14:paraId="5B1FC8B8" w14:textId="1B069E71"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92%</w:t>
            </w:r>
          </w:p>
        </w:tc>
      </w:tr>
      <w:tr w:rsidR="00D2773A" w:rsidRPr="00DB02CE" w14:paraId="75CCA59A"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33A56D4F" w14:textId="66BA8439"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3.2</w:t>
            </w:r>
          </w:p>
        </w:tc>
        <w:tc>
          <w:tcPr>
            <w:tcW w:w="3476" w:type="dxa"/>
            <w:tcBorders>
              <w:top w:val="nil"/>
              <w:left w:val="nil"/>
              <w:bottom w:val="nil"/>
              <w:right w:val="nil"/>
            </w:tcBorders>
            <w:shd w:val="clear" w:color="auto" w:fill="auto"/>
            <w:vAlign w:val="bottom"/>
            <w:hideMark/>
          </w:tcPr>
          <w:p w14:paraId="6C5F31B5" w14:textId="76E232CE"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Obveze prema bankama i drugim financijskim inst.</w:t>
            </w:r>
          </w:p>
        </w:tc>
        <w:tc>
          <w:tcPr>
            <w:tcW w:w="1361" w:type="dxa"/>
            <w:tcBorders>
              <w:top w:val="nil"/>
              <w:left w:val="nil"/>
              <w:bottom w:val="nil"/>
              <w:right w:val="nil"/>
            </w:tcBorders>
            <w:shd w:val="clear" w:color="auto" w:fill="auto"/>
            <w:noWrap/>
            <w:vAlign w:val="bottom"/>
            <w:hideMark/>
          </w:tcPr>
          <w:p w14:paraId="1B02EDEF" w14:textId="5869ED79" w:rsidR="00D2773A" w:rsidRPr="00D2773A" w:rsidRDefault="00D2773A" w:rsidP="00D2773A">
            <w:pPr>
              <w:spacing w:after="0" w:line="240" w:lineRule="auto"/>
              <w:jc w:val="center"/>
              <w:rPr>
                <w:rFonts w:eastAsia="Times New Roman" w:cstheme="minorHAnsi"/>
                <w:sz w:val="18"/>
                <w:szCs w:val="18"/>
                <w:lang w:eastAsia="hr-HR"/>
              </w:rPr>
            </w:pPr>
            <w:r w:rsidRPr="00D2773A">
              <w:rPr>
                <w:rFonts w:cstheme="minorHAnsi"/>
                <w:sz w:val="18"/>
                <w:szCs w:val="18"/>
              </w:rPr>
              <w:t>35.885</w:t>
            </w:r>
          </w:p>
        </w:tc>
        <w:tc>
          <w:tcPr>
            <w:tcW w:w="964" w:type="dxa"/>
            <w:tcBorders>
              <w:top w:val="nil"/>
              <w:left w:val="nil"/>
              <w:bottom w:val="nil"/>
              <w:right w:val="nil"/>
            </w:tcBorders>
            <w:shd w:val="clear" w:color="auto" w:fill="auto"/>
            <w:noWrap/>
            <w:vAlign w:val="bottom"/>
            <w:hideMark/>
          </w:tcPr>
          <w:p w14:paraId="5A6EA2FE" w14:textId="00AA6999"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0,11%</w:t>
            </w:r>
          </w:p>
        </w:tc>
        <w:tc>
          <w:tcPr>
            <w:tcW w:w="1361" w:type="dxa"/>
            <w:tcBorders>
              <w:top w:val="nil"/>
              <w:left w:val="nil"/>
              <w:bottom w:val="nil"/>
              <w:right w:val="nil"/>
            </w:tcBorders>
            <w:shd w:val="clear" w:color="auto" w:fill="auto"/>
            <w:noWrap/>
            <w:vAlign w:val="bottom"/>
            <w:hideMark/>
          </w:tcPr>
          <w:p w14:paraId="616FDAD0" w14:textId="6A4CA0BF" w:rsidR="00D2773A" w:rsidRPr="00D2773A" w:rsidRDefault="00D2773A" w:rsidP="00D2773A">
            <w:pPr>
              <w:spacing w:after="0" w:line="240" w:lineRule="auto"/>
              <w:jc w:val="center"/>
              <w:rPr>
                <w:rFonts w:eastAsia="Times New Roman" w:cstheme="minorHAnsi"/>
                <w:sz w:val="18"/>
                <w:szCs w:val="18"/>
                <w:lang w:eastAsia="hr-HR"/>
              </w:rPr>
            </w:pPr>
            <w:r w:rsidRPr="00D2773A">
              <w:rPr>
                <w:rFonts w:cstheme="minorHAnsi"/>
                <w:sz w:val="18"/>
                <w:szCs w:val="18"/>
              </w:rPr>
              <w:t>331.070</w:t>
            </w:r>
          </w:p>
        </w:tc>
        <w:tc>
          <w:tcPr>
            <w:tcW w:w="964" w:type="dxa"/>
            <w:tcBorders>
              <w:top w:val="nil"/>
              <w:left w:val="nil"/>
              <w:bottom w:val="nil"/>
              <w:right w:val="nil"/>
            </w:tcBorders>
            <w:shd w:val="clear" w:color="auto" w:fill="auto"/>
            <w:noWrap/>
            <w:vAlign w:val="bottom"/>
            <w:hideMark/>
          </w:tcPr>
          <w:p w14:paraId="1B2A5706" w14:textId="0AA6995D"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1,09%</w:t>
            </w:r>
          </w:p>
        </w:tc>
        <w:tc>
          <w:tcPr>
            <w:tcW w:w="964" w:type="dxa"/>
            <w:tcBorders>
              <w:top w:val="nil"/>
              <w:left w:val="nil"/>
              <w:bottom w:val="nil"/>
              <w:right w:val="single" w:sz="4" w:space="0" w:color="auto"/>
            </w:tcBorders>
            <w:shd w:val="clear" w:color="auto" w:fill="auto"/>
            <w:noWrap/>
            <w:vAlign w:val="bottom"/>
            <w:hideMark/>
          </w:tcPr>
          <w:p w14:paraId="42594584" w14:textId="6B4EAD49"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923%</w:t>
            </w:r>
          </w:p>
        </w:tc>
      </w:tr>
      <w:tr w:rsidR="00D2773A" w:rsidRPr="00DB02CE" w14:paraId="3BC2B0B9"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46F9FE2E" w14:textId="7AA4167D" w:rsidR="00D2773A" w:rsidRPr="00D2773A" w:rsidRDefault="00D2773A" w:rsidP="00D2773A">
            <w:pPr>
              <w:spacing w:after="0" w:line="240" w:lineRule="auto"/>
              <w:rPr>
                <w:rFonts w:eastAsia="Times New Roman" w:cstheme="minorHAnsi"/>
                <w:b/>
                <w:bCs/>
                <w:sz w:val="18"/>
                <w:szCs w:val="18"/>
                <w:lang w:eastAsia="hr-HR"/>
              </w:rPr>
            </w:pPr>
            <w:r w:rsidRPr="00D2773A">
              <w:rPr>
                <w:b/>
                <w:bCs/>
                <w:sz w:val="18"/>
                <w:szCs w:val="18"/>
              </w:rPr>
              <w:t>4.</w:t>
            </w:r>
          </w:p>
        </w:tc>
        <w:tc>
          <w:tcPr>
            <w:tcW w:w="3476" w:type="dxa"/>
            <w:tcBorders>
              <w:top w:val="nil"/>
              <w:left w:val="nil"/>
              <w:bottom w:val="nil"/>
              <w:right w:val="nil"/>
            </w:tcBorders>
            <w:shd w:val="clear" w:color="auto" w:fill="auto"/>
            <w:vAlign w:val="bottom"/>
            <w:hideMark/>
          </w:tcPr>
          <w:p w14:paraId="7F9900A6" w14:textId="1ECA16C5" w:rsidR="00D2773A" w:rsidRPr="00D2773A" w:rsidRDefault="00D2773A" w:rsidP="00D2773A">
            <w:pPr>
              <w:spacing w:after="0" w:line="240" w:lineRule="auto"/>
              <w:rPr>
                <w:rFonts w:eastAsia="Times New Roman" w:cstheme="minorHAnsi"/>
                <w:b/>
                <w:bCs/>
                <w:color w:val="000000"/>
                <w:sz w:val="18"/>
                <w:szCs w:val="18"/>
                <w:lang w:eastAsia="hr-HR"/>
              </w:rPr>
            </w:pPr>
            <w:r w:rsidRPr="00D2773A">
              <w:rPr>
                <w:rFonts w:ascii="Calibri" w:hAnsi="Calibri" w:cs="Calibri"/>
                <w:b/>
                <w:bCs/>
                <w:sz w:val="18"/>
                <w:szCs w:val="18"/>
              </w:rPr>
              <w:t>KRATKOROČNE OBVEZE</w:t>
            </w:r>
          </w:p>
        </w:tc>
        <w:tc>
          <w:tcPr>
            <w:tcW w:w="1361" w:type="dxa"/>
            <w:tcBorders>
              <w:top w:val="nil"/>
              <w:left w:val="nil"/>
              <w:bottom w:val="nil"/>
              <w:right w:val="nil"/>
            </w:tcBorders>
            <w:shd w:val="clear" w:color="auto" w:fill="auto"/>
            <w:noWrap/>
            <w:vAlign w:val="bottom"/>
            <w:hideMark/>
          </w:tcPr>
          <w:p w14:paraId="2BBAED9F" w14:textId="6689F787" w:rsidR="00D2773A" w:rsidRPr="00D2773A" w:rsidRDefault="00D2773A" w:rsidP="00D2773A">
            <w:pPr>
              <w:spacing w:after="0" w:line="240" w:lineRule="auto"/>
              <w:jc w:val="center"/>
              <w:rPr>
                <w:rFonts w:eastAsia="Times New Roman" w:cstheme="minorHAnsi"/>
                <w:b/>
                <w:bCs/>
                <w:sz w:val="18"/>
                <w:szCs w:val="18"/>
                <w:lang w:eastAsia="hr-HR"/>
              </w:rPr>
            </w:pPr>
            <w:r w:rsidRPr="00D2773A">
              <w:rPr>
                <w:rFonts w:cstheme="minorHAnsi"/>
                <w:b/>
                <w:bCs/>
                <w:sz w:val="18"/>
                <w:szCs w:val="18"/>
              </w:rPr>
              <w:t>2.901.434</w:t>
            </w:r>
          </w:p>
        </w:tc>
        <w:tc>
          <w:tcPr>
            <w:tcW w:w="964" w:type="dxa"/>
            <w:tcBorders>
              <w:top w:val="nil"/>
              <w:left w:val="nil"/>
              <w:bottom w:val="nil"/>
              <w:right w:val="nil"/>
            </w:tcBorders>
            <w:shd w:val="clear" w:color="auto" w:fill="auto"/>
            <w:noWrap/>
            <w:vAlign w:val="bottom"/>
            <w:hideMark/>
          </w:tcPr>
          <w:p w14:paraId="3D3AB66B" w14:textId="06154010"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8,99%</w:t>
            </w:r>
          </w:p>
        </w:tc>
        <w:tc>
          <w:tcPr>
            <w:tcW w:w="1361" w:type="dxa"/>
            <w:tcBorders>
              <w:top w:val="nil"/>
              <w:left w:val="nil"/>
              <w:bottom w:val="nil"/>
              <w:right w:val="nil"/>
            </w:tcBorders>
            <w:shd w:val="clear" w:color="auto" w:fill="auto"/>
            <w:noWrap/>
            <w:vAlign w:val="bottom"/>
            <w:hideMark/>
          </w:tcPr>
          <w:p w14:paraId="1074EF8E" w14:textId="62AF6F45" w:rsidR="00D2773A" w:rsidRPr="00D2773A" w:rsidRDefault="00D2773A" w:rsidP="00D2773A">
            <w:pPr>
              <w:spacing w:after="0" w:line="240" w:lineRule="auto"/>
              <w:jc w:val="center"/>
              <w:rPr>
                <w:rFonts w:eastAsia="Times New Roman" w:cstheme="minorHAnsi"/>
                <w:b/>
                <w:bCs/>
                <w:sz w:val="18"/>
                <w:szCs w:val="18"/>
                <w:lang w:eastAsia="hr-HR"/>
              </w:rPr>
            </w:pPr>
            <w:r w:rsidRPr="00D2773A">
              <w:rPr>
                <w:rFonts w:cstheme="minorHAnsi"/>
                <w:b/>
                <w:bCs/>
                <w:sz w:val="18"/>
                <w:szCs w:val="18"/>
              </w:rPr>
              <w:t>3.130.636</w:t>
            </w:r>
          </w:p>
        </w:tc>
        <w:tc>
          <w:tcPr>
            <w:tcW w:w="964" w:type="dxa"/>
            <w:tcBorders>
              <w:top w:val="nil"/>
              <w:left w:val="nil"/>
              <w:bottom w:val="nil"/>
              <w:right w:val="nil"/>
            </w:tcBorders>
            <w:shd w:val="clear" w:color="auto" w:fill="auto"/>
            <w:noWrap/>
            <w:vAlign w:val="bottom"/>
            <w:hideMark/>
          </w:tcPr>
          <w:p w14:paraId="7116D567" w14:textId="397DBE23"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10,30%</w:t>
            </w:r>
          </w:p>
        </w:tc>
        <w:tc>
          <w:tcPr>
            <w:tcW w:w="964" w:type="dxa"/>
            <w:tcBorders>
              <w:top w:val="nil"/>
              <w:left w:val="nil"/>
              <w:bottom w:val="nil"/>
              <w:right w:val="single" w:sz="4" w:space="0" w:color="auto"/>
            </w:tcBorders>
            <w:shd w:val="clear" w:color="auto" w:fill="auto"/>
            <w:noWrap/>
            <w:vAlign w:val="bottom"/>
            <w:hideMark/>
          </w:tcPr>
          <w:p w14:paraId="1405C0D0" w14:textId="5BDA7888"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cstheme="minorHAnsi"/>
                <w:b/>
                <w:bCs/>
                <w:sz w:val="18"/>
                <w:szCs w:val="18"/>
              </w:rPr>
              <w:t>108%</w:t>
            </w:r>
          </w:p>
        </w:tc>
      </w:tr>
      <w:tr w:rsidR="00D2773A" w:rsidRPr="00DB02CE" w14:paraId="2FC1F1DF"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370275C9" w14:textId="030ADE99"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4.1</w:t>
            </w:r>
          </w:p>
        </w:tc>
        <w:tc>
          <w:tcPr>
            <w:tcW w:w="3476" w:type="dxa"/>
            <w:tcBorders>
              <w:top w:val="nil"/>
              <w:left w:val="nil"/>
              <w:bottom w:val="nil"/>
              <w:right w:val="nil"/>
            </w:tcBorders>
            <w:shd w:val="clear" w:color="auto" w:fill="auto"/>
            <w:vAlign w:val="bottom"/>
            <w:hideMark/>
          </w:tcPr>
          <w:p w14:paraId="746D6BEB" w14:textId="067C95E8"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color w:val="000000"/>
                <w:sz w:val="18"/>
                <w:szCs w:val="18"/>
              </w:rPr>
              <w:t xml:space="preserve">Obveze za zajmove, depozite i slično </w:t>
            </w:r>
          </w:p>
        </w:tc>
        <w:tc>
          <w:tcPr>
            <w:tcW w:w="1361" w:type="dxa"/>
            <w:tcBorders>
              <w:top w:val="nil"/>
              <w:left w:val="nil"/>
              <w:bottom w:val="nil"/>
              <w:right w:val="nil"/>
            </w:tcBorders>
            <w:shd w:val="clear" w:color="auto" w:fill="auto"/>
            <w:noWrap/>
            <w:vAlign w:val="bottom"/>
            <w:hideMark/>
          </w:tcPr>
          <w:p w14:paraId="24D216A6" w14:textId="585B0EEB"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228.827</w:t>
            </w:r>
          </w:p>
        </w:tc>
        <w:tc>
          <w:tcPr>
            <w:tcW w:w="964" w:type="dxa"/>
            <w:tcBorders>
              <w:top w:val="nil"/>
              <w:left w:val="nil"/>
              <w:bottom w:val="nil"/>
              <w:right w:val="nil"/>
            </w:tcBorders>
            <w:shd w:val="clear" w:color="auto" w:fill="auto"/>
            <w:noWrap/>
            <w:vAlign w:val="bottom"/>
            <w:hideMark/>
          </w:tcPr>
          <w:p w14:paraId="2ABBB6F2" w14:textId="28161D9A"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0,71%</w:t>
            </w:r>
          </w:p>
        </w:tc>
        <w:tc>
          <w:tcPr>
            <w:tcW w:w="1361" w:type="dxa"/>
            <w:tcBorders>
              <w:top w:val="nil"/>
              <w:left w:val="nil"/>
              <w:bottom w:val="nil"/>
              <w:right w:val="nil"/>
            </w:tcBorders>
            <w:shd w:val="clear" w:color="auto" w:fill="auto"/>
            <w:noWrap/>
            <w:vAlign w:val="bottom"/>
            <w:hideMark/>
          </w:tcPr>
          <w:p w14:paraId="7E66372E" w14:textId="3A93A10E"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228.827</w:t>
            </w:r>
          </w:p>
        </w:tc>
        <w:tc>
          <w:tcPr>
            <w:tcW w:w="964" w:type="dxa"/>
            <w:tcBorders>
              <w:top w:val="nil"/>
              <w:left w:val="nil"/>
              <w:bottom w:val="nil"/>
              <w:right w:val="nil"/>
            </w:tcBorders>
            <w:shd w:val="clear" w:color="auto" w:fill="auto"/>
            <w:noWrap/>
            <w:vAlign w:val="bottom"/>
            <w:hideMark/>
          </w:tcPr>
          <w:p w14:paraId="325FD4AD" w14:textId="43B518BC"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0,75%</w:t>
            </w:r>
          </w:p>
        </w:tc>
        <w:tc>
          <w:tcPr>
            <w:tcW w:w="964" w:type="dxa"/>
            <w:tcBorders>
              <w:top w:val="nil"/>
              <w:left w:val="nil"/>
              <w:bottom w:val="nil"/>
              <w:right w:val="single" w:sz="4" w:space="0" w:color="auto"/>
            </w:tcBorders>
            <w:shd w:val="clear" w:color="auto" w:fill="auto"/>
            <w:noWrap/>
            <w:vAlign w:val="bottom"/>
            <w:hideMark/>
          </w:tcPr>
          <w:p w14:paraId="216EB928" w14:textId="51DC6C5F"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100%</w:t>
            </w:r>
          </w:p>
        </w:tc>
      </w:tr>
      <w:tr w:rsidR="00D2773A" w:rsidRPr="00DB02CE" w14:paraId="5A7D5AC2"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3E68D6A6" w14:textId="4D1B3333"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4.2</w:t>
            </w:r>
          </w:p>
        </w:tc>
        <w:tc>
          <w:tcPr>
            <w:tcW w:w="3476" w:type="dxa"/>
            <w:tcBorders>
              <w:top w:val="nil"/>
              <w:left w:val="nil"/>
              <w:bottom w:val="nil"/>
              <w:right w:val="nil"/>
            </w:tcBorders>
            <w:shd w:val="clear" w:color="auto" w:fill="auto"/>
            <w:vAlign w:val="bottom"/>
            <w:hideMark/>
          </w:tcPr>
          <w:p w14:paraId="56FF6197" w14:textId="420411BF"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Obveze prema bankama i drugim financijskim inst.</w:t>
            </w:r>
          </w:p>
        </w:tc>
        <w:tc>
          <w:tcPr>
            <w:tcW w:w="1361" w:type="dxa"/>
            <w:tcBorders>
              <w:top w:val="nil"/>
              <w:left w:val="nil"/>
              <w:bottom w:val="nil"/>
              <w:right w:val="nil"/>
            </w:tcBorders>
            <w:shd w:val="clear" w:color="auto" w:fill="auto"/>
            <w:noWrap/>
            <w:vAlign w:val="bottom"/>
            <w:hideMark/>
          </w:tcPr>
          <w:p w14:paraId="1E4FBC0B" w14:textId="107207D1"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1.057.933</w:t>
            </w:r>
          </w:p>
        </w:tc>
        <w:tc>
          <w:tcPr>
            <w:tcW w:w="964" w:type="dxa"/>
            <w:tcBorders>
              <w:top w:val="nil"/>
              <w:left w:val="nil"/>
              <w:bottom w:val="nil"/>
              <w:right w:val="nil"/>
            </w:tcBorders>
            <w:shd w:val="clear" w:color="auto" w:fill="auto"/>
            <w:noWrap/>
            <w:vAlign w:val="bottom"/>
            <w:hideMark/>
          </w:tcPr>
          <w:p w14:paraId="73EDB1D5" w14:textId="55E94150"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3,28%</w:t>
            </w:r>
          </w:p>
        </w:tc>
        <w:tc>
          <w:tcPr>
            <w:tcW w:w="1361" w:type="dxa"/>
            <w:tcBorders>
              <w:top w:val="nil"/>
              <w:left w:val="nil"/>
              <w:bottom w:val="nil"/>
              <w:right w:val="nil"/>
            </w:tcBorders>
            <w:shd w:val="clear" w:color="auto" w:fill="auto"/>
            <w:noWrap/>
            <w:vAlign w:val="bottom"/>
            <w:hideMark/>
          </w:tcPr>
          <w:p w14:paraId="00CC2F4B" w14:textId="4A6DC9D0"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1.232.596</w:t>
            </w:r>
          </w:p>
        </w:tc>
        <w:tc>
          <w:tcPr>
            <w:tcW w:w="964" w:type="dxa"/>
            <w:tcBorders>
              <w:top w:val="nil"/>
              <w:left w:val="nil"/>
              <w:bottom w:val="nil"/>
              <w:right w:val="nil"/>
            </w:tcBorders>
            <w:shd w:val="clear" w:color="auto" w:fill="auto"/>
            <w:noWrap/>
            <w:vAlign w:val="bottom"/>
            <w:hideMark/>
          </w:tcPr>
          <w:p w14:paraId="343F0DEA" w14:textId="78BD5416"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4,06%</w:t>
            </w:r>
          </w:p>
        </w:tc>
        <w:tc>
          <w:tcPr>
            <w:tcW w:w="964" w:type="dxa"/>
            <w:tcBorders>
              <w:top w:val="nil"/>
              <w:left w:val="nil"/>
              <w:bottom w:val="nil"/>
              <w:right w:val="single" w:sz="4" w:space="0" w:color="auto"/>
            </w:tcBorders>
            <w:shd w:val="clear" w:color="auto" w:fill="auto"/>
            <w:noWrap/>
            <w:vAlign w:val="bottom"/>
            <w:hideMark/>
          </w:tcPr>
          <w:p w14:paraId="7205904A" w14:textId="1840FEF4"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117%</w:t>
            </w:r>
          </w:p>
        </w:tc>
      </w:tr>
      <w:tr w:rsidR="00D2773A" w:rsidRPr="00DB02CE" w14:paraId="129CAE0E"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160FAE0E" w14:textId="29456D2F"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4.3</w:t>
            </w:r>
          </w:p>
        </w:tc>
        <w:tc>
          <w:tcPr>
            <w:tcW w:w="3476" w:type="dxa"/>
            <w:tcBorders>
              <w:top w:val="nil"/>
              <w:left w:val="nil"/>
              <w:bottom w:val="nil"/>
              <w:right w:val="nil"/>
            </w:tcBorders>
            <w:shd w:val="clear" w:color="auto" w:fill="auto"/>
            <w:vAlign w:val="bottom"/>
            <w:hideMark/>
          </w:tcPr>
          <w:p w14:paraId="7294FFF0" w14:textId="25735566"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Obveze za predujmove</w:t>
            </w:r>
          </w:p>
        </w:tc>
        <w:tc>
          <w:tcPr>
            <w:tcW w:w="1361" w:type="dxa"/>
            <w:tcBorders>
              <w:top w:val="nil"/>
              <w:left w:val="nil"/>
              <w:bottom w:val="nil"/>
              <w:right w:val="nil"/>
            </w:tcBorders>
            <w:shd w:val="clear" w:color="auto" w:fill="auto"/>
            <w:noWrap/>
            <w:vAlign w:val="bottom"/>
            <w:hideMark/>
          </w:tcPr>
          <w:p w14:paraId="592B8482" w14:textId="545495CD"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0</w:t>
            </w:r>
          </w:p>
        </w:tc>
        <w:tc>
          <w:tcPr>
            <w:tcW w:w="964" w:type="dxa"/>
            <w:tcBorders>
              <w:top w:val="nil"/>
              <w:left w:val="nil"/>
              <w:bottom w:val="nil"/>
              <w:right w:val="nil"/>
            </w:tcBorders>
            <w:shd w:val="clear" w:color="auto" w:fill="auto"/>
            <w:noWrap/>
            <w:vAlign w:val="bottom"/>
            <w:hideMark/>
          </w:tcPr>
          <w:p w14:paraId="758765D6" w14:textId="48E2891E"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1361" w:type="dxa"/>
            <w:tcBorders>
              <w:top w:val="nil"/>
              <w:left w:val="nil"/>
              <w:bottom w:val="nil"/>
              <w:right w:val="nil"/>
            </w:tcBorders>
            <w:shd w:val="clear" w:color="auto" w:fill="auto"/>
            <w:noWrap/>
            <w:vAlign w:val="bottom"/>
            <w:hideMark/>
          </w:tcPr>
          <w:p w14:paraId="665AB12F" w14:textId="35B31AF7" w:rsidR="00D2773A" w:rsidRPr="00EA5CC3" w:rsidRDefault="00D2773A" w:rsidP="00D2773A">
            <w:pPr>
              <w:spacing w:after="0" w:line="240" w:lineRule="auto"/>
              <w:jc w:val="center"/>
              <w:rPr>
                <w:rFonts w:eastAsia="Times New Roman" w:cstheme="minorHAnsi"/>
                <w:sz w:val="18"/>
                <w:szCs w:val="18"/>
                <w:lang w:eastAsia="hr-HR"/>
              </w:rPr>
            </w:pPr>
          </w:p>
        </w:tc>
        <w:tc>
          <w:tcPr>
            <w:tcW w:w="964" w:type="dxa"/>
            <w:tcBorders>
              <w:top w:val="nil"/>
              <w:left w:val="nil"/>
              <w:bottom w:val="nil"/>
              <w:right w:val="nil"/>
            </w:tcBorders>
            <w:shd w:val="clear" w:color="auto" w:fill="auto"/>
            <w:noWrap/>
            <w:vAlign w:val="bottom"/>
            <w:hideMark/>
          </w:tcPr>
          <w:p w14:paraId="404C4E63" w14:textId="2D412151"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0,00%</w:t>
            </w:r>
          </w:p>
        </w:tc>
        <w:tc>
          <w:tcPr>
            <w:tcW w:w="964" w:type="dxa"/>
            <w:tcBorders>
              <w:top w:val="nil"/>
              <w:left w:val="nil"/>
              <w:bottom w:val="nil"/>
              <w:right w:val="single" w:sz="4" w:space="0" w:color="auto"/>
            </w:tcBorders>
            <w:shd w:val="clear" w:color="auto" w:fill="auto"/>
            <w:noWrap/>
            <w:vAlign w:val="bottom"/>
            <w:hideMark/>
          </w:tcPr>
          <w:p w14:paraId="4A67FE89" w14:textId="36A7E0CA" w:rsidR="00D2773A" w:rsidRPr="00EA5CC3" w:rsidRDefault="00D2773A" w:rsidP="00D2773A">
            <w:pPr>
              <w:spacing w:after="0" w:line="240" w:lineRule="auto"/>
              <w:jc w:val="center"/>
              <w:rPr>
                <w:rFonts w:eastAsia="Times New Roman" w:cstheme="minorHAnsi"/>
                <w:color w:val="000000"/>
                <w:sz w:val="18"/>
                <w:szCs w:val="18"/>
                <w:lang w:eastAsia="hr-HR"/>
              </w:rPr>
            </w:pPr>
          </w:p>
        </w:tc>
      </w:tr>
      <w:tr w:rsidR="00D2773A" w:rsidRPr="00DB02CE" w14:paraId="286FE006"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1FCE1239" w14:textId="5D54F8AF"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4.4</w:t>
            </w:r>
          </w:p>
        </w:tc>
        <w:tc>
          <w:tcPr>
            <w:tcW w:w="3476" w:type="dxa"/>
            <w:tcBorders>
              <w:top w:val="nil"/>
              <w:left w:val="nil"/>
              <w:bottom w:val="nil"/>
              <w:right w:val="nil"/>
            </w:tcBorders>
            <w:shd w:val="clear" w:color="auto" w:fill="auto"/>
            <w:vAlign w:val="bottom"/>
            <w:hideMark/>
          </w:tcPr>
          <w:p w14:paraId="3F9DE4F5" w14:textId="18ED8370"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Obveze prema dobavljačima</w:t>
            </w:r>
          </w:p>
        </w:tc>
        <w:tc>
          <w:tcPr>
            <w:tcW w:w="1361" w:type="dxa"/>
            <w:tcBorders>
              <w:top w:val="nil"/>
              <w:left w:val="nil"/>
              <w:bottom w:val="nil"/>
              <w:right w:val="nil"/>
            </w:tcBorders>
            <w:shd w:val="clear" w:color="auto" w:fill="auto"/>
            <w:noWrap/>
            <w:vAlign w:val="bottom"/>
            <w:hideMark/>
          </w:tcPr>
          <w:p w14:paraId="27655316" w14:textId="5AB39D70"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1.261.270</w:t>
            </w:r>
          </w:p>
        </w:tc>
        <w:tc>
          <w:tcPr>
            <w:tcW w:w="964" w:type="dxa"/>
            <w:tcBorders>
              <w:top w:val="nil"/>
              <w:left w:val="nil"/>
              <w:bottom w:val="nil"/>
              <w:right w:val="nil"/>
            </w:tcBorders>
            <w:shd w:val="clear" w:color="auto" w:fill="auto"/>
            <w:noWrap/>
            <w:vAlign w:val="bottom"/>
            <w:hideMark/>
          </w:tcPr>
          <w:p w14:paraId="753142CA" w14:textId="520AF2C1"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3,91%</w:t>
            </w:r>
          </w:p>
        </w:tc>
        <w:tc>
          <w:tcPr>
            <w:tcW w:w="1361" w:type="dxa"/>
            <w:tcBorders>
              <w:top w:val="nil"/>
              <w:left w:val="nil"/>
              <w:bottom w:val="nil"/>
              <w:right w:val="nil"/>
            </w:tcBorders>
            <w:shd w:val="clear" w:color="auto" w:fill="auto"/>
            <w:noWrap/>
            <w:vAlign w:val="bottom"/>
            <w:hideMark/>
          </w:tcPr>
          <w:p w14:paraId="7DDC2A61" w14:textId="3B56845F"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1.303.458</w:t>
            </w:r>
          </w:p>
        </w:tc>
        <w:tc>
          <w:tcPr>
            <w:tcW w:w="964" w:type="dxa"/>
            <w:tcBorders>
              <w:top w:val="nil"/>
              <w:left w:val="nil"/>
              <w:bottom w:val="nil"/>
              <w:right w:val="nil"/>
            </w:tcBorders>
            <w:shd w:val="clear" w:color="auto" w:fill="auto"/>
            <w:noWrap/>
            <w:vAlign w:val="bottom"/>
            <w:hideMark/>
          </w:tcPr>
          <w:p w14:paraId="0252B3C4" w14:textId="6B1B55ED"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4,29%</w:t>
            </w:r>
          </w:p>
        </w:tc>
        <w:tc>
          <w:tcPr>
            <w:tcW w:w="964" w:type="dxa"/>
            <w:tcBorders>
              <w:top w:val="nil"/>
              <w:left w:val="nil"/>
              <w:bottom w:val="nil"/>
              <w:right w:val="single" w:sz="4" w:space="0" w:color="auto"/>
            </w:tcBorders>
            <w:shd w:val="clear" w:color="auto" w:fill="auto"/>
            <w:noWrap/>
            <w:vAlign w:val="bottom"/>
            <w:hideMark/>
          </w:tcPr>
          <w:p w14:paraId="39C728AA" w14:textId="5E45522D"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103%</w:t>
            </w:r>
          </w:p>
        </w:tc>
      </w:tr>
      <w:tr w:rsidR="00D2773A" w:rsidRPr="00DB02CE" w14:paraId="4B54FBD9"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66F1FDA0" w14:textId="52117A9B"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4.5</w:t>
            </w:r>
          </w:p>
        </w:tc>
        <w:tc>
          <w:tcPr>
            <w:tcW w:w="3476" w:type="dxa"/>
            <w:tcBorders>
              <w:top w:val="nil"/>
              <w:left w:val="nil"/>
              <w:bottom w:val="nil"/>
              <w:right w:val="nil"/>
            </w:tcBorders>
            <w:shd w:val="clear" w:color="auto" w:fill="auto"/>
            <w:vAlign w:val="bottom"/>
            <w:hideMark/>
          </w:tcPr>
          <w:p w14:paraId="6C9BCCD9" w14:textId="7E080811"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Obveze prema zaposlenicima</w:t>
            </w:r>
          </w:p>
        </w:tc>
        <w:tc>
          <w:tcPr>
            <w:tcW w:w="1361" w:type="dxa"/>
            <w:tcBorders>
              <w:top w:val="nil"/>
              <w:left w:val="nil"/>
              <w:bottom w:val="nil"/>
              <w:right w:val="nil"/>
            </w:tcBorders>
            <w:shd w:val="clear" w:color="auto" w:fill="auto"/>
            <w:noWrap/>
            <w:vAlign w:val="bottom"/>
            <w:hideMark/>
          </w:tcPr>
          <w:p w14:paraId="300E85FD" w14:textId="3CE71883"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93.300</w:t>
            </w:r>
          </w:p>
        </w:tc>
        <w:tc>
          <w:tcPr>
            <w:tcW w:w="964" w:type="dxa"/>
            <w:tcBorders>
              <w:top w:val="nil"/>
              <w:left w:val="nil"/>
              <w:bottom w:val="nil"/>
              <w:right w:val="nil"/>
            </w:tcBorders>
            <w:shd w:val="clear" w:color="auto" w:fill="auto"/>
            <w:noWrap/>
            <w:vAlign w:val="bottom"/>
            <w:hideMark/>
          </w:tcPr>
          <w:p w14:paraId="3836F6C7" w14:textId="1BF74FEC"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0,29%</w:t>
            </w:r>
          </w:p>
        </w:tc>
        <w:tc>
          <w:tcPr>
            <w:tcW w:w="1361" w:type="dxa"/>
            <w:tcBorders>
              <w:top w:val="nil"/>
              <w:left w:val="nil"/>
              <w:bottom w:val="nil"/>
              <w:right w:val="nil"/>
            </w:tcBorders>
            <w:shd w:val="clear" w:color="auto" w:fill="auto"/>
            <w:noWrap/>
            <w:vAlign w:val="bottom"/>
            <w:hideMark/>
          </w:tcPr>
          <w:p w14:paraId="2FA60F27" w14:textId="1D5411F8"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107.870</w:t>
            </w:r>
          </w:p>
        </w:tc>
        <w:tc>
          <w:tcPr>
            <w:tcW w:w="964" w:type="dxa"/>
            <w:tcBorders>
              <w:top w:val="nil"/>
              <w:left w:val="nil"/>
              <w:bottom w:val="nil"/>
              <w:right w:val="nil"/>
            </w:tcBorders>
            <w:shd w:val="clear" w:color="auto" w:fill="auto"/>
            <w:noWrap/>
            <w:vAlign w:val="bottom"/>
            <w:hideMark/>
          </w:tcPr>
          <w:p w14:paraId="10A0235D" w14:textId="29A21474"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0,36%</w:t>
            </w:r>
          </w:p>
        </w:tc>
        <w:tc>
          <w:tcPr>
            <w:tcW w:w="964" w:type="dxa"/>
            <w:tcBorders>
              <w:top w:val="nil"/>
              <w:left w:val="nil"/>
              <w:bottom w:val="nil"/>
              <w:right w:val="single" w:sz="4" w:space="0" w:color="auto"/>
            </w:tcBorders>
            <w:shd w:val="clear" w:color="auto" w:fill="auto"/>
            <w:noWrap/>
            <w:vAlign w:val="bottom"/>
            <w:hideMark/>
          </w:tcPr>
          <w:p w14:paraId="6A79523E" w14:textId="35A820DC"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116%</w:t>
            </w:r>
          </w:p>
        </w:tc>
      </w:tr>
      <w:tr w:rsidR="00D2773A" w:rsidRPr="00DB02CE" w14:paraId="3A39CF84" w14:textId="77777777" w:rsidTr="00D2773A">
        <w:trPr>
          <w:trHeight w:val="284"/>
        </w:trPr>
        <w:tc>
          <w:tcPr>
            <w:tcW w:w="622" w:type="dxa"/>
            <w:tcBorders>
              <w:top w:val="nil"/>
              <w:left w:val="single" w:sz="4" w:space="0" w:color="auto"/>
              <w:bottom w:val="nil"/>
              <w:right w:val="nil"/>
            </w:tcBorders>
            <w:shd w:val="clear" w:color="auto" w:fill="auto"/>
            <w:noWrap/>
            <w:vAlign w:val="bottom"/>
            <w:hideMark/>
          </w:tcPr>
          <w:p w14:paraId="164EA02E" w14:textId="32436B32" w:rsidR="00D2773A" w:rsidRPr="00D2773A" w:rsidRDefault="00D2773A" w:rsidP="00D2773A">
            <w:pPr>
              <w:spacing w:after="0" w:line="240" w:lineRule="auto"/>
              <w:rPr>
                <w:rFonts w:eastAsia="Times New Roman" w:cstheme="minorHAnsi"/>
                <w:sz w:val="18"/>
                <w:szCs w:val="18"/>
                <w:lang w:eastAsia="hr-HR"/>
              </w:rPr>
            </w:pPr>
            <w:r w:rsidRPr="00D2773A">
              <w:rPr>
                <w:sz w:val="18"/>
                <w:szCs w:val="18"/>
              </w:rPr>
              <w:t>4.6</w:t>
            </w:r>
          </w:p>
        </w:tc>
        <w:tc>
          <w:tcPr>
            <w:tcW w:w="3476" w:type="dxa"/>
            <w:tcBorders>
              <w:top w:val="nil"/>
              <w:left w:val="nil"/>
              <w:bottom w:val="nil"/>
              <w:right w:val="nil"/>
            </w:tcBorders>
            <w:shd w:val="clear" w:color="auto" w:fill="auto"/>
            <w:vAlign w:val="bottom"/>
            <w:hideMark/>
          </w:tcPr>
          <w:p w14:paraId="6163D136" w14:textId="157824C0" w:rsidR="00D2773A" w:rsidRPr="00D2773A" w:rsidRDefault="00D2773A" w:rsidP="00D2773A">
            <w:pPr>
              <w:spacing w:after="0" w:line="240" w:lineRule="auto"/>
              <w:rPr>
                <w:rFonts w:eastAsia="Times New Roman" w:cstheme="minorHAnsi"/>
                <w:sz w:val="18"/>
                <w:szCs w:val="18"/>
                <w:lang w:eastAsia="hr-HR"/>
              </w:rPr>
            </w:pPr>
            <w:r w:rsidRPr="00D2773A">
              <w:rPr>
                <w:rFonts w:ascii="Calibri" w:hAnsi="Calibri" w:cs="Calibri"/>
                <w:sz w:val="18"/>
                <w:szCs w:val="18"/>
              </w:rPr>
              <w:t>Obveze za poreze, doprinose i slična davanja</w:t>
            </w:r>
          </w:p>
        </w:tc>
        <w:tc>
          <w:tcPr>
            <w:tcW w:w="1361" w:type="dxa"/>
            <w:tcBorders>
              <w:top w:val="nil"/>
              <w:left w:val="nil"/>
              <w:bottom w:val="nil"/>
              <w:right w:val="nil"/>
            </w:tcBorders>
            <w:shd w:val="clear" w:color="auto" w:fill="auto"/>
            <w:noWrap/>
            <w:vAlign w:val="bottom"/>
            <w:hideMark/>
          </w:tcPr>
          <w:p w14:paraId="4D5DEFEA" w14:textId="654B7BFB"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195.226</w:t>
            </w:r>
          </w:p>
        </w:tc>
        <w:tc>
          <w:tcPr>
            <w:tcW w:w="964" w:type="dxa"/>
            <w:tcBorders>
              <w:top w:val="nil"/>
              <w:left w:val="nil"/>
              <w:bottom w:val="nil"/>
              <w:right w:val="nil"/>
            </w:tcBorders>
            <w:shd w:val="clear" w:color="auto" w:fill="auto"/>
            <w:noWrap/>
            <w:vAlign w:val="bottom"/>
            <w:hideMark/>
          </w:tcPr>
          <w:p w14:paraId="27C9C20B" w14:textId="02BD733C"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0,61%</w:t>
            </w:r>
          </w:p>
        </w:tc>
        <w:tc>
          <w:tcPr>
            <w:tcW w:w="1361" w:type="dxa"/>
            <w:tcBorders>
              <w:top w:val="nil"/>
              <w:left w:val="nil"/>
              <w:bottom w:val="nil"/>
              <w:right w:val="nil"/>
            </w:tcBorders>
            <w:shd w:val="clear" w:color="auto" w:fill="auto"/>
            <w:noWrap/>
            <w:vAlign w:val="bottom"/>
            <w:hideMark/>
          </w:tcPr>
          <w:p w14:paraId="0225F844" w14:textId="7921C6EA" w:rsidR="00D2773A" w:rsidRPr="00EA5CC3" w:rsidRDefault="00D2773A" w:rsidP="00D2773A">
            <w:pPr>
              <w:spacing w:after="0" w:line="240" w:lineRule="auto"/>
              <w:jc w:val="center"/>
              <w:rPr>
                <w:rFonts w:eastAsia="Times New Roman" w:cstheme="minorHAnsi"/>
                <w:sz w:val="18"/>
                <w:szCs w:val="18"/>
                <w:lang w:eastAsia="hr-HR"/>
              </w:rPr>
            </w:pPr>
            <w:r w:rsidRPr="00EA5CC3">
              <w:rPr>
                <w:rFonts w:cstheme="minorHAnsi"/>
                <w:sz w:val="18"/>
                <w:szCs w:val="18"/>
              </w:rPr>
              <w:t>146.626</w:t>
            </w:r>
          </w:p>
        </w:tc>
        <w:tc>
          <w:tcPr>
            <w:tcW w:w="964" w:type="dxa"/>
            <w:tcBorders>
              <w:top w:val="nil"/>
              <w:left w:val="nil"/>
              <w:bottom w:val="nil"/>
              <w:right w:val="nil"/>
            </w:tcBorders>
            <w:shd w:val="clear" w:color="auto" w:fill="auto"/>
            <w:noWrap/>
            <w:vAlign w:val="bottom"/>
            <w:hideMark/>
          </w:tcPr>
          <w:p w14:paraId="05B1FB22" w14:textId="62D7AB88"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0,48%</w:t>
            </w:r>
          </w:p>
        </w:tc>
        <w:tc>
          <w:tcPr>
            <w:tcW w:w="964" w:type="dxa"/>
            <w:tcBorders>
              <w:top w:val="nil"/>
              <w:left w:val="nil"/>
              <w:bottom w:val="nil"/>
              <w:right w:val="single" w:sz="4" w:space="0" w:color="auto"/>
            </w:tcBorders>
            <w:shd w:val="clear" w:color="auto" w:fill="auto"/>
            <w:noWrap/>
            <w:vAlign w:val="bottom"/>
            <w:hideMark/>
          </w:tcPr>
          <w:p w14:paraId="17FC0433" w14:textId="51F16CDB" w:rsidR="00D2773A" w:rsidRPr="00EA5CC3" w:rsidRDefault="00D2773A" w:rsidP="00D2773A">
            <w:pPr>
              <w:spacing w:after="0" w:line="240" w:lineRule="auto"/>
              <w:jc w:val="center"/>
              <w:rPr>
                <w:rFonts w:eastAsia="Times New Roman" w:cstheme="minorHAnsi"/>
                <w:color w:val="000000"/>
                <w:sz w:val="18"/>
                <w:szCs w:val="18"/>
                <w:lang w:eastAsia="hr-HR"/>
              </w:rPr>
            </w:pPr>
            <w:r w:rsidRPr="00EA5CC3">
              <w:rPr>
                <w:rFonts w:cstheme="minorHAnsi"/>
                <w:sz w:val="18"/>
                <w:szCs w:val="18"/>
              </w:rPr>
              <w:t>75%</w:t>
            </w:r>
          </w:p>
        </w:tc>
      </w:tr>
      <w:tr w:rsidR="00D2773A" w:rsidRPr="00DB02CE" w14:paraId="5BFE7C41" w14:textId="77777777" w:rsidTr="00D2773A">
        <w:trPr>
          <w:trHeight w:val="283"/>
        </w:trPr>
        <w:tc>
          <w:tcPr>
            <w:tcW w:w="622" w:type="dxa"/>
            <w:tcBorders>
              <w:top w:val="nil"/>
              <w:left w:val="single" w:sz="4" w:space="0" w:color="auto"/>
              <w:bottom w:val="nil"/>
              <w:right w:val="nil"/>
            </w:tcBorders>
            <w:shd w:val="clear" w:color="auto" w:fill="auto"/>
            <w:noWrap/>
            <w:vAlign w:val="bottom"/>
            <w:hideMark/>
          </w:tcPr>
          <w:p w14:paraId="56DAD1FB" w14:textId="0988A65D" w:rsidR="00D2773A" w:rsidRPr="00D2773A" w:rsidRDefault="00D2773A" w:rsidP="00D2773A">
            <w:pPr>
              <w:spacing w:after="0" w:line="240" w:lineRule="auto"/>
              <w:rPr>
                <w:rFonts w:eastAsia="Times New Roman" w:cstheme="minorHAnsi"/>
                <w:b/>
                <w:bCs/>
                <w:sz w:val="18"/>
                <w:szCs w:val="18"/>
                <w:lang w:eastAsia="hr-HR"/>
              </w:rPr>
            </w:pPr>
            <w:r w:rsidRPr="00D2773A">
              <w:rPr>
                <w:sz w:val="18"/>
                <w:szCs w:val="18"/>
              </w:rPr>
              <w:t>4.7</w:t>
            </w:r>
          </w:p>
        </w:tc>
        <w:tc>
          <w:tcPr>
            <w:tcW w:w="3476" w:type="dxa"/>
            <w:tcBorders>
              <w:top w:val="nil"/>
              <w:left w:val="nil"/>
              <w:bottom w:val="nil"/>
              <w:right w:val="nil"/>
            </w:tcBorders>
            <w:shd w:val="clear" w:color="auto" w:fill="auto"/>
            <w:vAlign w:val="bottom"/>
            <w:hideMark/>
          </w:tcPr>
          <w:p w14:paraId="23B6763B" w14:textId="0E1B382E" w:rsidR="00D2773A" w:rsidRPr="00D2773A" w:rsidRDefault="00D2773A" w:rsidP="00D2773A">
            <w:pPr>
              <w:spacing w:after="0" w:line="240" w:lineRule="auto"/>
              <w:rPr>
                <w:rFonts w:eastAsia="Times New Roman" w:cstheme="minorHAnsi"/>
                <w:b/>
                <w:bCs/>
                <w:sz w:val="18"/>
                <w:szCs w:val="18"/>
                <w:lang w:eastAsia="hr-HR"/>
              </w:rPr>
            </w:pPr>
            <w:r w:rsidRPr="00D2773A">
              <w:rPr>
                <w:rFonts w:ascii="Calibri" w:hAnsi="Calibri" w:cs="Calibri"/>
                <w:sz w:val="18"/>
                <w:szCs w:val="18"/>
              </w:rPr>
              <w:t>Ostale kratkoročne obveze</w:t>
            </w:r>
          </w:p>
        </w:tc>
        <w:tc>
          <w:tcPr>
            <w:tcW w:w="1361" w:type="dxa"/>
            <w:tcBorders>
              <w:top w:val="nil"/>
              <w:left w:val="nil"/>
              <w:bottom w:val="nil"/>
              <w:right w:val="nil"/>
            </w:tcBorders>
            <w:shd w:val="clear" w:color="auto" w:fill="auto"/>
            <w:noWrap/>
            <w:vAlign w:val="bottom"/>
            <w:hideMark/>
          </w:tcPr>
          <w:p w14:paraId="29E28C6D" w14:textId="696D6514" w:rsidR="00D2773A" w:rsidRPr="00D2773A" w:rsidRDefault="00D2773A" w:rsidP="00D2773A">
            <w:pPr>
              <w:spacing w:after="0" w:line="240" w:lineRule="auto"/>
              <w:jc w:val="center"/>
              <w:rPr>
                <w:rFonts w:eastAsia="Times New Roman" w:cstheme="minorHAnsi"/>
                <w:sz w:val="18"/>
                <w:szCs w:val="18"/>
                <w:lang w:eastAsia="hr-HR"/>
              </w:rPr>
            </w:pPr>
            <w:r w:rsidRPr="00D2773A">
              <w:rPr>
                <w:rFonts w:cstheme="minorHAnsi"/>
                <w:sz w:val="18"/>
                <w:szCs w:val="18"/>
              </w:rPr>
              <w:t>64.877</w:t>
            </w:r>
          </w:p>
        </w:tc>
        <w:tc>
          <w:tcPr>
            <w:tcW w:w="964" w:type="dxa"/>
            <w:tcBorders>
              <w:top w:val="nil"/>
              <w:left w:val="nil"/>
              <w:bottom w:val="nil"/>
              <w:right w:val="nil"/>
            </w:tcBorders>
            <w:shd w:val="clear" w:color="auto" w:fill="auto"/>
            <w:noWrap/>
            <w:vAlign w:val="bottom"/>
            <w:hideMark/>
          </w:tcPr>
          <w:p w14:paraId="73320703" w14:textId="3216019B"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0,20%</w:t>
            </w:r>
          </w:p>
        </w:tc>
        <w:tc>
          <w:tcPr>
            <w:tcW w:w="1361" w:type="dxa"/>
            <w:tcBorders>
              <w:top w:val="nil"/>
              <w:left w:val="nil"/>
              <w:bottom w:val="nil"/>
              <w:right w:val="nil"/>
            </w:tcBorders>
            <w:shd w:val="clear" w:color="auto" w:fill="auto"/>
            <w:noWrap/>
            <w:vAlign w:val="bottom"/>
            <w:hideMark/>
          </w:tcPr>
          <w:p w14:paraId="614400FD" w14:textId="242964F8" w:rsidR="00D2773A" w:rsidRPr="00D2773A" w:rsidRDefault="00D2773A" w:rsidP="00D2773A">
            <w:pPr>
              <w:spacing w:after="0" w:line="240" w:lineRule="auto"/>
              <w:jc w:val="center"/>
              <w:rPr>
                <w:rFonts w:eastAsia="Times New Roman" w:cstheme="minorHAnsi"/>
                <w:sz w:val="18"/>
                <w:szCs w:val="18"/>
                <w:lang w:eastAsia="hr-HR"/>
              </w:rPr>
            </w:pPr>
            <w:r w:rsidRPr="00D2773A">
              <w:rPr>
                <w:rFonts w:cstheme="minorHAnsi"/>
                <w:sz w:val="18"/>
                <w:szCs w:val="18"/>
              </w:rPr>
              <w:t>111.258</w:t>
            </w:r>
          </w:p>
        </w:tc>
        <w:tc>
          <w:tcPr>
            <w:tcW w:w="964" w:type="dxa"/>
            <w:tcBorders>
              <w:top w:val="nil"/>
              <w:left w:val="nil"/>
              <w:bottom w:val="nil"/>
              <w:right w:val="nil"/>
            </w:tcBorders>
            <w:shd w:val="clear" w:color="auto" w:fill="auto"/>
            <w:noWrap/>
            <w:vAlign w:val="bottom"/>
            <w:hideMark/>
          </w:tcPr>
          <w:p w14:paraId="08E6D057" w14:textId="74D70363"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0,37%</w:t>
            </w:r>
          </w:p>
        </w:tc>
        <w:tc>
          <w:tcPr>
            <w:tcW w:w="964" w:type="dxa"/>
            <w:tcBorders>
              <w:top w:val="nil"/>
              <w:left w:val="nil"/>
              <w:bottom w:val="nil"/>
              <w:right w:val="single" w:sz="4" w:space="0" w:color="auto"/>
            </w:tcBorders>
            <w:shd w:val="clear" w:color="auto" w:fill="auto"/>
            <w:noWrap/>
            <w:vAlign w:val="bottom"/>
            <w:hideMark/>
          </w:tcPr>
          <w:p w14:paraId="19D358B3" w14:textId="49E5DFDB" w:rsidR="00D2773A" w:rsidRPr="00D2773A" w:rsidRDefault="00D2773A" w:rsidP="00D2773A">
            <w:pPr>
              <w:spacing w:after="0" w:line="240" w:lineRule="auto"/>
              <w:jc w:val="center"/>
              <w:rPr>
                <w:rFonts w:eastAsia="Times New Roman" w:cstheme="minorHAnsi"/>
                <w:color w:val="000000"/>
                <w:sz w:val="18"/>
                <w:szCs w:val="18"/>
                <w:lang w:eastAsia="hr-HR"/>
              </w:rPr>
            </w:pPr>
            <w:r w:rsidRPr="00D2773A">
              <w:rPr>
                <w:rFonts w:cstheme="minorHAnsi"/>
                <w:sz w:val="18"/>
                <w:szCs w:val="18"/>
              </w:rPr>
              <w:t>171%</w:t>
            </w:r>
          </w:p>
        </w:tc>
      </w:tr>
      <w:tr w:rsidR="00D2773A" w:rsidRPr="00DB02CE" w14:paraId="3C929479" w14:textId="77777777" w:rsidTr="00D2773A">
        <w:trPr>
          <w:trHeight w:val="556"/>
        </w:trPr>
        <w:tc>
          <w:tcPr>
            <w:tcW w:w="622" w:type="dxa"/>
            <w:tcBorders>
              <w:top w:val="nil"/>
              <w:left w:val="single" w:sz="4" w:space="0" w:color="auto"/>
              <w:bottom w:val="single" w:sz="4" w:space="0" w:color="auto"/>
              <w:right w:val="nil"/>
            </w:tcBorders>
            <w:shd w:val="clear" w:color="auto" w:fill="auto"/>
            <w:noWrap/>
            <w:vAlign w:val="bottom"/>
          </w:tcPr>
          <w:p w14:paraId="767D1CAE" w14:textId="64997614" w:rsidR="00D2773A" w:rsidRPr="00D2773A" w:rsidRDefault="00D2773A" w:rsidP="00D2773A">
            <w:pPr>
              <w:spacing w:after="0" w:line="240" w:lineRule="auto"/>
              <w:rPr>
                <w:sz w:val="18"/>
                <w:szCs w:val="18"/>
              </w:rPr>
            </w:pPr>
            <w:r w:rsidRPr="00D2773A">
              <w:rPr>
                <w:rFonts w:ascii="Calibri" w:hAnsi="Calibri" w:cs="Calibri"/>
                <w:b/>
                <w:bCs/>
                <w:sz w:val="18"/>
                <w:szCs w:val="18"/>
              </w:rPr>
              <w:t>5.</w:t>
            </w:r>
          </w:p>
        </w:tc>
        <w:tc>
          <w:tcPr>
            <w:tcW w:w="3476" w:type="dxa"/>
            <w:tcBorders>
              <w:top w:val="nil"/>
              <w:left w:val="nil"/>
              <w:bottom w:val="single" w:sz="4" w:space="0" w:color="auto"/>
              <w:right w:val="nil"/>
            </w:tcBorders>
            <w:shd w:val="clear" w:color="auto" w:fill="auto"/>
            <w:vAlign w:val="bottom"/>
          </w:tcPr>
          <w:p w14:paraId="38C23B85" w14:textId="6E53CBB5" w:rsidR="00D2773A" w:rsidRPr="00D2773A" w:rsidRDefault="00D2773A" w:rsidP="00D2773A">
            <w:pPr>
              <w:spacing w:after="0" w:line="240" w:lineRule="auto"/>
              <w:rPr>
                <w:rFonts w:ascii="Calibri" w:hAnsi="Calibri" w:cs="Calibri"/>
                <w:sz w:val="18"/>
                <w:szCs w:val="18"/>
              </w:rPr>
            </w:pPr>
            <w:r w:rsidRPr="00D2773A">
              <w:rPr>
                <w:rFonts w:ascii="Calibri" w:hAnsi="Calibri" w:cs="Calibri"/>
                <w:b/>
                <w:bCs/>
                <w:sz w:val="18"/>
                <w:szCs w:val="18"/>
              </w:rPr>
              <w:t>ODGOĐENO PLAĆANJE TROŠKOVA I PRIHODI BUDUĆEG RAZDOBLJA</w:t>
            </w:r>
          </w:p>
        </w:tc>
        <w:tc>
          <w:tcPr>
            <w:tcW w:w="1361" w:type="dxa"/>
            <w:tcBorders>
              <w:top w:val="nil"/>
              <w:left w:val="nil"/>
              <w:bottom w:val="single" w:sz="4" w:space="0" w:color="auto"/>
              <w:right w:val="nil"/>
            </w:tcBorders>
            <w:shd w:val="clear" w:color="auto" w:fill="auto"/>
            <w:noWrap/>
            <w:vAlign w:val="bottom"/>
          </w:tcPr>
          <w:p w14:paraId="0E721DFC" w14:textId="1FBAD4EB" w:rsidR="00D2773A" w:rsidRPr="00D2773A" w:rsidRDefault="00D2773A" w:rsidP="00D2773A">
            <w:pPr>
              <w:spacing w:after="0" w:line="240" w:lineRule="auto"/>
              <w:jc w:val="center"/>
              <w:rPr>
                <w:rFonts w:cstheme="minorHAnsi"/>
                <w:b/>
                <w:bCs/>
                <w:sz w:val="18"/>
                <w:szCs w:val="18"/>
              </w:rPr>
            </w:pPr>
            <w:r w:rsidRPr="00D2773A">
              <w:rPr>
                <w:rFonts w:ascii="Calibri" w:hAnsi="Calibri" w:cs="Calibri"/>
                <w:b/>
                <w:bCs/>
                <w:sz w:val="18"/>
                <w:szCs w:val="18"/>
              </w:rPr>
              <w:t>16.081.958</w:t>
            </w:r>
          </w:p>
        </w:tc>
        <w:tc>
          <w:tcPr>
            <w:tcW w:w="964" w:type="dxa"/>
            <w:tcBorders>
              <w:top w:val="nil"/>
              <w:left w:val="nil"/>
              <w:bottom w:val="single" w:sz="4" w:space="0" w:color="auto"/>
              <w:right w:val="nil"/>
            </w:tcBorders>
            <w:shd w:val="clear" w:color="auto" w:fill="auto"/>
            <w:noWrap/>
            <w:vAlign w:val="bottom"/>
          </w:tcPr>
          <w:p w14:paraId="4AF4F6A8" w14:textId="5D870014" w:rsidR="00D2773A" w:rsidRPr="00D2773A" w:rsidRDefault="00D2773A" w:rsidP="00D2773A">
            <w:pPr>
              <w:spacing w:after="0" w:line="240" w:lineRule="auto"/>
              <w:jc w:val="center"/>
              <w:rPr>
                <w:rFonts w:cstheme="minorHAnsi"/>
                <w:b/>
                <w:bCs/>
                <w:sz w:val="18"/>
                <w:szCs w:val="18"/>
              </w:rPr>
            </w:pPr>
            <w:r w:rsidRPr="00D2773A">
              <w:rPr>
                <w:rFonts w:ascii="Calibri" w:hAnsi="Calibri" w:cs="Calibri"/>
                <w:b/>
                <w:bCs/>
                <w:color w:val="000000"/>
                <w:sz w:val="18"/>
                <w:szCs w:val="18"/>
              </w:rPr>
              <w:t>49,85%</w:t>
            </w:r>
          </w:p>
        </w:tc>
        <w:tc>
          <w:tcPr>
            <w:tcW w:w="1361" w:type="dxa"/>
            <w:tcBorders>
              <w:top w:val="nil"/>
              <w:left w:val="nil"/>
              <w:bottom w:val="single" w:sz="4" w:space="0" w:color="auto"/>
              <w:right w:val="nil"/>
            </w:tcBorders>
            <w:shd w:val="clear" w:color="auto" w:fill="auto"/>
            <w:noWrap/>
            <w:vAlign w:val="bottom"/>
          </w:tcPr>
          <w:p w14:paraId="32A76805" w14:textId="1F1AEEC3" w:rsidR="00D2773A" w:rsidRPr="00D2773A" w:rsidRDefault="00D2773A" w:rsidP="00D2773A">
            <w:pPr>
              <w:spacing w:after="0" w:line="240" w:lineRule="auto"/>
              <w:jc w:val="center"/>
              <w:rPr>
                <w:rFonts w:cstheme="minorHAnsi"/>
                <w:b/>
                <w:bCs/>
                <w:sz w:val="18"/>
                <w:szCs w:val="18"/>
              </w:rPr>
            </w:pPr>
            <w:r w:rsidRPr="00D2773A">
              <w:rPr>
                <w:rFonts w:ascii="Calibri" w:hAnsi="Calibri" w:cs="Calibri"/>
                <w:b/>
                <w:bCs/>
                <w:sz w:val="18"/>
                <w:szCs w:val="18"/>
              </w:rPr>
              <w:t>13.873.932</w:t>
            </w:r>
          </w:p>
        </w:tc>
        <w:tc>
          <w:tcPr>
            <w:tcW w:w="964" w:type="dxa"/>
            <w:tcBorders>
              <w:top w:val="nil"/>
              <w:left w:val="nil"/>
              <w:bottom w:val="single" w:sz="4" w:space="0" w:color="auto"/>
              <w:right w:val="nil"/>
            </w:tcBorders>
            <w:shd w:val="clear" w:color="auto" w:fill="auto"/>
            <w:noWrap/>
            <w:vAlign w:val="bottom"/>
          </w:tcPr>
          <w:p w14:paraId="5B4E4B40" w14:textId="67466D1A" w:rsidR="00D2773A" w:rsidRPr="00D2773A" w:rsidRDefault="00D2773A" w:rsidP="00D2773A">
            <w:pPr>
              <w:spacing w:after="0" w:line="240" w:lineRule="auto"/>
              <w:jc w:val="center"/>
              <w:rPr>
                <w:rFonts w:cstheme="minorHAnsi"/>
                <w:b/>
                <w:bCs/>
                <w:sz w:val="18"/>
                <w:szCs w:val="18"/>
              </w:rPr>
            </w:pPr>
            <w:r w:rsidRPr="00D2773A">
              <w:rPr>
                <w:rFonts w:ascii="Calibri" w:hAnsi="Calibri" w:cs="Calibri"/>
                <w:b/>
                <w:bCs/>
                <w:color w:val="000000"/>
                <w:sz w:val="18"/>
                <w:szCs w:val="18"/>
              </w:rPr>
              <w:t>45,67%</w:t>
            </w:r>
          </w:p>
        </w:tc>
        <w:tc>
          <w:tcPr>
            <w:tcW w:w="964" w:type="dxa"/>
            <w:tcBorders>
              <w:top w:val="nil"/>
              <w:left w:val="nil"/>
              <w:bottom w:val="single" w:sz="4" w:space="0" w:color="auto"/>
              <w:right w:val="single" w:sz="4" w:space="0" w:color="auto"/>
            </w:tcBorders>
            <w:shd w:val="clear" w:color="auto" w:fill="auto"/>
            <w:noWrap/>
            <w:vAlign w:val="bottom"/>
          </w:tcPr>
          <w:p w14:paraId="65A9C25F" w14:textId="13D47C7A" w:rsidR="00D2773A" w:rsidRPr="00D2773A" w:rsidRDefault="00D2773A" w:rsidP="00D2773A">
            <w:pPr>
              <w:spacing w:after="0" w:line="240" w:lineRule="auto"/>
              <w:jc w:val="center"/>
              <w:rPr>
                <w:rFonts w:cstheme="minorHAnsi"/>
                <w:b/>
                <w:bCs/>
                <w:sz w:val="18"/>
                <w:szCs w:val="18"/>
              </w:rPr>
            </w:pPr>
            <w:r w:rsidRPr="00D2773A">
              <w:rPr>
                <w:rFonts w:ascii="Calibri" w:hAnsi="Calibri" w:cs="Calibri"/>
                <w:b/>
                <w:bCs/>
                <w:color w:val="000000"/>
                <w:sz w:val="18"/>
                <w:szCs w:val="18"/>
              </w:rPr>
              <w:t>86%</w:t>
            </w:r>
          </w:p>
        </w:tc>
      </w:tr>
      <w:tr w:rsidR="00D2773A" w:rsidRPr="00DB02CE" w14:paraId="537F64A7" w14:textId="77777777" w:rsidTr="00D2773A">
        <w:trPr>
          <w:trHeight w:val="295"/>
        </w:trPr>
        <w:tc>
          <w:tcPr>
            <w:tcW w:w="622" w:type="dxa"/>
            <w:tcBorders>
              <w:top w:val="single" w:sz="4" w:space="0" w:color="auto"/>
              <w:left w:val="single" w:sz="4" w:space="0" w:color="auto"/>
              <w:bottom w:val="single" w:sz="4" w:space="0" w:color="auto"/>
              <w:right w:val="nil"/>
            </w:tcBorders>
            <w:shd w:val="clear" w:color="auto" w:fill="auto"/>
            <w:noWrap/>
            <w:vAlign w:val="bottom"/>
            <w:hideMark/>
          </w:tcPr>
          <w:p w14:paraId="4CF1B06A" w14:textId="3E5FDD3D" w:rsidR="00D2773A" w:rsidRPr="00D2773A" w:rsidRDefault="00D2773A" w:rsidP="00D2773A">
            <w:pPr>
              <w:spacing w:after="0" w:line="240" w:lineRule="auto"/>
              <w:rPr>
                <w:rFonts w:eastAsia="Times New Roman" w:cstheme="minorHAnsi"/>
                <w:b/>
                <w:bCs/>
                <w:sz w:val="18"/>
                <w:szCs w:val="18"/>
                <w:lang w:eastAsia="hr-HR"/>
              </w:rPr>
            </w:pPr>
            <w:r w:rsidRPr="00D2773A">
              <w:rPr>
                <w:rFonts w:ascii="Calibri" w:hAnsi="Calibri" w:cs="Calibri"/>
                <w:b/>
                <w:bCs/>
                <w:sz w:val="18"/>
                <w:szCs w:val="18"/>
              </w:rPr>
              <w:t>6.</w:t>
            </w:r>
          </w:p>
        </w:tc>
        <w:tc>
          <w:tcPr>
            <w:tcW w:w="3476" w:type="dxa"/>
            <w:tcBorders>
              <w:top w:val="single" w:sz="4" w:space="0" w:color="auto"/>
              <w:left w:val="nil"/>
              <w:bottom w:val="single" w:sz="4" w:space="0" w:color="auto"/>
              <w:right w:val="nil"/>
            </w:tcBorders>
            <w:shd w:val="clear" w:color="auto" w:fill="auto"/>
            <w:vAlign w:val="bottom"/>
            <w:hideMark/>
          </w:tcPr>
          <w:p w14:paraId="6F09B470" w14:textId="565FB15D" w:rsidR="00D2773A" w:rsidRPr="00D2773A" w:rsidRDefault="00D2773A" w:rsidP="00D2773A">
            <w:pPr>
              <w:spacing w:after="0" w:line="240" w:lineRule="auto"/>
              <w:rPr>
                <w:rFonts w:eastAsia="Times New Roman" w:cstheme="minorHAnsi"/>
                <w:b/>
                <w:bCs/>
                <w:sz w:val="18"/>
                <w:szCs w:val="18"/>
                <w:lang w:eastAsia="hr-HR"/>
              </w:rPr>
            </w:pPr>
            <w:r w:rsidRPr="00D2773A">
              <w:rPr>
                <w:rFonts w:ascii="Calibri" w:hAnsi="Calibri" w:cs="Calibri"/>
                <w:b/>
                <w:bCs/>
                <w:sz w:val="18"/>
                <w:szCs w:val="18"/>
              </w:rPr>
              <w:t>UKUPNA PASIVA</w:t>
            </w:r>
          </w:p>
        </w:tc>
        <w:tc>
          <w:tcPr>
            <w:tcW w:w="1361" w:type="dxa"/>
            <w:tcBorders>
              <w:top w:val="single" w:sz="4" w:space="0" w:color="auto"/>
              <w:left w:val="nil"/>
              <w:bottom w:val="single" w:sz="4" w:space="0" w:color="auto"/>
              <w:right w:val="nil"/>
            </w:tcBorders>
            <w:shd w:val="clear" w:color="auto" w:fill="auto"/>
            <w:noWrap/>
            <w:vAlign w:val="bottom"/>
            <w:hideMark/>
          </w:tcPr>
          <w:p w14:paraId="625C1609" w14:textId="748D3DE5"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ascii="Calibri" w:hAnsi="Calibri" w:cs="Calibri"/>
                <w:b/>
                <w:bCs/>
                <w:color w:val="000000"/>
                <w:sz w:val="18"/>
                <w:szCs w:val="18"/>
              </w:rPr>
              <w:t>32.257.695</w:t>
            </w:r>
          </w:p>
        </w:tc>
        <w:tc>
          <w:tcPr>
            <w:tcW w:w="964" w:type="dxa"/>
            <w:tcBorders>
              <w:top w:val="single" w:sz="4" w:space="0" w:color="auto"/>
              <w:left w:val="nil"/>
              <w:bottom w:val="single" w:sz="4" w:space="0" w:color="auto"/>
              <w:right w:val="nil"/>
            </w:tcBorders>
            <w:shd w:val="clear" w:color="auto" w:fill="auto"/>
            <w:noWrap/>
            <w:vAlign w:val="bottom"/>
            <w:hideMark/>
          </w:tcPr>
          <w:p w14:paraId="01C64019" w14:textId="4DDB7F74"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ascii="Calibri" w:hAnsi="Calibri" w:cs="Calibri"/>
                <w:b/>
                <w:bCs/>
                <w:color w:val="000000"/>
                <w:sz w:val="18"/>
                <w:szCs w:val="18"/>
              </w:rPr>
              <w:t>100%</w:t>
            </w:r>
          </w:p>
        </w:tc>
        <w:tc>
          <w:tcPr>
            <w:tcW w:w="1361" w:type="dxa"/>
            <w:tcBorders>
              <w:top w:val="single" w:sz="4" w:space="0" w:color="auto"/>
              <w:left w:val="nil"/>
              <w:bottom w:val="single" w:sz="4" w:space="0" w:color="auto"/>
              <w:right w:val="nil"/>
            </w:tcBorders>
            <w:shd w:val="clear" w:color="auto" w:fill="auto"/>
            <w:noWrap/>
            <w:vAlign w:val="bottom"/>
            <w:hideMark/>
          </w:tcPr>
          <w:p w14:paraId="2D95B6FB" w14:textId="6328DC69"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ascii="Calibri" w:hAnsi="Calibri" w:cs="Calibri"/>
                <w:b/>
                <w:bCs/>
                <w:color w:val="000000"/>
                <w:sz w:val="18"/>
                <w:szCs w:val="18"/>
              </w:rPr>
              <w:t>30.381.320</w:t>
            </w:r>
          </w:p>
        </w:tc>
        <w:tc>
          <w:tcPr>
            <w:tcW w:w="964" w:type="dxa"/>
            <w:tcBorders>
              <w:top w:val="single" w:sz="4" w:space="0" w:color="auto"/>
              <w:left w:val="nil"/>
              <w:bottom w:val="single" w:sz="4" w:space="0" w:color="auto"/>
              <w:right w:val="nil"/>
            </w:tcBorders>
            <w:shd w:val="clear" w:color="auto" w:fill="auto"/>
            <w:noWrap/>
            <w:vAlign w:val="bottom"/>
            <w:hideMark/>
          </w:tcPr>
          <w:p w14:paraId="639981FE" w14:textId="602744B2"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ascii="Calibri" w:hAnsi="Calibri" w:cs="Calibri"/>
                <w:b/>
                <w:bCs/>
                <w:color w:val="000000"/>
                <w:sz w:val="18"/>
                <w:szCs w:val="18"/>
              </w:rPr>
              <w:t>100%</w:t>
            </w:r>
          </w:p>
        </w:tc>
        <w:tc>
          <w:tcPr>
            <w:tcW w:w="964" w:type="dxa"/>
            <w:tcBorders>
              <w:top w:val="single" w:sz="4" w:space="0" w:color="auto"/>
              <w:left w:val="nil"/>
              <w:bottom w:val="single" w:sz="4" w:space="0" w:color="auto"/>
              <w:right w:val="single" w:sz="4" w:space="0" w:color="auto"/>
            </w:tcBorders>
            <w:shd w:val="clear" w:color="auto" w:fill="auto"/>
            <w:noWrap/>
            <w:vAlign w:val="bottom"/>
            <w:hideMark/>
          </w:tcPr>
          <w:p w14:paraId="131CD0B5" w14:textId="0F6AECE6" w:rsidR="00D2773A" w:rsidRPr="00D2773A" w:rsidRDefault="00D2773A" w:rsidP="00D2773A">
            <w:pPr>
              <w:spacing w:after="0" w:line="240" w:lineRule="auto"/>
              <w:jc w:val="center"/>
              <w:rPr>
                <w:rFonts w:eastAsia="Times New Roman" w:cstheme="minorHAnsi"/>
                <w:b/>
                <w:bCs/>
                <w:color w:val="000000"/>
                <w:sz w:val="18"/>
                <w:szCs w:val="18"/>
                <w:lang w:eastAsia="hr-HR"/>
              </w:rPr>
            </w:pPr>
            <w:r w:rsidRPr="00D2773A">
              <w:rPr>
                <w:rFonts w:ascii="Calibri" w:hAnsi="Calibri" w:cs="Calibri"/>
                <w:b/>
                <w:bCs/>
                <w:color w:val="000000"/>
                <w:sz w:val="18"/>
                <w:szCs w:val="18"/>
              </w:rPr>
              <w:t>94%</w:t>
            </w:r>
          </w:p>
        </w:tc>
      </w:tr>
    </w:tbl>
    <w:p w14:paraId="2556077E" w14:textId="65511896" w:rsidR="00222F65" w:rsidRPr="00A97575" w:rsidRDefault="00222F65" w:rsidP="00840E6B"/>
    <w:p w14:paraId="1848B53A" w14:textId="77777777" w:rsidR="00120231" w:rsidRPr="00093900" w:rsidRDefault="00120231" w:rsidP="00607DAF">
      <w:pPr>
        <w:autoSpaceDE w:val="0"/>
        <w:autoSpaceDN w:val="0"/>
        <w:adjustRightInd w:val="0"/>
        <w:spacing w:after="0" w:line="360" w:lineRule="auto"/>
        <w:jc w:val="both"/>
        <w:rPr>
          <w:rFonts w:cstheme="minorHAnsi"/>
          <w:bCs/>
        </w:rPr>
      </w:pPr>
    </w:p>
    <w:p w14:paraId="60C08FC0" w14:textId="77777777" w:rsidR="00D10BC4" w:rsidRDefault="00D10BC4">
      <w:pPr>
        <w:rPr>
          <w:rFonts w:cstheme="minorHAnsi"/>
          <w:b/>
          <w:bCs/>
          <w:u w:val="single"/>
        </w:rPr>
      </w:pPr>
      <w:r>
        <w:rPr>
          <w:rFonts w:cstheme="minorHAnsi"/>
          <w:b/>
          <w:bCs/>
          <w:u w:val="single"/>
        </w:rPr>
        <w:br w:type="page"/>
      </w:r>
    </w:p>
    <w:p w14:paraId="4CA86CA3" w14:textId="2F9A5184" w:rsidR="008E1D51" w:rsidRPr="00CB3323" w:rsidRDefault="00093900" w:rsidP="00B25D7B">
      <w:pPr>
        <w:spacing w:before="120" w:after="120" w:line="360" w:lineRule="auto"/>
        <w:jc w:val="both"/>
        <w:rPr>
          <w:rFonts w:cstheme="minorHAnsi"/>
          <w:color w:val="FF0000"/>
        </w:rPr>
      </w:pPr>
      <w:r w:rsidRPr="00CB3323">
        <w:rPr>
          <w:rFonts w:cstheme="minorHAnsi"/>
          <w:b/>
          <w:bCs/>
        </w:rPr>
        <w:lastRenderedPageBreak/>
        <w:t xml:space="preserve">Kapital i rezerve </w:t>
      </w:r>
      <w:r w:rsidR="005848DE" w:rsidRPr="00CB3323">
        <w:rPr>
          <w:rFonts w:cstheme="minorHAnsi"/>
        </w:rPr>
        <w:t>n</w:t>
      </w:r>
      <w:r w:rsidR="008E1D51" w:rsidRPr="00CB3323">
        <w:rPr>
          <w:rFonts w:cstheme="minorHAnsi"/>
        </w:rPr>
        <w:t>a dan 31. prosinca 2024. godine iznos</w:t>
      </w:r>
      <w:r w:rsidR="005848DE" w:rsidRPr="00CB3323">
        <w:rPr>
          <w:rFonts w:cstheme="minorHAnsi"/>
        </w:rPr>
        <w:t>e</w:t>
      </w:r>
      <w:r w:rsidR="008E1D51" w:rsidRPr="00CB3323">
        <w:rPr>
          <w:rFonts w:cstheme="minorHAnsi"/>
        </w:rPr>
        <w:t xml:space="preserve"> 8.845.044 eura, što čini 29% ukupnih izvora sredstava. U odnosu na prethodnu godinu, kada </w:t>
      </w:r>
      <w:r w:rsidR="00D400E8" w:rsidRPr="00CB3323">
        <w:rPr>
          <w:rFonts w:cstheme="minorHAnsi"/>
        </w:rPr>
        <w:t>su</w:t>
      </w:r>
      <w:r w:rsidR="008E1D51" w:rsidRPr="00CB3323">
        <w:rPr>
          <w:rFonts w:cstheme="minorHAnsi"/>
        </w:rPr>
        <w:t xml:space="preserve"> iznosil</w:t>
      </w:r>
      <w:r w:rsidR="00D400E8" w:rsidRPr="00CB3323">
        <w:rPr>
          <w:rFonts w:cstheme="minorHAnsi"/>
        </w:rPr>
        <w:t>i</w:t>
      </w:r>
      <w:r w:rsidR="008E1D51" w:rsidRPr="00CB3323">
        <w:rPr>
          <w:rFonts w:cstheme="minorHAnsi"/>
        </w:rPr>
        <w:t xml:space="preserve"> 8.803.901 eura, zabilježeno je neznatno povećanje (0,5%).</w:t>
      </w:r>
    </w:p>
    <w:p w14:paraId="745C8047" w14:textId="77777777" w:rsidR="008E1D51" w:rsidRPr="00CB3323" w:rsidRDefault="008E1D51" w:rsidP="00B25D7B">
      <w:pPr>
        <w:spacing w:before="120" w:after="120" w:line="360" w:lineRule="auto"/>
        <w:jc w:val="both"/>
        <w:rPr>
          <w:rFonts w:cstheme="minorHAnsi"/>
        </w:rPr>
      </w:pPr>
      <w:r w:rsidRPr="00CB3323">
        <w:rPr>
          <w:rFonts w:cstheme="minorHAnsi"/>
        </w:rPr>
        <w:t>Temeljni kapital Društva ostaje nepromijenjen i iznosi 6.962.307 eura, dok kapitalne rezerve također ostaju na istoj razini kao i prethodne godine – 616.813 eura.</w:t>
      </w:r>
    </w:p>
    <w:p w14:paraId="0F70B377" w14:textId="43366A1D" w:rsidR="008E1D51" w:rsidRPr="00CB3323" w:rsidRDefault="005848DE" w:rsidP="00B25D7B">
      <w:pPr>
        <w:spacing w:before="120" w:after="120" w:line="360" w:lineRule="auto"/>
        <w:jc w:val="both"/>
        <w:rPr>
          <w:rFonts w:cstheme="minorHAnsi"/>
        </w:rPr>
      </w:pPr>
      <w:r w:rsidRPr="00CB3323">
        <w:rPr>
          <w:rFonts w:cstheme="minorHAnsi"/>
        </w:rPr>
        <w:t xml:space="preserve">Značajno povećanje bilježi se kod stavke zadržane dobiti, koja na dan 31. prosinca 2024. godine iznosi 1.224.781 eura, što je povećanje od 32% u odnosu na 2023. godinu (927.256 eura). Povećanje zadržane dobiti rezultat je uključivanja dobiti </w:t>
      </w:r>
      <w:r w:rsidR="00D400E8" w:rsidRPr="00CB3323">
        <w:rPr>
          <w:rFonts w:cstheme="minorHAnsi"/>
        </w:rPr>
        <w:t xml:space="preserve">iz 2023. </w:t>
      </w:r>
      <w:r w:rsidRPr="00CB3323">
        <w:rPr>
          <w:rFonts w:cstheme="minorHAnsi"/>
        </w:rPr>
        <w:t>godine u iznosu od 297.524 eura.</w:t>
      </w:r>
    </w:p>
    <w:p w14:paraId="48BA52F9" w14:textId="4F5FF0DE" w:rsidR="005848DE" w:rsidRPr="00CB3323" w:rsidRDefault="005848DE" w:rsidP="00D51F9D">
      <w:pPr>
        <w:spacing w:before="120" w:after="120" w:line="360" w:lineRule="auto"/>
        <w:jc w:val="both"/>
        <w:rPr>
          <w:rFonts w:cstheme="minorHAnsi"/>
        </w:rPr>
      </w:pPr>
      <w:r w:rsidRPr="00CB3323">
        <w:rPr>
          <w:rFonts w:cstheme="minorHAnsi"/>
        </w:rPr>
        <w:t>Dobit tekuće poslovne godine iznosi 41.143 eura, što je za 86% manje u odnosu na dobit iz 2023. godine.</w:t>
      </w:r>
    </w:p>
    <w:p w14:paraId="01807D67" w14:textId="4F55C601" w:rsidR="00147F81" w:rsidRPr="00A21CE6" w:rsidRDefault="003C6CE8" w:rsidP="00147F81">
      <w:pPr>
        <w:autoSpaceDE w:val="0"/>
        <w:autoSpaceDN w:val="0"/>
        <w:adjustRightInd w:val="0"/>
        <w:spacing w:before="120" w:after="0" w:line="360" w:lineRule="auto"/>
        <w:jc w:val="both"/>
        <w:rPr>
          <w:rFonts w:cstheme="minorHAnsi"/>
        </w:rPr>
      </w:pPr>
      <w:r w:rsidRPr="00CB3323">
        <w:rPr>
          <w:rFonts w:cstheme="minorHAnsi"/>
          <w:b/>
          <w:bCs/>
        </w:rPr>
        <w:t xml:space="preserve">Dugoročna rezerviranja </w:t>
      </w:r>
      <w:r w:rsidR="00147F81" w:rsidRPr="00CB3323">
        <w:rPr>
          <w:rFonts w:cstheme="minorHAnsi"/>
        </w:rPr>
        <w:t>na dan 31. prosinca 2024. godine iznose 1.683.539 eura, što čini 5,5% ukupnih izvora sredstava. Blago su smanjena</w:t>
      </w:r>
      <w:r w:rsidR="00147F81" w:rsidRPr="00A21CE6">
        <w:rPr>
          <w:rFonts w:cstheme="minorHAnsi"/>
        </w:rPr>
        <w:t xml:space="preserve"> u odnosu na 2023. godinu, kada su iznosila 1.688.592 eura.</w:t>
      </w:r>
    </w:p>
    <w:p w14:paraId="39578AC5" w14:textId="77777777" w:rsidR="00147F81" w:rsidRPr="00147F81" w:rsidRDefault="00147F81" w:rsidP="00147F81">
      <w:pPr>
        <w:autoSpaceDE w:val="0"/>
        <w:autoSpaceDN w:val="0"/>
        <w:adjustRightInd w:val="0"/>
        <w:spacing w:before="120" w:after="0" w:line="360" w:lineRule="auto"/>
        <w:jc w:val="both"/>
        <w:rPr>
          <w:rFonts w:cstheme="minorHAnsi"/>
        </w:rPr>
      </w:pPr>
      <w:r w:rsidRPr="00147F81">
        <w:rPr>
          <w:rFonts w:cstheme="minorHAnsi"/>
        </w:rPr>
        <w:t>Najveći udio unutar ove stavke odnosi se na rezerviranja za sanaciju odlagališta, koja su povećana sa 988.443 eura u 2023. na 1.037.866 eura u 2024. godini, što predstavlja porast od 5%.</w:t>
      </w:r>
    </w:p>
    <w:p w14:paraId="05169458" w14:textId="72D43E3E" w:rsidR="00FD3188" w:rsidRPr="00A21CE6" w:rsidRDefault="00FD3188" w:rsidP="00147F81">
      <w:pPr>
        <w:autoSpaceDE w:val="0"/>
        <w:autoSpaceDN w:val="0"/>
        <w:adjustRightInd w:val="0"/>
        <w:spacing w:before="120" w:after="0" w:line="360" w:lineRule="auto"/>
        <w:jc w:val="both"/>
        <w:rPr>
          <w:rFonts w:cstheme="minorHAnsi"/>
        </w:rPr>
      </w:pPr>
      <w:r w:rsidRPr="00A21CE6">
        <w:rPr>
          <w:rFonts w:cstheme="minorHAnsi"/>
        </w:rPr>
        <w:t xml:space="preserve">Rezerviranja za sudske sporove u tijeku na dan 31. prosinca 2024. godine iznose 645.673 eura, što predstavlja smanjenje od 5% u odnosu na prethodnu godinu (679.255 eura). Smanjenje je rezultat okončanja određenih postupaka, a iznosi prethodno evidentiranih rezervacija koji nisu korišteni uključeni </w:t>
      </w:r>
      <w:r w:rsidR="0080753C">
        <w:rPr>
          <w:rFonts w:cstheme="minorHAnsi"/>
        </w:rPr>
        <w:t xml:space="preserve">su </w:t>
      </w:r>
      <w:r w:rsidRPr="00A21CE6">
        <w:rPr>
          <w:rFonts w:cstheme="minorHAnsi"/>
        </w:rPr>
        <w:t>u prihode izvještajnog razdoblja.</w:t>
      </w:r>
    </w:p>
    <w:p w14:paraId="620D2E23" w14:textId="27F05446" w:rsidR="00147F81" w:rsidRPr="00A21CE6" w:rsidRDefault="00A21CE6" w:rsidP="00147F81">
      <w:pPr>
        <w:autoSpaceDE w:val="0"/>
        <w:autoSpaceDN w:val="0"/>
        <w:adjustRightInd w:val="0"/>
        <w:spacing w:before="120" w:after="0" w:line="360" w:lineRule="auto"/>
        <w:jc w:val="both"/>
        <w:rPr>
          <w:rFonts w:cstheme="minorHAnsi"/>
        </w:rPr>
      </w:pPr>
      <w:r w:rsidRPr="00A21CE6">
        <w:rPr>
          <w:rFonts w:cstheme="minorHAnsi"/>
        </w:rPr>
        <w:t xml:space="preserve">Rezerviranja za mirovine, otpremnine i slične obveze, koja su u 2023. godini iznosila </w:t>
      </w:r>
      <w:r w:rsidR="00FE639F">
        <w:rPr>
          <w:rFonts w:cstheme="minorHAnsi"/>
        </w:rPr>
        <w:t>16.393</w:t>
      </w:r>
      <w:r w:rsidRPr="00A21CE6">
        <w:rPr>
          <w:rFonts w:cstheme="minorHAnsi"/>
        </w:rPr>
        <w:t xml:space="preserve"> eura, u 2024. godini više nisu iskazana, budući da su obveze za koje su bila namijenjena podmirene te su rezerviranja ukinuta.</w:t>
      </w:r>
    </w:p>
    <w:p w14:paraId="1AA125FD" w14:textId="77777777" w:rsidR="00050EFE" w:rsidRPr="00050EFE" w:rsidRDefault="00050EFE" w:rsidP="00050EFE">
      <w:pPr>
        <w:autoSpaceDE w:val="0"/>
        <w:autoSpaceDN w:val="0"/>
        <w:adjustRightInd w:val="0"/>
        <w:spacing w:before="120" w:after="0" w:line="360" w:lineRule="auto"/>
        <w:jc w:val="both"/>
        <w:rPr>
          <w:rFonts w:cstheme="minorHAnsi"/>
        </w:rPr>
      </w:pPr>
      <w:r w:rsidRPr="00CB3323">
        <w:rPr>
          <w:rFonts w:cstheme="minorHAnsi"/>
          <w:b/>
          <w:bCs/>
        </w:rPr>
        <w:t xml:space="preserve">Dugoročne obveze </w:t>
      </w:r>
      <w:r w:rsidRPr="00CB3323">
        <w:rPr>
          <w:rFonts w:cstheme="minorHAnsi"/>
        </w:rPr>
        <w:t>na dan 31. prosinca 2024. godine iznose 2.848.170 eura, što čini 9,4% ukupnih izvora</w:t>
      </w:r>
      <w:r w:rsidRPr="00050EFE">
        <w:rPr>
          <w:rFonts w:cstheme="minorHAnsi"/>
        </w:rPr>
        <w:t xml:space="preserve"> sredstava, te predstavljaju povećanje od 2% u odnosu na prethodnu godinu, kada su iznosile 2.781.811 eura.</w:t>
      </w:r>
    </w:p>
    <w:p w14:paraId="07552183" w14:textId="77777777" w:rsidR="00050EFE" w:rsidRPr="00050EFE" w:rsidRDefault="00050EFE" w:rsidP="00050EFE">
      <w:pPr>
        <w:autoSpaceDE w:val="0"/>
        <w:autoSpaceDN w:val="0"/>
        <w:adjustRightInd w:val="0"/>
        <w:spacing w:before="120" w:after="0" w:line="360" w:lineRule="auto"/>
        <w:jc w:val="both"/>
        <w:rPr>
          <w:rFonts w:cstheme="minorHAnsi"/>
        </w:rPr>
      </w:pPr>
      <w:r w:rsidRPr="00050EFE">
        <w:rPr>
          <w:rFonts w:cstheme="minorHAnsi"/>
        </w:rPr>
        <w:t>Najveći udio dugoročnih obveza odnosi se na obveze za zajmove, depozite i slično, koje iznose 2.517.100 eura, što predstavlja smanjenje od 8% u odnosu na 2023. godinu (2.745.926 eura). Smanjenje proizlazi iz redovite otplate dospjelih dugoročnih kreditnih obveza.</w:t>
      </w:r>
    </w:p>
    <w:p w14:paraId="67F359C8" w14:textId="40AF2694" w:rsidR="00050EFE" w:rsidRPr="00050EFE" w:rsidRDefault="00050EFE" w:rsidP="00050EFE">
      <w:pPr>
        <w:autoSpaceDE w:val="0"/>
        <w:autoSpaceDN w:val="0"/>
        <w:adjustRightInd w:val="0"/>
        <w:spacing w:before="120" w:after="0" w:line="360" w:lineRule="auto"/>
        <w:jc w:val="both"/>
        <w:rPr>
          <w:rFonts w:cstheme="minorHAnsi"/>
        </w:rPr>
      </w:pPr>
      <w:r w:rsidRPr="00050EFE">
        <w:rPr>
          <w:rFonts w:cstheme="minorHAnsi"/>
        </w:rPr>
        <w:t>Ova stavka obuhvaća dugoročni zajam i obveze za kamate prema Ministarstvu financija, financirane iz sredstava Europske investicijske banke (EIB) za izgradnju MBO postrojenja, kao i lokalni udio u sufinanciranju Tehničke pomoći iz strukturnih fondova.</w:t>
      </w:r>
    </w:p>
    <w:p w14:paraId="2D3FE4F8" w14:textId="77777777" w:rsidR="00147F81" w:rsidRPr="00050EFE" w:rsidRDefault="00147F81" w:rsidP="00CF024C">
      <w:pPr>
        <w:autoSpaceDE w:val="0"/>
        <w:autoSpaceDN w:val="0"/>
        <w:adjustRightInd w:val="0"/>
        <w:spacing w:before="120" w:after="0" w:line="360" w:lineRule="auto"/>
        <w:jc w:val="both"/>
        <w:rPr>
          <w:rFonts w:cstheme="minorHAnsi"/>
          <w:b/>
          <w:bCs/>
          <w:u w:val="single"/>
        </w:rPr>
      </w:pPr>
    </w:p>
    <w:p w14:paraId="1DD4ED5F" w14:textId="1C6C8B4A" w:rsidR="00944884" w:rsidRDefault="00944884" w:rsidP="00840E6B">
      <w:pPr>
        <w:autoSpaceDE w:val="0"/>
        <w:autoSpaceDN w:val="0"/>
        <w:adjustRightInd w:val="0"/>
        <w:spacing w:before="240" w:after="0" w:line="360" w:lineRule="auto"/>
        <w:jc w:val="both"/>
        <w:rPr>
          <w:rFonts w:cstheme="minorHAnsi"/>
        </w:rPr>
      </w:pPr>
      <w:r w:rsidRPr="00944884">
        <w:rPr>
          <w:rFonts w:cstheme="minorHAnsi"/>
        </w:rPr>
        <w:lastRenderedPageBreak/>
        <w:t xml:space="preserve">Obveze prema bankama i drugim financijskim institucijama iznose 331.070 eura, što predstavlja značajan porast u odnosu na 2023. godinu, kada su iznosile 35.885 eura. Povećanje je rezultat sklapanja novih ugovora o </w:t>
      </w:r>
      <w:r w:rsidR="008C65B4">
        <w:rPr>
          <w:rFonts w:cstheme="minorHAnsi"/>
        </w:rPr>
        <w:t>dugoročnom</w:t>
      </w:r>
      <w:r w:rsidRPr="00944884">
        <w:rPr>
          <w:rFonts w:cstheme="minorHAnsi"/>
        </w:rPr>
        <w:t xml:space="preserve"> leasingu, temeljem kojih su tijekom 2024. godine nabavljene četiri nove poluprikolice za prijevoz otpada s pretovarnih stanica. Ova stavka uključuje i postojeće leasing obveze za komunalno vozilo Iveco Stralis (Hooklift).</w:t>
      </w:r>
    </w:p>
    <w:p w14:paraId="48C7C7CA" w14:textId="2A528197" w:rsidR="00E60A15" w:rsidRDefault="009D548A" w:rsidP="00E60A15">
      <w:pPr>
        <w:autoSpaceDE w:val="0"/>
        <w:autoSpaceDN w:val="0"/>
        <w:adjustRightInd w:val="0"/>
        <w:spacing w:before="120" w:after="120" w:line="360" w:lineRule="auto"/>
        <w:jc w:val="both"/>
        <w:rPr>
          <w:rFonts w:cstheme="minorHAnsi"/>
        </w:rPr>
      </w:pPr>
      <w:r w:rsidRPr="00CB3323">
        <w:rPr>
          <w:rFonts w:cstheme="minorHAnsi"/>
          <w:b/>
          <w:bCs/>
        </w:rPr>
        <w:t>Kratkoročne obveze</w:t>
      </w:r>
      <w:r w:rsidR="008F11D6">
        <w:rPr>
          <w:rFonts w:cstheme="minorHAnsi"/>
        </w:rPr>
        <w:t xml:space="preserve"> na dan 31. prosinca 2024. godine </w:t>
      </w:r>
      <w:r w:rsidR="008F11D6" w:rsidRPr="008F11D6">
        <w:rPr>
          <w:rFonts w:cstheme="minorHAnsi"/>
        </w:rPr>
        <w:t>iznose 3.130.636 eura, što čini 10,3% ukupnih izvora sredstava, te su u odnosu na prethodnu godinu, kada su iznosile 2.901.434 eura, povećane za 8%.</w:t>
      </w:r>
      <w:r w:rsidR="008F11D6">
        <w:rPr>
          <w:rFonts w:cstheme="minorHAnsi"/>
        </w:rPr>
        <w:t xml:space="preserve"> </w:t>
      </w:r>
    </w:p>
    <w:p w14:paraId="1A82265F" w14:textId="0A134489" w:rsidR="00E60A15" w:rsidRDefault="00E60A15" w:rsidP="00E60A15">
      <w:pPr>
        <w:autoSpaceDE w:val="0"/>
        <w:autoSpaceDN w:val="0"/>
        <w:adjustRightInd w:val="0"/>
        <w:spacing w:before="120" w:after="120" w:line="360" w:lineRule="auto"/>
        <w:jc w:val="both"/>
        <w:rPr>
          <w:rFonts w:cstheme="minorHAnsi"/>
        </w:rPr>
      </w:pPr>
      <w:r w:rsidRPr="00093900">
        <w:rPr>
          <w:rFonts w:cstheme="minorHAnsi"/>
        </w:rPr>
        <w:t xml:space="preserve">Obveze za zajmove u iznosu od </w:t>
      </w:r>
      <w:r>
        <w:rPr>
          <w:rFonts w:cstheme="minorHAnsi"/>
        </w:rPr>
        <w:t>228.827 eura</w:t>
      </w:r>
      <w:r w:rsidRPr="00093900">
        <w:rPr>
          <w:rFonts w:cstheme="minorHAnsi"/>
        </w:rPr>
        <w:t xml:space="preserve"> odnose</w:t>
      </w:r>
      <w:r>
        <w:rPr>
          <w:rFonts w:cstheme="minorHAnsi"/>
        </w:rPr>
        <w:t xml:space="preserve"> se</w:t>
      </w:r>
      <w:r w:rsidRPr="00093900">
        <w:rPr>
          <w:rFonts w:cstheme="minorHAnsi"/>
        </w:rPr>
        <w:t xml:space="preserve"> na tekuće dospijeće dugoročnih obveza za zaj</w:t>
      </w:r>
      <w:r>
        <w:rPr>
          <w:rFonts w:cstheme="minorHAnsi"/>
        </w:rPr>
        <w:t>am</w:t>
      </w:r>
      <w:r w:rsidRPr="00093900">
        <w:rPr>
          <w:rFonts w:cstheme="minorHAnsi"/>
        </w:rPr>
        <w:t xml:space="preserve"> prema Ministarstvu financija.</w:t>
      </w:r>
      <w:r>
        <w:rPr>
          <w:rFonts w:cstheme="minorHAnsi"/>
        </w:rPr>
        <w:t xml:space="preserve"> Ostale su na razini prethodnog izvještajnog razdoblja.</w:t>
      </w:r>
    </w:p>
    <w:p w14:paraId="2F01C1D3" w14:textId="72B80EBE" w:rsidR="00E60A15" w:rsidRPr="00D566A7" w:rsidRDefault="00E60A15" w:rsidP="00E60A15">
      <w:pPr>
        <w:autoSpaceDE w:val="0"/>
        <w:autoSpaceDN w:val="0"/>
        <w:adjustRightInd w:val="0"/>
        <w:spacing w:before="120" w:after="120" w:line="360" w:lineRule="auto"/>
        <w:jc w:val="both"/>
        <w:rPr>
          <w:rFonts w:cstheme="minorHAnsi"/>
        </w:rPr>
      </w:pPr>
      <w:r w:rsidRPr="00D566A7">
        <w:rPr>
          <w:rFonts w:cstheme="minorHAnsi"/>
        </w:rPr>
        <w:t>Obveze prema bankama i drugim financijskim institucijama iznose 1.232.596 eura, što predstavlja porast od 17% u odnosu na prethodnu godinu (1.</w:t>
      </w:r>
      <w:r w:rsidR="00595649" w:rsidRPr="00D566A7">
        <w:rPr>
          <w:rFonts w:cstheme="minorHAnsi"/>
        </w:rPr>
        <w:t>057.993</w:t>
      </w:r>
      <w:r w:rsidRPr="00D566A7">
        <w:rPr>
          <w:rFonts w:cstheme="minorHAnsi"/>
        </w:rPr>
        <w:t xml:space="preserve"> eura), a odnose se na okvirne bankovne kredite (dozvoljeni minus temeljem dva poslovna računa u iznosu od 1.157.779 eura) te na tekuće dospijeće dugoročnih leasinga u iznosu od 74.817 eura. Na povećanje je najviše utjecala nabava novih poluprikolica.</w:t>
      </w:r>
    </w:p>
    <w:p w14:paraId="7C698C88" w14:textId="0F87E65E" w:rsidR="008F11D6" w:rsidRDefault="008F11D6" w:rsidP="00E60A15">
      <w:pPr>
        <w:autoSpaceDE w:val="0"/>
        <w:autoSpaceDN w:val="0"/>
        <w:adjustRightInd w:val="0"/>
        <w:spacing w:before="120" w:after="120" w:line="360" w:lineRule="auto"/>
        <w:jc w:val="both"/>
        <w:rPr>
          <w:rFonts w:cstheme="minorHAnsi"/>
        </w:rPr>
      </w:pPr>
      <w:r w:rsidRPr="008F11D6">
        <w:rPr>
          <w:rFonts w:cstheme="minorHAnsi"/>
        </w:rPr>
        <w:t>Najveći udio unutar kratkoročnih obveza čine obveze prema dobavljačima, koje iznose 1.303.458 eura, što je povećanje od 3% u odnosu na 2023. godinu (1.261.270 eura). Ova stavka odnosi se na obveze po računima za isporučene robe i usluge koje su dospjele do kraja izvještajnog razdoblja.</w:t>
      </w:r>
    </w:p>
    <w:p w14:paraId="7346C3D9" w14:textId="69640397" w:rsidR="009558A9" w:rsidRPr="00C26F5E" w:rsidRDefault="00C26F5E" w:rsidP="00E60A15">
      <w:pPr>
        <w:autoSpaceDE w:val="0"/>
        <w:autoSpaceDN w:val="0"/>
        <w:adjustRightInd w:val="0"/>
        <w:spacing w:before="120" w:after="120" w:line="360" w:lineRule="auto"/>
        <w:jc w:val="both"/>
        <w:rPr>
          <w:rFonts w:cstheme="minorHAnsi"/>
        </w:rPr>
      </w:pPr>
      <w:r w:rsidRPr="005A0391">
        <w:rPr>
          <w:rFonts w:cstheme="minorHAnsi"/>
        </w:rPr>
        <w:t>Obveze prema zaposlenicima iznose 107.870 eura, što je 1</w:t>
      </w:r>
      <w:r w:rsidR="004A63B4">
        <w:rPr>
          <w:rFonts w:cstheme="minorHAnsi"/>
        </w:rPr>
        <w:t>6</w:t>
      </w:r>
      <w:r w:rsidRPr="005A0391">
        <w:rPr>
          <w:rFonts w:cstheme="minorHAnsi"/>
        </w:rPr>
        <w:t>% više nego prethodne godine (9</w:t>
      </w:r>
      <w:r w:rsidR="004A63B4">
        <w:rPr>
          <w:rFonts w:cstheme="minorHAnsi"/>
        </w:rPr>
        <w:t>3.300</w:t>
      </w:r>
      <w:r w:rsidRPr="005A0391">
        <w:rPr>
          <w:rFonts w:cstheme="minorHAnsi"/>
        </w:rPr>
        <w:t xml:space="preserve"> eura),</w:t>
      </w:r>
      <w:r w:rsidRPr="00C26F5E">
        <w:rPr>
          <w:rFonts w:cstheme="minorHAnsi"/>
        </w:rPr>
        <w:t xml:space="preserve"> a</w:t>
      </w:r>
      <w:r w:rsidR="00FB68EA" w:rsidRPr="00C26F5E">
        <w:rPr>
          <w:rFonts w:cstheme="minorHAnsi"/>
        </w:rPr>
        <w:t xml:space="preserve"> </w:t>
      </w:r>
      <w:r w:rsidRPr="00C26F5E">
        <w:rPr>
          <w:rFonts w:cstheme="minorHAnsi"/>
        </w:rPr>
        <w:t>uključuju</w:t>
      </w:r>
      <w:r w:rsidR="009558A9" w:rsidRPr="00C26F5E">
        <w:rPr>
          <w:rFonts w:cstheme="minorHAnsi"/>
        </w:rPr>
        <w:t xml:space="preserve"> neto plaću i naknade radnicima za prosinac 202</w:t>
      </w:r>
      <w:r w:rsidRPr="00C26F5E">
        <w:rPr>
          <w:rFonts w:cstheme="minorHAnsi"/>
        </w:rPr>
        <w:t>4</w:t>
      </w:r>
      <w:r w:rsidR="009558A9" w:rsidRPr="00C26F5E">
        <w:rPr>
          <w:rFonts w:cstheme="minorHAnsi"/>
        </w:rPr>
        <w:t>. godine koje su isplaćene u siječnju 202</w:t>
      </w:r>
      <w:r w:rsidRPr="00C26F5E">
        <w:rPr>
          <w:rFonts w:cstheme="minorHAnsi"/>
        </w:rPr>
        <w:t>5</w:t>
      </w:r>
      <w:r w:rsidR="009558A9" w:rsidRPr="00C26F5E">
        <w:rPr>
          <w:rFonts w:cstheme="minorHAnsi"/>
        </w:rPr>
        <w:t>. godine.</w:t>
      </w:r>
      <w:r w:rsidR="005A0391">
        <w:rPr>
          <w:rFonts w:cstheme="minorHAnsi"/>
        </w:rPr>
        <w:t xml:space="preserve"> </w:t>
      </w:r>
    </w:p>
    <w:p w14:paraId="7CD44C25" w14:textId="1D10DC92" w:rsidR="009558A9" w:rsidRPr="00093900" w:rsidRDefault="005A0391" w:rsidP="00E60A15">
      <w:pPr>
        <w:autoSpaceDE w:val="0"/>
        <w:autoSpaceDN w:val="0"/>
        <w:adjustRightInd w:val="0"/>
        <w:spacing w:before="120" w:after="120" w:line="360" w:lineRule="auto"/>
        <w:jc w:val="both"/>
        <w:rPr>
          <w:rFonts w:cstheme="minorHAnsi"/>
        </w:rPr>
      </w:pPr>
      <w:r w:rsidRPr="005A0391">
        <w:rPr>
          <w:rFonts w:cstheme="minorHAnsi"/>
        </w:rPr>
        <w:t>Obveze za poreze, doprinose i slična davanja iznose 146.626 eura, što je 25% manje u odnosu na 2023. godinu (195.226 eura).</w:t>
      </w:r>
      <w:r w:rsidR="009558A9" w:rsidRPr="00093900">
        <w:rPr>
          <w:rFonts w:cstheme="minorHAnsi"/>
        </w:rPr>
        <w:t xml:space="preserve"> Odnose se na naknadu za opterećivanje okoliša neopasnim tehnološkim (industrijskim) otpadom, obvezu za PDV te na  poreze i doprinose iz i na plaću.</w:t>
      </w:r>
    </w:p>
    <w:p w14:paraId="4277082D" w14:textId="7B5FFB12" w:rsidR="00E60A15" w:rsidRPr="0000741E" w:rsidRDefault="00E60A15" w:rsidP="0000741E">
      <w:pPr>
        <w:autoSpaceDE w:val="0"/>
        <w:autoSpaceDN w:val="0"/>
        <w:adjustRightInd w:val="0"/>
        <w:spacing w:before="120" w:after="120" w:line="360" w:lineRule="auto"/>
        <w:jc w:val="both"/>
        <w:rPr>
          <w:rFonts w:cstheme="minorHAnsi"/>
        </w:rPr>
      </w:pPr>
      <w:r w:rsidRPr="00E60A15">
        <w:rPr>
          <w:rFonts w:cstheme="minorHAnsi"/>
        </w:rPr>
        <w:t>Ostale kratkoročne obveze iznose 111.258 eura, što predstavlja porast od 71% u odnosu na prethodnu godinu (64.877 eura),</w:t>
      </w:r>
      <w:r w:rsidR="009558A9" w:rsidRPr="00093900">
        <w:rPr>
          <w:rFonts w:cstheme="minorHAnsi"/>
        </w:rPr>
        <w:t xml:space="preserve"> odnose se na obveze za primljena jamstva za ozbiljnost ponuda.</w:t>
      </w:r>
    </w:p>
    <w:p w14:paraId="1BFABEE2" w14:textId="77777777" w:rsidR="000E3B04" w:rsidRDefault="009558A9" w:rsidP="00840E6B">
      <w:pPr>
        <w:spacing w:before="120" w:after="0" w:line="360" w:lineRule="auto"/>
        <w:jc w:val="both"/>
        <w:rPr>
          <w:rFonts w:cstheme="minorHAnsi"/>
        </w:rPr>
      </w:pPr>
      <w:r w:rsidRPr="00CB3323">
        <w:rPr>
          <w:rFonts w:cstheme="minorHAnsi"/>
          <w:b/>
          <w:bCs/>
        </w:rPr>
        <w:t>Odgođeno plaćanje troškova i prihodi budućeg razdoblja</w:t>
      </w:r>
      <w:r w:rsidRPr="001C59D5">
        <w:rPr>
          <w:rFonts w:cstheme="minorHAnsi"/>
          <w:b/>
          <w:bCs/>
        </w:rPr>
        <w:t xml:space="preserve"> </w:t>
      </w:r>
      <w:r w:rsidR="00FF1B73" w:rsidRPr="00FF1B73">
        <w:rPr>
          <w:rFonts w:cstheme="minorHAnsi"/>
        </w:rPr>
        <w:t>na dan 31. prosinca 2024. godine</w:t>
      </w:r>
      <w:r w:rsidR="00FF1B73">
        <w:rPr>
          <w:rFonts w:cstheme="minorHAnsi"/>
          <w:b/>
          <w:bCs/>
        </w:rPr>
        <w:t xml:space="preserve"> </w:t>
      </w:r>
      <w:r w:rsidR="001E45C2" w:rsidRPr="001E45C2">
        <w:rPr>
          <w:rFonts w:cstheme="minorHAnsi"/>
        </w:rPr>
        <w:t>iznose</w:t>
      </w:r>
      <w:r w:rsidR="001E45C2">
        <w:rPr>
          <w:rFonts w:cstheme="minorHAnsi"/>
          <w:b/>
          <w:bCs/>
        </w:rPr>
        <w:t xml:space="preserve"> </w:t>
      </w:r>
      <w:r w:rsidR="001E45C2" w:rsidRPr="001E45C2">
        <w:rPr>
          <w:rFonts w:cstheme="minorHAnsi"/>
        </w:rPr>
        <w:t>1</w:t>
      </w:r>
      <w:r w:rsidR="00976658">
        <w:rPr>
          <w:rFonts w:cstheme="minorHAnsi"/>
        </w:rPr>
        <w:t>3.873.932</w:t>
      </w:r>
      <w:r w:rsidR="001E45C2" w:rsidRPr="001E45C2">
        <w:rPr>
          <w:rFonts w:cstheme="minorHAnsi"/>
        </w:rPr>
        <w:t xml:space="preserve"> eura</w:t>
      </w:r>
      <w:r w:rsidR="00FF1B73">
        <w:rPr>
          <w:rFonts w:cstheme="minorHAnsi"/>
        </w:rPr>
        <w:t>,</w:t>
      </w:r>
      <w:r w:rsidR="001E45C2">
        <w:rPr>
          <w:rFonts w:cstheme="minorHAnsi"/>
        </w:rPr>
        <w:t xml:space="preserve"> </w:t>
      </w:r>
      <w:r w:rsidR="001E45C2" w:rsidRPr="001C59D5">
        <w:rPr>
          <w:rFonts w:cstheme="minorHAnsi"/>
        </w:rPr>
        <w:t xml:space="preserve">što čini najveći udio u pasivi </w:t>
      </w:r>
      <w:r w:rsidR="00FF1B73" w:rsidRPr="00FF1B73">
        <w:rPr>
          <w:rFonts w:cstheme="minorHAnsi"/>
        </w:rPr>
        <w:t>odnosno 46% ukupnih izvora sredstava.</w:t>
      </w:r>
      <w:r w:rsidR="00FF1B73">
        <w:rPr>
          <w:rFonts w:cstheme="minorHAnsi"/>
        </w:rPr>
        <w:t xml:space="preserve"> </w:t>
      </w:r>
    </w:p>
    <w:p w14:paraId="6252A69F" w14:textId="4BEEFDFC" w:rsidR="009558A9" w:rsidRDefault="00B90759" w:rsidP="00840E6B">
      <w:pPr>
        <w:spacing w:before="120" w:after="0" w:line="360" w:lineRule="auto"/>
        <w:jc w:val="both"/>
        <w:rPr>
          <w:rFonts w:cstheme="minorHAnsi"/>
        </w:rPr>
      </w:pPr>
      <w:r w:rsidRPr="00B90759">
        <w:rPr>
          <w:rFonts w:cstheme="minorHAnsi"/>
        </w:rPr>
        <w:t>U najvećem dijelu riječ je o odgođenim prihodima za buduća razdoblja, temeljem kojih je financirana nabava dugotrajne imovine, i to iz sredstava EU fondova i državnih potpora. Navedeni prihodi predstavljaju primljene pomoći iz IPA fonda Europske unije, Fonda za zaštitu okoliša i energetsku učinkovitost, te lokalno sufinanciranje od strane Primorsko-goranske županije i Grada Rijeke, temeljem ugovora za provedbu projekta izgradnje CGO Marišćina.</w:t>
      </w:r>
      <w:r>
        <w:rPr>
          <w:rFonts w:cstheme="minorHAnsi"/>
        </w:rPr>
        <w:t xml:space="preserve"> </w:t>
      </w:r>
    </w:p>
    <w:p w14:paraId="54FA95F3" w14:textId="3FE39CB7" w:rsidR="00B90759" w:rsidRPr="00B90759" w:rsidRDefault="00B90759" w:rsidP="00840E6B">
      <w:pPr>
        <w:spacing w:before="120" w:after="0" w:line="360" w:lineRule="auto"/>
        <w:jc w:val="both"/>
        <w:rPr>
          <w:rFonts w:cstheme="minorHAnsi"/>
        </w:rPr>
      </w:pPr>
      <w:r w:rsidRPr="00B90759">
        <w:rPr>
          <w:rFonts w:cstheme="minorHAnsi"/>
        </w:rPr>
        <w:lastRenderedPageBreak/>
        <w:t>Odgođeni prihodi obuhvaćaju i primljena sredstva za nabavu dodatne opreme, koja su dodijeljena od strane Primorsko-goranske županije, Fonda za zaštitu okoliša i energetsku učinkovitost te Ministarstva zaštite okoliša i energetike, kao i za sustav otplinjavanja, kojeg je djelomično sufinancirala Primorsko-goranska županija.</w:t>
      </w:r>
    </w:p>
    <w:p w14:paraId="17CF04D2" w14:textId="77777777" w:rsidR="009558A9" w:rsidRPr="001C59D5" w:rsidRDefault="009558A9" w:rsidP="00840E6B">
      <w:pPr>
        <w:spacing w:before="120" w:line="360" w:lineRule="auto"/>
        <w:jc w:val="both"/>
      </w:pPr>
      <w:r w:rsidRPr="001C59D5">
        <w:t>Navedene potpore priznaju se na sustavnoj osnovi kroz sučeljavanje s pripadajućim rashodima, odnosno potpore povezane s materijalnom imovinom koja se amortizira priznaju se u prihode u razdobljima i omjerima u kojima se priznaje trošak amortizacije te imovine.</w:t>
      </w:r>
    </w:p>
    <w:p w14:paraId="022A176D" w14:textId="51767A03" w:rsidR="009558A9" w:rsidRPr="001C59D5" w:rsidRDefault="009558A9" w:rsidP="00840E6B">
      <w:pPr>
        <w:spacing w:before="120" w:line="360" w:lineRule="auto"/>
        <w:jc w:val="both"/>
        <w:rPr>
          <w:rFonts w:cstheme="minorHAnsi"/>
        </w:rPr>
      </w:pPr>
      <w:r w:rsidRPr="001C59D5">
        <w:rPr>
          <w:rFonts w:cstheme="minorHAnsi"/>
        </w:rPr>
        <w:t>Stanje na toj poziciji 31.12.202</w:t>
      </w:r>
      <w:r w:rsidR="00976658">
        <w:rPr>
          <w:rFonts w:cstheme="minorHAnsi"/>
        </w:rPr>
        <w:t>4</w:t>
      </w:r>
      <w:r w:rsidRPr="001C59D5">
        <w:rPr>
          <w:rFonts w:cstheme="minorHAnsi"/>
        </w:rPr>
        <w:t xml:space="preserve">. </w:t>
      </w:r>
      <w:r w:rsidRPr="00D4402C">
        <w:rPr>
          <w:rFonts w:cstheme="minorHAnsi"/>
        </w:rPr>
        <w:t xml:space="preserve">iznosi </w:t>
      </w:r>
      <w:r w:rsidR="001E45C2" w:rsidRPr="001E45C2">
        <w:rPr>
          <w:rFonts w:cstheme="minorHAnsi"/>
        </w:rPr>
        <w:t>1</w:t>
      </w:r>
      <w:r w:rsidR="00976658">
        <w:rPr>
          <w:rFonts w:cstheme="minorHAnsi"/>
        </w:rPr>
        <w:t>3.844.198</w:t>
      </w:r>
      <w:r w:rsidR="00886D9B">
        <w:rPr>
          <w:rFonts w:ascii="Calibri" w:eastAsia="Times New Roman" w:hAnsi="Calibri" w:cs="Calibri"/>
          <w:lang w:eastAsia="hr-HR"/>
        </w:rPr>
        <w:t xml:space="preserve"> eura</w:t>
      </w:r>
      <w:r w:rsidR="001E45C2">
        <w:rPr>
          <w:rFonts w:ascii="Calibri" w:eastAsia="Times New Roman" w:hAnsi="Calibri" w:cs="Calibri"/>
          <w:lang w:eastAsia="hr-HR"/>
        </w:rPr>
        <w:t>.</w:t>
      </w:r>
      <w:r w:rsidRPr="00D07F58">
        <w:rPr>
          <w:rFonts w:cstheme="minorHAnsi"/>
        </w:rPr>
        <w:t xml:space="preserve"> S </w:t>
      </w:r>
      <w:r w:rsidRPr="001C59D5">
        <w:rPr>
          <w:rFonts w:cstheme="minorHAnsi"/>
        </w:rPr>
        <w:t>tog osnova u 202</w:t>
      </w:r>
      <w:r w:rsidR="00976658">
        <w:rPr>
          <w:rFonts w:cstheme="minorHAnsi"/>
        </w:rPr>
        <w:t>4</w:t>
      </w:r>
      <w:r w:rsidRPr="001C59D5">
        <w:rPr>
          <w:rFonts w:cstheme="minorHAnsi"/>
        </w:rPr>
        <w:t xml:space="preserve">. godini </w:t>
      </w:r>
      <w:r w:rsidRPr="00DC1636">
        <w:rPr>
          <w:rFonts w:cstheme="minorHAnsi"/>
        </w:rPr>
        <w:t xml:space="preserve">uprihođeno je </w:t>
      </w:r>
      <w:r w:rsidR="001E45C2">
        <w:rPr>
          <w:rFonts w:cstheme="minorHAnsi"/>
        </w:rPr>
        <w:t>2.2</w:t>
      </w:r>
      <w:r w:rsidR="00976658">
        <w:rPr>
          <w:rFonts w:cstheme="minorHAnsi"/>
        </w:rPr>
        <w:t>19.022</w:t>
      </w:r>
      <w:r w:rsidR="001E45C2">
        <w:rPr>
          <w:rFonts w:cstheme="minorHAnsi"/>
        </w:rPr>
        <w:t xml:space="preserve"> eura</w:t>
      </w:r>
      <w:r w:rsidRPr="00DC1636">
        <w:rPr>
          <w:rFonts w:cstheme="minorHAnsi"/>
        </w:rPr>
        <w:t xml:space="preserve">, </w:t>
      </w:r>
      <w:r w:rsidRPr="001C59D5">
        <w:rPr>
          <w:rFonts w:cstheme="minorHAnsi"/>
        </w:rPr>
        <w:t>a u visini troška amortizacije obračunatog za onu materijalnu imovinu koja se financira iz tih potpora.</w:t>
      </w:r>
    </w:p>
    <w:p w14:paraId="23D17083" w14:textId="25678055" w:rsidR="009558A9" w:rsidRPr="00532DBA" w:rsidRDefault="009558A9" w:rsidP="00840E6B">
      <w:pPr>
        <w:spacing w:before="120" w:line="360" w:lineRule="auto"/>
        <w:rPr>
          <w:rFonts w:cstheme="minorHAnsi"/>
          <w:color w:val="00B0F0"/>
        </w:rPr>
      </w:pPr>
      <w:r w:rsidRPr="001C59D5">
        <w:rPr>
          <w:rFonts w:cstheme="minorHAnsi"/>
        </w:rPr>
        <w:t xml:space="preserve">Obračunati troškovi odnose </w:t>
      </w:r>
      <w:r w:rsidR="00636A64">
        <w:rPr>
          <w:rFonts w:cstheme="minorHAnsi"/>
        </w:rPr>
        <w:t xml:space="preserve">se </w:t>
      </w:r>
      <w:r w:rsidRPr="001C59D5">
        <w:rPr>
          <w:rFonts w:cstheme="minorHAnsi"/>
        </w:rPr>
        <w:t>na troškove za naknadno dobivene račune dobavljača</w:t>
      </w:r>
      <w:r w:rsidR="00740E5B">
        <w:rPr>
          <w:rFonts w:cstheme="minorHAnsi"/>
        </w:rPr>
        <w:t xml:space="preserve"> te iznose </w:t>
      </w:r>
      <w:r w:rsidR="00976658">
        <w:rPr>
          <w:rFonts w:cstheme="minorHAnsi"/>
        </w:rPr>
        <w:t xml:space="preserve">29.734 </w:t>
      </w:r>
      <w:r w:rsidR="001E45C2">
        <w:rPr>
          <w:rFonts w:cstheme="minorHAnsi"/>
        </w:rPr>
        <w:t>eura.</w:t>
      </w:r>
    </w:p>
    <w:bookmarkEnd w:id="0"/>
    <w:p w14:paraId="7D4FE9CD" w14:textId="72D64546" w:rsidR="007F51A0" w:rsidRPr="001C59D5" w:rsidRDefault="007F51A0" w:rsidP="00893A9D">
      <w:pPr>
        <w:spacing w:line="360" w:lineRule="auto"/>
        <w:jc w:val="both"/>
        <w:rPr>
          <w:rFonts w:cstheme="minorHAnsi"/>
        </w:rPr>
      </w:pPr>
      <w:r w:rsidRPr="001C59D5">
        <w:br w:type="page"/>
      </w:r>
    </w:p>
    <w:p w14:paraId="5588F3AB" w14:textId="133E2FDB" w:rsidR="0081765C" w:rsidRPr="00840E6B" w:rsidRDefault="0081765C" w:rsidP="00840E6B">
      <w:pPr>
        <w:spacing w:before="120" w:after="120"/>
        <w:rPr>
          <w:rFonts w:cstheme="minorHAnsi"/>
          <w:b/>
          <w:bCs/>
        </w:rPr>
      </w:pPr>
    </w:p>
    <w:p w14:paraId="04EDC7E0" w14:textId="7F24C65A" w:rsidR="000C63EB" w:rsidRPr="00035996" w:rsidRDefault="0099796E" w:rsidP="00840E6B">
      <w:pPr>
        <w:pStyle w:val="Caption"/>
        <w:keepNext/>
        <w:spacing w:after="240"/>
        <w:rPr>
          <w:rFonts w:cstheme="minorHAnsi"/>
        </w:rPr>
      </w:pPr>
      <w:bookmarkStart w:id="14" w:name="_Toc200366442"/>
      <w:r w:rsidRPr="00A05D04">
        <w:rPr>
          <w:rFonts w:asciiTheme="minorHAnsi" w:hAnsiTheme="minorHAnsi" w:cstheme="minorHAnsi"/>
          <w:sz w:val="22"/>
          <w:szCs w:val="22"/>
        </w:rPr>
        <w:t xml:space="preserve">Tablica </w:t>
      </w:r>
      <w:r w:rsidRPr="00A05D04">
        <w:rPr>
          <w:rFonts w:asciiTheme="minorHAnsi" w:hAnsiTheme="minorHAnsi" w:cstheme="minorHAnsi"/>
          <w:sz w:val="22"/>
          <w:szCs w:val="22"/>
        </w:rPr>
        <w:fldChar w:fldCharType="begin"/>
      </w:r>
      <w:r w:rsidRPr="00A05D04">
        <w:rPr>
          <w:rFonts w:asciiTheme="minorHAnsi" w:hAnsiTheme="minorHAnsi" w:cstheme="minorHAnsi"/>
          <w:sz w:val="22"/>
          <w:szCs w:val="22"/>
        </w:rPr>
        <w:instrText xml:space="preserve"> SEQ Tablica \* ARABIC </w:instrText>
      </w:r>
      <w:r w:rsidRPr="00A05D04">
        <w:rPr>
          <w:rFonts w:asciiTheme="minorHAnsi" w:hAnsiTheme="minorHAnsi" w:cstheme="minorHAnsi"/>
          <w:sz w:val="22"/>
          <w:szCs w:val="22"/>
        </w:rPr>
        <w:fldChar w:fldCharType="separate"/>
      </w:r>
      <w:r w:rsidR="00A1075A">
        <w:rPr>
          <w:rFonts w:asciiTheme="minorHAnsi" w:hAnsiTheme="minorHAnsi" w:cstheme="minorHAnsi"/>
          <w:noProof/>
          <w:sz w:val="22"/>
          <w:szCs w:val="22"/>
        </w:rPr>
        <w:t>4</w:t>
      </w:r>
      <w:r w:rsidRPr="00A05D04">
        <w:rPr>
          <w:rFonts w:asciiTheme="minorHAnsi" w:hAnsiTheme="minorHAnsi" w:cstheme="minorHAnsi"/>
          <w:sz w:val="22"/>
          <w:szCs w:val="22"/>
        </w:rPr>
        <w:fldChar w:fldCharType="end"/>
      </w:r>
      <w:r w:rsidRPr="00A05D04">
        <w:rPr>
          <w:rFonts w:asciiTheme="minorHAnsi" w:hAnsiTheme="minorHAnsi" w:cstheme="minorHAnsi"/>
          <w:sz w:val="22"/>
          <w:szCs w:val="22"/>
        </w:rPr>
        <w:t xml:space="preserve">. </w:t>
      </w:r>
      <w:r w:rsidRPr="00A05D04">
        <w:rPr>
          <w:rFonts w:asciiTheme="minorHAnsi" w:hAnsiTheme="minorHAnsi" w:cstheme="minorHAnsi"/>
          <w:b w:val="0"/>
          <w:bCs w:val="0"/>
          <w:sz w:val="22"/>
          <w:szCs w:val="22"/>
        </w:rPr>
        <w:t>Račun dobiti i gubitka</w:t>
      </w:r>
      <w:r w:rsidR="00EF3CE2">
        <w:rPr>
          <w:rFonts w:asciiTheme="minorHAnsi" w:hAnsiTheme="minorHAnsi" w:cstheme="minorHAnsi"/>
          <w:b w:val="0"/>
          <w:bCs w:val="0"/>
          <w:sz w:val="22"/>
          <w:szCs w:val="22"/>
        </w:rPr>
        <w:t xml:space="preserve"> za 2024. godinu</w:t>
      </w:r>
      <w:bookmarkEnd w:id="14"/>
    </w:p>
    <w:tbl>
      <w:tblPr>
        <w:tblW w:w="98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1"/>
        <w:gridCol w:w="2603"/>
        <w:gridCol w:w="1361"/>
        <w:gridCol w:w="796"/>
        <w:gridCol w:w="796"/>
        <w:gridCol w:w="1301"/>
        <w:gridCol w:w="796"/>
        <w:gridCol w:w="796"/>
        <w:gridCol w:w="796"/>
      </w:tblGrid>
      <w:tr w:rsidR="00F7160C" w:rsidRPr="00F7160C" w14:paraId="19A0A2CC" w14:textId="77777777" w:rsidTr="00EA3940">
        <w:trPr>
          <w:trHeight w:val="308"/>
        </w:trPr>
        <w:tc>
          <w:tcPr>
            <w:tcW w:w="581" w:type="dxa"/>
            <w:vMerge w:val="restart"/>
            <w:tcBorders>
              <w:top w:val="single" w:sz="4" w:space="0" w:color="auto"/>
              <w:bottom w:val="single" w:sz="4" w:space="0" w:color="auto"/>
            </w:tcBorders>
            <w:shd w:val="clear" w:color="auto" w:fill="auto"/>
            <w:vAlign w:val="center"/>
            <w:hideMark/>
          </w:tcPr>
          <w:p w14:paraId="54B38A3B" w14:textId="77777777" w:rsidR="00F7160C" w:rsidRPr="00F7160C" w:rsidRDefault="00F7160C" w:rsidP="00F7160C">
            <w:pPr>
              <w:spacing w:after="0" w:line="240" w:lineRule="auto"/>
              <w:jc w:val="center"/>
              <w:rPr>
                <w:rFonts w:eastAsia="Times New Roman" w:cstheme="minorHAnsi"/>
                <w:b/>
                <w:bCs/>
                <w:sz w:val="18"/>
                <w:szCs w:val="18"/>
                <w:lang w:eastAsia="hr-HR"/>
              </w:rPr>
            </w:pPr>
            <w:r w:rsidRPr="00F7160C">
              <w:rPr>
                <w:rFonts w:eastAsia="Times New Roman" w:cstheme="minorHAnsi"/>
                <w:b/>
                <w:bCs/>
                <w:sz w:val="18"/>
                <w:szCs w:val="18"/>
                <w:lang w:eastAsia="hr-HR"/>
              </w:rPr>
              <w:t>R.br</w:t>
            </w:r>
          </w:p>
        </w:tc>
        <w:tc>
          <w:tcPr>
            <w:tcW w:w="2603" w:type="dxa"/>
            <w:vMerge w:val="restart"/>
            <w:tcBorders>
              <w:top w:val="single" w:sz="4" w:space="0" w:color="auto"/>
              <w:bottom w:val="single" w:sz="4" w:space="0" w:color="auto"/>
            </w:tcBorders>
            <w:shd w:val="clear" w:color="auto" w:fill="auto"/>
            <w:vAlign w:val="center"/>
            <w:hideMark/>
          </w:tcPr>
          <w:p w14:paraId="06CADF44" w14:textId="77777777" w:rsidR="00F7160C" w:rsidRPr="00F7160C" w:rsidRDefault="00F7160C" w:rsidP="00F7160C">
            <w:pPr>
              <w:spacing w:after="0" w:line="240" w:lineRule="auto"/>
              <w:jc w:val="center"/>
              <w:rPr>
                <w:rFonts w:eastAsia="Times New Roman" w:cstheme="minorHAnsi"/>
                <w:b/>
                <w:bCs/>
                <w:sz w:val="18"/>
                <w:szCs w:val="18"/>
                <w:lang w:eastAsia="hr-HR"/>
              </w:rPr>
            </w:pPr>
            <w:r w:rsidRPr="00F7160C">
              <w:rPr>
                <w:rFonts w:eastAsia="Times New Roman" w:cstheme="minorHAnsi"/>
                <w:b/>
                <w:bCs/>
                <w:sz w:val="18"/>
                <w:szCs w:val="18"/>
                <w:lang w:eastAsia="hr-HR"/>
              </w:rPr>
              <w:t>Opis</w:t>
            </w:r>
          </w:p>
        </w:tc>
        <w:tc>
          <w:tcPr>
            <w:tcW w:w="1361" w:type="dxa"/>
            <w:vMerge w:val="restart"/>
            <w:tcBorders>
              <w:top w:val="single" w:sz="4" w:space="0" w:color="auto"/>
              <w:bottom w:val="single" w:sz="4" w:space="0" w:color="auto"/>
            </w:tcBorders>
            <w:shd w:val="clear" w:color="auto" w:fill="auto"/>
            <w:vAlign w:val="center"/>
            <w:hideMark/>
          </w:tcPr>
          <w:p w14:paraId="2FE3E169" w14:textId="1E800A77" w:rsidR="00F7160C" w:rsidRPr="00F7160C" w:rsidRDefault="00F7160C" w:rsidP="00F7160C">
            <w:pPr>
              <w:spacing w:after="0" w:line="240" w:lineRule="auto"/>
              <w:jc w:val="center"/>
              <w:rPr>
                <w:rFonts w:eastAsia="Times New Roman" w:cstheme="minorHAnsi"/>
                <w:b/>
                <w:bCs/>
                <w:sz w:val="18"/>
                <w:szCs w:val="18"/>
                <w:lang w:eastAsia="hr-HR"/>
              </w:rPr>
            </w:pPr>
            <w:r w:rsidRPr="00F7160C">
              <w:rPr>
                <w:rFonts w:eastAsia="Times New Roman" w:cstheme="minorHAnsi"/>
                <w:b/>
                <w:bCs/>
                <w:sz w:val="18"/>
                <w:szCs w:val="18"/>
                <w:lang w:eastAsia="hr-HR"/>
              </w:rPr>
              <w:t>Ostvarenje 202</w:t>
            </w:r>
            <w:r w:rsidR="00D76548">
              <w:rPr>
                <w:rFonts w:eastAsia="Times New Roman" w:cstheme="minorHAnsi"/>
                <w:b/>
                <w:bCs/>
                <w:sz w:val="18"/>
                <w:szCs w:val="18"/>
                <w:lang w:eastAsia="hr-HR"/>
              </w:rPr>
              <w:t>3</w:t>
            </w:r>
          </w:p>
        </w:tc>
        <w:tc>
          <w:tcPr>
            <w:tcW w:w="1592" w:type="dxa"/>
            <w:gridSpan w:val="2"/>
            <w:tcBorders>
              <w:top w:val="single" w:sz="4" w:space="0" w:color="auto"/>
              <w:bottom w:val="nil"/>
            </w:tcBorders>
            <w:shd w:val="clear" w:color="auto" w:fill="auto"/>
            <w:vAlign w:val="center"/>
            <w:hideMark/>
          </w:tcPr>
          <w:p w14:paraId="544B4B57" w14:textId="77777777" w:rsidR="00F7160C" w:rsidRPr="00F7160C" w:rsidRDefault="00F7160C" w:rsidP="00F7160C">
            <w:pPr>
              <w:spacing w:after="0" w:line="240" w:lineRule="auto"/>
              <w:jc w:val="center"/>
              <w:rPr>
                <w:rFonts w:eastAsia="Times New Roman" w:cstheme="minorHAnsi"/>
                <w:b/>
                <w:bCs/>
                <w:sz w:val="18"/>
                <w:szCs w:val="18"/>
                <w:lang w:eastAsia="hr-HR"/>
              </w:rPr>
            </w:pPr>
            <w:r w:rsidRPr="00F7160C">
              <w:rPr>
                <w:rFonts w:eastAsia="Times New Roman" w:cstheme="minorHAnsi"/>
                <w:b/>
                <w:bCs/>
                <w:sz w:val="18"/>
                <w:szCs w:val="18"/>
                <w:lang w:eastAsia="hr-HR"/>
              </w:rPr>
              <w:t>Struktura %</w:t>
            </w:r>
          </w:p>
        </w:tc>
        <w:tc>
          <w:tcPr>
            <w:tcW w:w="1301" w:type="dxa"/>
            <w:vMerge w:val="restart"/>
            <w:tcBorders>
              <w:top w:val="single" w:sz="4" w:space="0" w:color="auto"/>
              <w:bottom w:val="single" w:sz="4" w:space="0" w:color="auto"/>
            </w:tcBorders>
            <w:shd w:val="clear" w:color="auto" w:fill="auto"/>
            <w:vAlign w:val="center"/>
            <w:hideMark/>
          </w:tcPr>
          <w:p w14:paraId="67962C68" w14:textId="6CCC59C3" w:rsidR="00F7160C" w:rsidRPr="00F7160C" w:rsidRDefault="00F7160C" w:rsidP="00F7160C">
            <w:pPr>
              <w:spacing w:after="0" w:line="240" w:lineRule="auto"/>
              <w:jc w:val="center"/>
              <w:rPr>
                <w:rFonts w:eastAsia="Times New Roman" w:cstheme="minorHAnsi"/>
                <w:b/>
                <w:bCs/>
                <w:sz w:val="18"/>
                <w:szCs w:val="18"/>
                <w:lang w:eastAsia="hr-HR"/>
              </w:rPr>
            </w:pPr>
            <w:r w:rsidRPr="00F7160C">
              <w:rPr>
                <w:rFonts w:eastAsia="Times New Roman" w:cstheme="minorHAnsi"/>
                <w:b/>
                <w:bCs/>
                <w:sz w:val="18"/>
                <w:szCs w:val="18"/>
                <w:lang w:eastAsia="hr-HR"/>
              </w:rPr>
              <w:t>Ostvarenje 202</w:t>
            </w:r>
            <w:r w:rsidR="00D76548">
              <w:rPr>
                <w:rFonts w:eastAsia="Times New Roman" w:cstheme="minorHAnsi"/>
                <w:b/>
                <w:bCs/>
                <w:sz w:val="18"/>
                <w:szCs w:val="18"/>
                <w:lang w:eastAsia="hr-HR"/>
              </w:rPr>
              <w:t>4</w:t>
            </w:r>
          </w:p>
        </w:tc>
        <w:tc>
          <w:tcPr>
            <w:tcW w:w="1592" w:type="dxa"/>
            <w:gridSpan w:val="2"/>
            <w:tcBorders>
              <w:top w:val="single" w:sz="4" w:space="0" w:color="auto"/>
              <w:bottom w:val="nil"/>
            </w:tcBorders>
            <w:shd w:val="clear" w:color="auto" w:fill="auto"/>
            <w:vAlign w:val="center"/>
            <w:hideMark/>
          </w:tcPr>
          <w:p w14:paraId="07328FE4" w14:textId="77777777" w:rsidR="00F7160C" w:rsidRPr="00F7160C" w:rsidRDefault="00F7160C" w:rsidP="00F7160C">
            <w:pPr>
              <w:spacing w:after="0" w:line="240" w:lineRule="auto"/>
              <w:jc w:val="center"/>
              <w:rPr>
                <w:rFonts w:eastAsia="Times New Roman" w:cstheme="minorHAnsi"/>
                <w:b/>
                <w:bCs/>
                <w:sz w:val="18"/>
                <w:szCs w:val="18"/>
                <w:lang w:eastAsia="hr-HR"/>
              </w:rPr>
            </w:pPr>
            <w:r w:rsidRPr="00F7160C">
              <w:rPr>
                <w:rFonts w:eastAsia="Times New Roman" w:cstheme="minorHAnsi"/>
                <w:b/>
                <w:bCs/>
                <w:sz w:val="18"/>
                <w:szCs w:val="18"/>
                <w:lang w:eastAsia="hr-HR"/>
              </w:rPr>
              <w:t>Struktura %</w:t>
            </w:r>
          </w:p>
        </w:tc>
        <w:tc>
          <w:tcPr>
            <w:tcW w:w="796" w:type="dxa"/>
            <w:vMerge w:val="restart"/>
            <w:tcBorders>
              <w:top w:val="single" w:sz="4" w:space="0" w:color="auto"/>
              <w:bottom w:val="single" w:sz="4" w:space="0" w:color="auto"/>
            </w:tcBorders>
            <w:shd w:val="clear" w:color="auto" w:fill="auto"/>
            <w:vAlign w:val="center"/>
            <w:hideMark/>
          </w:tcPr>
          <w:p w14:paraId="39C6C5D7" w14:textId="77777777" w:rsidR="00F7160C" w:rsidRPr="00F7160C" w:rsidRDefault="00F7160C" w:rsidP="00F7160C">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index               (6/3)</w:t>
            </w:r>
          </w:p>
        </w:tc>
      </w:tr>
      <w:tr w:rsidR="00F7160C" w:rsidRPr="00F7160C" w14:paraId="080AE74D" w14:textId="77777777" w:rsidTr="00EA3940">
        <w:trPr>
          <w:trHeight w:val="308"/>
        </w:trPr>
        <w:tc>
          <w:tcPr>
            <w:tcW w:w="581" w:type="dxa"/>
            <w:vMerge/>
            <w:tcBorders>
              <w:top w:val="single" w:sz="4" w:space="0" w:color="auto"/>
              <w:bottom w:val="single" w:sz="4" w:space="0" w:color="auto"/>
            </w:tcBorders>
            <w:vAlign w:val="center"/>
            <w:hideMark/>
          </w:tcPr>
          <w:p w14:paraId="42922FD8" w14:textId="77777777" w:rsidR="00F7160C" w:rsidRPr="00F7160C" w:rsidRDefault="00F7160C" w:rsidP="00F7160C">
            <w:pPr>
              <w:spacing w:after="0" w:line="240" w:lineRule="auto"/>
              <w:rPr>
                <w:rFonts w:eastAsia="Times New Roman" w:cstheme="minorHAnsi"/>
                <w:b/>
                <w:bCs/>
                <w:sz w:val="18"/>
                <w:szCs w:val="18"/>
                <w:lang w:eastAsia="hr-HR"/>
              </w:rPr>
            </w:pPr>
          </w:p>
        </w:tc>
        <w:tc>
          <w:tcPr>
            <w:tcW w:w="2603" w:type="dxa"/>
            <w:vMerge/>
            <w:tcBorders>
              <w:top w:val="single" w:sz="4" w:space="0" w:color="auto"/>
              <w:bottom w:val="single" w:sz="4" w:space="0" w:color="auto"/>
            </w:tcBorders>
            <w:vAlign w:val="center"/>
            <w:hideMark/>
          </w:tcPr>
          <w:p w14:paraId="7D425319" w14:textId="77777777" w:rsidR="00F7160C" w:rsidRPr="00F7160C" w:rsidRDefault="00F7160C" w:rsidP="00F7160C">
            <w:pPr>
              <w:spacing w:after="0" w:line="240" w:lineRule="auto"/>
              <w:rPr>
                <w:rFonts w:eastAsia="Times New Roman" w:cstheme="minorHAnsi"/>
                <w:b/>
                <w:bCs/>
                <w:sz w:val="18"/>
                <w:szCs w:val="18"/>
                <w:lang w:eastAsia="hr-HR"/>
              </w:rPr>
            </w:pPr>
          </w:p>
        </w:tc>
        <w:tc>
          <w:tcPr>
            <w:tcW w:w="1361" w:type="dxa"/>
            <w:vMerge/>
            <w:tcBorders>
              <w:top w:val="single" w:sz="4" w:space="0" w:color="auto"/>
              <w:bottom w:val="single" w:sz="4" w:space="0" w:color="auto"/>
            </w:tcBorders>
            <w:vAlign w:val="center"/>
            <w:hideMark/>
          </w:tcPr>
          <w:p w14:paraId="747AD9EB" w14:textId="77777777" w:rsidR="00F7160C" w:rsidRPr="00F7160C" w:rsidRDefault="00F7160C" w:rsidP="00F7160C">
            <w:pPr>
              <w:spacing w:after="0" w:line="240" w:lineRule="auto"/>
              <w:rPr>
                <w:rFonts w:eastAsia="Times New Roman" w:cstheme="minorHAnsi"/>
                <w:b/>
                <w:bCs/>
                <w:sz w:val="18"/>
                <w:szCs w:val="18"/>
                <w:lang w:eastAsia="hr-HR"/>
              </w:rPr>
            </w:pPr>
          </w:p>
        </w:tc>
        <w:tc>
          <w:tcPr>
            <w:tcW w:w="796" w:type="dxa"/>
            <w:tcBorders>
              <w:top w:val="nil"/>
              <w:bottom w:val="single" w:sz="4" w:space="0" w:color="auto"/>
            </w:tcBorders>
            <w:shd w:val="clear" w:color="auto" w:fill="auto"/>
            <w:vAlign w:val="center"/>
            <w:hideMark/>
          </w:tcPr>
          <w:p w14:paraId="280705AF" w14:textId="77777777" w:rsidR="00F7160C" w:rsidRPr="00F7160C" w:rsidRDefault="00F7160C" w:rsidP="00F7160C">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u prih.</w:t>
            </w:r>
          </w:p>
        </w:tc>
        <w:tc>
          <w:tcPr>
            <w:tcW w:w="796" w:type="dxa"/>
            <w:tcBorders>
              <w:top w:val="nil"/>
              <w:bottom w:val="single" w:sz="4" w:space="0" w:color="auto"/>
            </w:tcBorders>
            <w:shd w:val="clear" w:color="auto" w:fill="auto"/>
            <w:vAlign w:val="center"/>
            <w:hideMark/>
          </w:tcPr>
          <w:p w14:paraId="3071C10C" w14:textId="77777777" w:rsidR="00F7160C" w:rsidRPr="00F7160C" w:rsidRDefault="00F7160C" w:rsidP="00F7160C">
            <w:pPr>
              <w:spacing w:after="0" w:line="240" w:lineRule="auto"/>
              <w:jc w:val="center"/>
              <w:rPr>
                <w:rFonts w:eastAsia="Times New Roman" w:cstheme="minorHAnsi"/>
                <w:sz w:val="18"/>
                <w:szCs w:val="18"/>
                <w:lang w:eastAsia="hr-HR"/>
              </w:rPr>
            </w:pPr>
            <w:r w:rsidRPr="00F7160C">
              <w:rPr>
                <w:rFonts w:eastAsia="Times New Roman" w:cstheme="minorHAnsi"/>
                <w:sz w:val="18"/>
                <w:szCs w:val="18"/>
                <w:lang w:eastAsia="hr-HR"/>
              </w:rPr>
              <w:t>u rash.</w:t>
            </w:r>
          </w:p>
        </w:tc>
        <w:tc>
          <w:tcPr>
            <w:tcW w:w="1301" w:type="dxa"/>
            <w:vMerge/>
            <w:tcBorders>
              <w:top w:val="single" w:sz="4" w:space="0" w:color="auto"/>
              <w:bottom w:val="single" w:sz="4" w:space="0" w:color="auto"/>
            </w:tcBorders>
            <w:vAlign w:val="center"/>
            <w:hideMark/>
          </w:tcPr>
          <w:p w14:paraId="1707C539" w14:textId="77777777" w:rsidR="00F7160C" w:rsidRPr="00F7160C" w:rsidRDefault="00F7160C" w:rsidP="00F7160C">
            <w:pPr>
              <w:spacing w:after="0" w:line="240" w:lineRule="auto"/>
              <w:rPr>
                <w:rFonts w:eastAsia="Times New Roman" w:cstheme="minorHAnsi"/>
                <w:b/>
                <w:bCs/>
                <w:sz w:val="18"/>
                <w:szCs w:val="18"/>
                <w:lang w:eastAsia="hr-HR"/>
              </w:rPr>
            </w:pPr>
          </w:p>
        </w:tc>
        <w:tc>
          <w:tcPr>
            <w:tcW w:w="796" w:type="dxa"/>
            <w:tcBorders>
              <w:top w:val="nil"/>
              <w:bottom w:val="single" w:sz="4" w:space="0" w:color="auto"/>
            </w:tcBorders>
            <w:shd w:val="clear" w:color="auto" w:fill="auto"/>
            <w:vAlign w:val="center"/>
            <w:hideMark/>
          </w:tcPr>
          <w:p w14:paraId="2025E9B6" w14:textId="77777777" w:rsidR="00F7160C" w:rsidRPr="00F7160C" w:rsidRDefault="00F7160C" w:rsidP="00F7160C">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u prih.</w:t>
            </w:r>
          </w:p>
        </w:tc>
        <w:tc>
          <w:tcPr>
            <w:tcW w:w="796" w:type="dxa"/>
            <w:tcBorders>
              <w:top w:val="nil"/>
              <w:bottom w:val="single" w:sz="4" w:space="0" w:color="auto"/>
            </w:tcBorders>
            <w:shd w:val="clear" w:color="auto" w:fill="auto"/>
            <w:vAlign w:val="center"/>
            <w:hideMark/>
          </w:tcPr>
          <w:p w14:paraId="6983A1F6" w14:textId="77777777" w:rsidR="00F7160C" w:rsidRPr="00F7160C" w:rsidRDefault="00F7160C" w:rsidP="00F7160C">
            <w:pPr>
              <w:spacing w:after="0" w:line="240" w:lineRule="auto"/>
              <w:jc w:val="center"/>
              <w:rPr>
                <w:rFonts w:eastAsia="Times New Roman" w:cstheme="minorHAnsi"/>
                <w:sz w:val="18"/>
                <w:szCs w:val="18"/>
                <w:lang w:eastAsia="hr-HR"/>
              </w:rPr>
            </w:pPr>
            <w:r w:rsidRPr="00F7160C">
              <w:rPr>
                <w:rFonts w:eastAsia="Times New Roman" w:cstheme="minorHAnsi"/>
                <w:sz w:val="18"/>
                <w:szCs w:val="18"/>
                <w:lang w:eastAsia="hr-HR"/>
              </w:rPr>
              <w:t>u rash.</w:t>
            </w:r>
          </w:p>
        </w:tc>
        <w:tc>
          <w:tcPr>
            <w:tcW w:w="796" w:type="dxa"/>
            <w:vMerge/>
            <w:tcBorders>
              <w:top w:val="single" w:sz="4" w:space="0" w:color="auto"/>
              <w:bottom w:val="single" w:sz="4" w:space="0" w:color="auto"/>
            </w:tcBorders>
            <w:vAlign w:val="center"/>
            <w:hideMark/>
          </w:tcPr>
          <w:p w14:paraId="79E95911" w14:textId="77777777" w:rsidR="00F7160C" w:rsidRPr="00F7160C" w:rsidRDefault="00F7160C" w:rsidP="00F7160C">
            <w:pPr>
              <w:spacing w:after="0" w:line="240" w:lineRule="auto"/>
              <w:rPr>
                <w:rFonts w:eastAsia="Times New Roman" w:cstheme="minorHAnsi"/>
                <w:b/>
                <w:bCs/>
                <w:color w:val="000000"/>
                <w:sz w:val="18"/>
                <w:szCs w:val="18"/>
                <w:lang w:eastAsia="hr-HR"/>
              </w:rPr>
            </w:pPr>
          </w:p>
        </w:tc>
      </w:tr>
      <w:tr w:rsidR="00F7160C" w:rsidRPr="00F7160C" w14:paraId="44A1DB7E" w14:textId="77777777" w:rsidTr="00EA3940">
        <w:trPr>
          <w:trHeight w:val="113"/>
        </w:trPr>
        <w:tc>
          <w:tcPr>
            <w:tcW w:w="581" w:type="dxa"/>
            <w:tcBorders>
              <w:top w:val="single" w:sz="4" w:space="0" w:color="auto"/>
              <w:bottom w:val="single" w:sz="4" w:space="0" w:color="auto"/>
            </w:tcBorders>
            <w:shd w:val="clear" w:color="auto" w:fill="auto"/>
            <w:noWrap/>
            <w:vAlign w:val="center"/>
            <w:hideMark/>
          </w:tcPr>
          <w:p w14:paraId="25582DD8"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1</w:t>
            </w:r>
          </w:p>
        </w:tc>
        <w:tc>
          <w:tcPr>
            <w:tcW w:w="2603" w:type="dxa"/>
            <w:tcBorders>
              <w:top w:val="single" w:sz="4" w:space="0" w:color="auto"/>
              <w:bottom w:val="single" w:sz="4" w:space="0" w:color="auto"/>
            </w:tcBorders>
            <w:shd w:val="clear" w:color="auto" w:fill="auto"/>
            <w:vAlign w:val="center"/>
            <w:hideMark/>
          </w:tcPr>
          <w:p w14:paraId="42E38C23"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2</w:t>
            </w:r>
          </w:p>
        </w:tc>
        <w:tc>
          <w:tcPr>
            <w:tcW w:w="1361" w:type="dxa"/>
            <w:tcBorders>
              <w:top w:val="single" w:sz="4" w:space="0" w:color="auto"/>
              <w:bottom w:val="single" w:sz="4" w:space="0" w:color="auto"/>
            </w:tcBorders>
            <w:shd w:val="clear" w:color="auto" w:fill="auto"/>
            <w:vAlign w:val="center"/>
            <w:hideMark/>
          </w:tcPr>
          <w:p w14:paraId="2E83FE4C"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3</w:t>
            </w:r>
          </w:p>
        </w:tc>
        <w:tc>
          <w:tcPr>
            <w:tcW w:w="796" w:type="dxa"/>
            <w:tcBorders>
              <w:top w:val="single" w:sz="4" w:space="0" w:color="auto"/>
              <w:bottom w:val="single" w:sz="4" w:space="0" w:color="auto"/>
            </w:tcBorders>
            <w:shd w:val="clear" w:color="auto" w:fill="auto"/>
            <w:vAlign w:val="center"/>
            <w:hideMark/>
          </w:tcPr>
          <w:p w14:paraId="18BF6C73"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4</w:t>
            </w:r>
          </w:p>
        </w:tc>
        <w:tc>
          <w:tcPr>
            <w:tcW w:w="796" w:type="dxa"/>
            <w:tcBorders>
              <w:top w:val="single" w:sz="4" w:space="0" w:color="auto"/>
              <w:bottom w:val="single" w:sz="4" w:space="0" w:color="auto"/>
            </w:tcBorders>
            <w:shd w:val="clear" w:color="auto" w:fill="auto"/>
            <w:vAlign w:val="center"/>
            <w:hideMark/>
          </w:tcPr>
          <w:p w14:paraId="02B02C28"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5</w:t>
            </w:r>
          </w:p>
        </w:tc>
        <w:tc>
          <w:tcPr>
            <w:tcW w:w="1301" w:type="dxa"/>
            <w:tcBorders>
              <w:top w:val="single" w:sz="4" w:space="0" w:color="auto"/>
              <w:bottom w:val="single" w:sz="4" w:space="0" w:color="auto"/>
            </w:tcBorders>
            <w:shd w:val="clear" w:color="auto" w:fill="auto"/>
            <w:vAlign w:val="center"/>
            <w:hideMark/>
          </w:tcPr>
          <w:p w14:paraId="3B9AACBC"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6</w:t>
            </w:r>
          </w:p>
        </w:tc>
        <w:tc>
          <w:tcPr>
            <w:tcW w:w="796" w:type="dxa"/>
            <w:tcBorders>
              <w:top w:val="single" w:sz="4" w:space="0" w:color="auto"/>
              <w:bottom w:val="single" w:sz="4" w:space="0" w:color="auto"/>
            </w:tcBorders>
            <w:shd w:val="clear" w:color="auto" w:fill="auto"/>
            <w:vAlign w:val="center"/>
            <w:hideMark/>
          </w:tcPr>
          <w:p w14:paraId="37E1769A"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7</w:t>
            </w:r>
          </w:p>
        </w:tc>
        <w:tc>
          <w:tcPr>
            <w:tcW w:w="796" w:type="dxa"/>
            <w:tcBorders>
              <w:top w:val="single" w:sz="4" w:space="0" w:color="auto"/>
              <w:bottom w:val="single" w:sz="4" w:space="0" w:color="auto"/>
            </w:tcBorders>
            <w:shd w:val="clear" w:color="auto" w:fill="auto"/>
            <w:vAlign w:val="center"/>
            <w:hideMark/>
          </w:tcPr>
          <w:p w14:paraId="5F8FB54E"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8</w:t>
            </w:r>
          </w:p>
        </w:tc>
        <w:tc>
          <w:tcPr>
            <w:tcW w:w="796" w:type="dxa"/>
            <w:tcBorders>
              <w:top w:val="single" w:sz="4" w:space="0" w:color="auto"/>
              <w:bottom w:val="single" w:sz="4" w:space="0" w:color="auto"/>
            </w:tcBorders>
            <w:shd w:val="clear" w:color="auto" w:fill="auto"/>
            <w:vAlign w:val="center"/>
            <w:hideMark/>
          </w:tcPr>
          <w:p w14:paraId="272B567E" w14:textId="77777777" w:rsidR="00F7160C" w:rsidRPr="00F7160C" w:rsidRDefault="00F7160C" w:rsidP="00F7160C">
            <w:pPr>
              <w:spacing w:after="0" w:line="240" w:lineRule="auto"/>
              <w:jc w:val="center"/>
              <w:rPr>
                <w:rFonts w:eastAsia="Times New Roman" w:cstheme="minorHAnsi"/>
                <w:b/>
                <w:bCs/>
                <w:i/>
                <w:iCs/>
                <w:color w:val="E7E6E6"/>
                <w:sz w:val="14"/>
                <w:szCs w:val="14"/>
                <w:lang w:eastAsia="hr-HR"/>
              </w:rPr>
            </w:pPr>
            <w:r w:rsidRPr="00F7160C">
              <w:rPr>
                <w:rFonts w:eastAsia="Times New Roman" w:cstheme="minorHAnsi"/>
                <w:b/>
                <w:bCs/>
                <w:i/>
                <w:iCs/>
                <w:color w:val="E7E6E6"/>
                <w:sz w:val="14"/>
                <w:szCs w:val="14"/>
                <w:lang w:eastAsia="hr-HR"/>
              </w:rPr>
              <w:t>9</w:t>
            </w:r>
          </w:p>
        </w:tc>
      </w:tr>
      <w:tr w:rsidR="00EA3940" w:rsidRPr="00F7160C" w14:paraId="1AC26F13" w14:textId="77777777" w:rsidTr="00EA3940">
        <w:trPr>
          <w:trHeight w:val="340"/>
        </w:trPr>
        <w:tc>
          <w:tcPr>
            <w:tcW w:w="581" w:type="dxa"/>
            <w:tcBorders>
              <w:top w:val="single" w:sz="4" w:space="0" w:color="auto"/>
            </w:tcBorders>
            <w:shd w:val="clear" w:color="auto" w:fill="auto"/>
            <w:noWrap/>
            <w:vAlign w:val="center"/>
            <w:hideMark/>
          </w:tcPr>
          <w:p w14:paraId="106E41B3"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1.</w:t>
            </w:r>
          </w:p>
        </w:tc>
        <w:tc>
          <w:tcPr>
            <w:tcW w:w="2603" w:type="dxa"/>
            <w:tcBorders>
              <w:top w:val="single" w:sz="4" w:space="0" w:color="auto"/>
            </w:tcBorders>
            <w:shd w:val="clear" w:color="auto" w:fill="auto"/>
            <w:vAlign w:val="center"/>
            <w:hideMark/>
          </w:tcPr>
          <w:p w14:paraId="70DB2A18"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 xml:space="preserve">POSLOVNI PRIHODI </w:t>
            </w:r>
          </w:p>
        </w:tc>
        <w:tc>
          <w:tcPr>
            <w:tcW w:w="1361" w:type="dxa"/>
            <w:tcBorders>
              <w:top w:val="single" w:sz="4" w:space="0" w:color="auto"/>
            </w:tcBorders>
            <w:shd w:val="clear" w:color="auto" w:fill="auto"/>
            <w:noWrap/>
            <w:vAlign w:val="bottom"/>
            <w:hideMark/>
          </w:tcPr>
          <w:p w14:paraId="22EAD228" w14:textId="6964B3D7" w:rsidR="00EA3940" w:rsidRPr="00F7160C" w:rsidRDefault="00EA3940" w:rsidP="00EA3940">
            <w:pPr>
              <w:spacing w:after="0" w:line="240" w:lineRule="auto"/>
              <w:jc w:val="center"/>
              <w:rPr>
                <w:rFonts w:eastAsia="Times New Roman" w:cstheme="minorHAnsi"/>
                <w:b/>
                <w:bCs/>
                <w:sz w:val="18"/>
                <w:szCs w:val="18"/>
                <w:lang w:eastAsia="hr-HR"/>
              </w:rPr>
            </w:pPr>
            <w:r w:rsidRPr="00F7160C">
              <w:rPr>
                <w:rFonts w:eastAsia="Times New Roman" w:cstheme="minorHAnsi"/>
                <w:b/>
                <w:bCs/>
                <w:color w:val="000000"/>
                <w:sz w:val="18"/>
                <w:szCs w:val="18"/>
                <w:lang w:eastAsia="hr-HR"/>
              </w:rPr>
              <w:t>12.594.286</w:t>
            </w:r>
          </w:p>
        </w:tc>
        <w:tc>
          <w:tcPr>
            <w:tcW w:w="796" w:type="dxa"/>
            <w:tcBorders>
              <w:top w:val="single" w:sz="4" w:space="0" w:color="auto"/>
            </w:tcBorders>
            <w:shd w:val="clear" w:color="auto" w:fill="auto"/>
            <w:noWrap/>
            <w:vAlign w:val="bottom"/>
            <w:hideMark/>
          </w:tcPr>
          <w:p w14:paraId="258D10B0" w14:textId="512843C2"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99,40%</w:t>
            </w:r>
          </w:p>
        </w:tc>
        <w:tc>
          <w:tcPr>
            <w:tcW w:w="796" w:type="dxa"/>
            <w:tcBorders>
              <w:top w:val="single" w:sz="4" w:space="0" w:color="auto"/>
            </w:tcBorders>
            <w:shd w:val="clear" w:color="auto" w:fill="auto"/>
            <w:noWrap/>
            <w:vAlign w:val="bottom"/>
            <w:hideMark/>
          </w:tcPr>
          <w:p w14:paraId="2FC606B5" w14:textId="258391DD"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1301" w:type="dxa"/>
            <w:tcBorders>
              <w:top w:val="single" w:sz="4" w:space="0" w:color="auto"/>
            </w:tcBorders>
            <w:shd w:val="clear" w:color="auto" w:fill="auto"/>
            <w:noWrap/>
            <w:vAlign w:val="bottom"/>
            <w:hideMark/>
          </w:tcPr>
          <w:p w14:paraId="5AFC0E44" w14:textId="42E3AE8C"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12.568.066</w:t>
            </w:r>
          </w:p>
        </w:tc>
        <w:tc>
          <w:tcPr>
            <w:tcW w:w="796" w:type="dxa"/>
            <w:tcBorders>
              <w:top w:val="single" w:sz="4" w:space="0" w:color="auto"/>
            </w:tcBorders>
            <w:shd w:val="clear" w:color="auto" w:fill="auto"/>
            <w:noWrap/>
            <w:vAlign w:val="bottom"/>
            <w:hideMark/>
          </w:tcPr>
          <w:p w14:paraId="12BC2F9B" w14:textId="3D9D8F36"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99,45%</w:t>
            </w:r>
          </w:p>
        </w:tc>
        <w:tc>
          <w:tcPr>
            <w:tcW w:w="796" w:type="dxa"/>
            <w:tcBorders>
              <w:top w:val="single" w:sz="4" w:space="0" w:color="auto"/>
            </w:tcBorders>
            <w:shd w:val="clear" w:color="auto" w:fill="auto"/>
            <w:noWrap/>
            <w:vAlign w:val="bottom"/>
            <w:hideMark/>
          </w:tcPr>
          <w:p w14:paraId="587B0C2C" w14:textId="437F9CBB"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tcBorders>
              <w:top w:val="single" w:sz="4" w:space="0" w:color="auto"/>
            </w:tcBorders>
            <w:shd w:val="clear" w:color="auto" w:fill="auto"/>
            <w:noWrap/>
            <w:vAlign w:val="bottom"/>
            <w:hideMark/>
          </w:tcPr>
          <w:p w14:paraId="038EDD0A" w14:textId="013B91DB"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100%</w:t>
            </w:r>
          </w:p>
        </w:tc>
      </w:tr>
      <w:tr w:rsidR="00EA3940" w:rsidRPr="00F7160C" w14:paraId="5E7D1B08" w14:textId="77777777" w:rsidTr="00EA3940">
        <w:trPr>
          <w:trHeight w:val="340"/>
        </w:trPr>
        <w:tc>
          <w:tcPr>
            <w:tcW w:w="581" w:type="dxa"/>
            <w:shd w:val="clear" w:color="auto" w:fill="auto"/>
            <w:noWrap/>
            <w:vAlign w:val="center"/>
            <w:hideMark/>
          </w:tcPr>
          <w:p w14:paraId="302BE659"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1.1</w:t>
            </w:r>
          </w:p>
        </w:tc>
        <w:tc>
          <w:tcPr>
            <w:tcW w:w="2603" w:type="dxa"/>
            <w:shd w:val="clear" w:color="auto" w:fill="auto"/>
            <w:vAlign w:val="center"/>
            <w:hideMark/>
          </w:tcPr>
          <w:p w14:paraId="1F30B1E3"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Prihodi od prodaje</w:t>
            </w:r>
          </w:p>
        </w:tc>
        <w:tc>
          <w:tcPr>
            <w:tcW w:w="1361" w:type="dxa"/>
            <w:shd w:val="clear" w:color="auto" w:fill="auto"/>
            <w:noWrap/>
            <w:vAlign w:val="bottom"/>
            <w:hideMark/>
          </w:tcPr>
          <w:p w14:paraId="2A2504DE" w14:textId="206C97BD"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sz w:val="18"/>
                <w:szCs w:val="18"/>
                <w:lang w:eastAsia="hr-HR"/>
              </w:rPr>
              <w:t>9.728.107</w:t>
            </w:r>
          </w:p>
        </w:tc>
        <w:tc>
          <w:tcPr>
            <w:tcW w:w="796" w:type="dxa"/>
            <w:shd w:val="clear" w:color="auto" w:fill="auto"/>
            <w:noWrap/>
            <w:vAlign w:val="bottom"/>
            <w:hideMark/>
          </w:tcPr>
          <w:p w14:paraId="6938835A" w14:textId="5D60A1EF"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76,78%</w:t>
            </w:r>
          </w:p>
        </w:tc>
        <w:tc>
          <w:tcPr>
            <w:tcW w:w="796" w:type="dxa"/>
            <w:shd w:val="clear" w:color="auto" w:fill="auto"/>
            <w:noWrap/>
            <w:vAlign w:val="bottom"/>
            <w:hideMark/>
          </w:tcPr>
          <w:p w14:paraId="3813F135" w14:textId="11AC9CC9" w:rsidR="00EA3940" w:rsidRPr="00F7160C" w:rsidRDefault="00EA3940" w:rsidP="00EA3940">
            <w:pPr>
              <w:spacing w:after="0" w:line="240" w:lineRule="auto"/>
              <w:jc w:val="center"/>
              <w:rPr>
                <w:rFonts w:eastAsia="Times New Roman" w:cstheme="minorHAnsi"/>
                <w:sz w:val="18"/>
                <w:szCs w:val="18"/>
                <w:lang w:eastAsia="hr-HR"/>
              </w:rPr>
            </w:pPr>
          </w:p>
        </w:tc>
        <w:tc>
          <w:tcPr>
            <w:tcW w:w="1301" w:type="dxa"/>
            <w:shd w:val="clear" w:color="auto" w:fill="auto"/>
            <w:noWrap/>
            <w:vAlign w:val="bottom"/>
            <w:hideMark/>
          </w:tcPr>
          <w:p w14:paraId="70194C1A" w14:textId="6C1A5011" w:rsidR="00EA3940" w:rsidRPr="00EA3940" w:rsidRDefault="00EA3940" w:rsidP="00EA3940">
            <w:pPr>
              <w:spacing w:after="0" w:line="240" w:lineRule="auto"/>
              <w:jc w:val="center"/>
              <w:rPr>
                <w:rFonts w:eastAsia="Times New Roman" w:cstheme="minorHAnsi"/>
                <w:sz w:val="18"/>
                <w:szCs w:val="18"/>
                <w:lang w:eastAsia="hr-HR"/>
              </w:rPr>
            </w:pPr>
            <w:r w:rsidRPr="00EA3940">
              <w:rPr>
                <w:rFonts w:ascii="Calibri" w:hAnsi="Calibri" w:cs="Calibri"/>
                <w:sz w:val="18"/>
                <w:szCs w:val="18"/>
              </w:rPr>
              <w:t>9.837.555</w:t>
            </w:r>
          </w:p>
        </w:tc>
        <w:tc>
          <w:tcPr>
            <w:tcW w:w="796" w:type="dxa"/>
            <w:shd w:val="clear" w:color="auto" w:fill="auto"/>
            <w:noWrap/>
            <w:vAlign w:val="bottom"/>
            <w:hideMark/>
          </w:tcPr>
          <w:p w14:paraId="15897716" w14:textId="6F022E1E"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77,85%</w:t>
            </w:r>
          </w:p>
        </w:tc>
        <w:tc>
          <w:tcPr>
            <w:tcW w:w="796" w:type="dxa"/>
            <w:shd w:val="clear" w:color="auto" w:fill="auto"/>
            <w:noWrap/>
            <w:vAlign w:val="bottom"/>
            <w:hideMark/>
          </w:tcPr>
          <w:p w14:paraId="55AA415C" w14:textId="26077F3F" w:rsidR="00EA3940" w:rsidRPr="00F7160C" w:rsidRDefault="00EA3940" w:rsidP="00EA3940">
            <w:pPr>
              <w:spacing w:after="0" w:line="240" w:lineRule="auto"/>
              <w:jc w:val="center"/>
              <w:rPr>
                <w:rFonts w:eastAsia="Times New Roman" w:cstheme="minorHAnsi"/>
                <w:sz w:val="18"/>
                <w:szCs w:val="18"/>
                <w:lang w:eastAsia="hr-HR"/>
              </w:rPr>
            </w:pPr>
          </w:p>
        </w:tc>
        <w:tc>
          <w:tcPr>
            <w:tcW w:w="796" w:type="dxa"/>
            <w:shd w:val="clear" w:color="auto" w:fill="auto"/>
            <w:noWrap/>
            <w:vAlign w:val="bottom"/>
            <w:hideMark/>
          </w:tcPr>
          <w:p w14:paraId="7F9A535D" w14:textId="5F5ABB98"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101%</w:t>
            </w:r>
          </w:p>
        </w:tc>
      </w:tr>
      <w:tr w:rsidR="00EA3940" w:rsidRPr="00F7160C" w14:paraId="54135595" w14:textId="77777777" w:rsidTr="00EA3940">
        <w:trPr>
          <w:trHeight w:val="340"/>
        </w:trPr>
        <w:tc>
          <w:tcPr>
            <w:tcW w:w="581" w:type="dxa"/>
            <w:shd w:val="clear" w:color="auto" w:fill="auto"/>
            <w:noWrap/>
            <w:vAlign w:val="center"/>
            <w:hideMark/>
          </w:tcPr>
          <w:p w14:paraId="0082F2AD"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1.2</w:t>
            </w:r>
          </w:p>
        </w:tc>
        <w:tc>
          <w:tcPr>
            <w:tcW w:w="2603" w:type="dxa"/>
            <w:shd w:val="clear" w:color="auto" w:fill="auto"/>
            <w:vAlign w:val="center"/>
            <w:hideMark/>
          </w:tcPr>
          <w:p w14:paraId="3AA4987C"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Ostali poslovni prihodi</w:t>
            </w:r>
          </w:p>
        </w:tc>
        <w:tc>
          <w:tcPr>
            <w:tcW w:w="1361" w:type="dxa"/>
            <w:shd w:val="clear" w:color="auto" w:fill="auto"/>
            <w:noWrap/>
            <w:vAlign w:val="bottom"/>
            <w:hideMark/>
          </w:tcPr>
          <w:p w14:paraId="577AAB62" w14:textId="7B3048E0"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2.866.179</w:t>
            </w:r>
          </w:p>
        </w:tc>
        <w:tc>
          <w:tcPr>
            <w:tcW w:w="796" w:type="dxa"/>
            <w:shd w:val="clear" w:color="auto" w:fill="auto"/>
            <w:noWrap/>
            <w:vAlign w:val="bottom"/>
            <w:hideMark/>
          </w:tcPr>
          <w:p w14:paraId="180DA7D8" w14:textId="783A303D"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22,62%</w:t>
            </w:r>
          </w:p>
        </w:tc>
        <w:tc>
          <w:tcPr>
            <w:tcW w:w="796" w:type="dxa"/>
            <w:shd w:val="clear" w:color="auto" w:fill="auto"/>
            <w:noWrap/>
            <w:vAlign w:val="bottom"/>
            <w:hideMark/>
          </w:tcPr>
          <w:p w14:paraId="5EECC9C1" w14:textId="08A95E85"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1301" w:type="dxa"/>
            <w:shd w:val="clear" w:color="auto" w:fill="auto"/>
            <w:noWrap/>
            <w:vAlign w:val="bottom"/>
            <w:hideMark/>
          </w:tcPr>
          <w:p w14:paraId="3D04EB79" w14:textId="37991C95"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2.730.511</w:t>
            </w:r>
          </w:p>
        </w:tc>
        <w:tc>
          <w:tcPr>
            <w:tcW w:w="796" w:type="dxa"/>
            <w:shd w:val="clear" w:color="auto" w:fill="auto"/>
            <w:noWrap/>
            <w:vAlign w:val="bottom"/>
            <w:hideMark/>
          </w:tcPr>
          <w:p w14:paraId="00CA4C30" w14:textId="1D31B7F4"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21,61%</w:t>
            </w:r>
          </w:p>
        </w:tc>
        <w:tc>
          <w:tcPr>
            <w:tcW w:w="796" w:type="dxa"/>
            <w:shd w:val="clear" w:color="auto" w:fill="auto"/>
            <w:noWrap/>
            <w:vAlign w:val="bottom"/>
            <w:hideMark/>
          </w:tcPr>
          <w:p w14:paraId="6BD98EFF" w14:textId="649BC47E"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144FCA5F" w14:textId="218871BC"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95%</w:t>
            </w:r>
          </w:p>
        </w:tc>
      </w:tr>
      <w:tr w:rsidR="00EA3940" w:rsidRPr="00F7160C" w14:paraId="1588131B" w14:textId="77777777" w:rsidTr="00EA3940">
        <w:trPr>
          <w:trHeight w:val="340"/>
        </w:trPr>
        <w:tc>
          <w:tcPr>
            <w:tcW w:w="581" w:type="dxa"/>
            <w:shd w:val="clear" w:color="auto" w:fill="auto"/>
            <w:noWrap/>
            <w:vAlign w:val="center"/>
            <w:hideMark/>
          </w:tcPr>
          <w:p w14:paraId="04C72261"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2.</w:t>
            </w:r>
          </w:p>
        </w:tc>
        <w:tc>
          <w:tcPr>
            <w:tcW w:w="2603" w:type="dxa"/>
            <w:shd w:val="clear" w:color="auto" w:fill="auto"/>
            <w:vAlign w:val="center"/>
            <w:hideMark/>
          </w:tcPr>
          <w:p w14:paraId="667E9045"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 xml:space="preserve"> POSLOVNI RASHODI</w:t>
            </w:r>
          </w:p>
        </w:tc>
        <w:tc>
          <w:tcPr>
            <w:tcW w:w="1361" w:type="dxa"/>
            <w:shd w:val="clear" w:color="auto" w:fill="auto"/>
            <w:noWrap/>
            <w:vAlign w:val="bottom"/>
            <w:hideMark/>
          </w:tcPr>
          <w:p w14:paraId="20718747" w14:textId="6719200B" w:rsidR="00EA3940" w:rsidRPr="00F7160C" w:rsidRDefault="00EA3940" w:rsidP="00EA3940">
            <w:pPr>
              <w:spacing w:after="0" w:line="240" w:lineRule="auto"/>
              <w:jc w:val="center"/>
              <w:rPr>
                <w:rFonts w:eastAsia="Times New Roman" w:cstheme="minorHAnsi"/>
                <w:b/>
                <w:bCs/>
                <w:sz w:val="18"/>
                <w:szCs w:val="18"/>
                <w:lang w:eastAsia="hr-HR"/>
              </w:rPr>
            </w:pPr>
            <w:r w:rsidRPr="00F7160C">
              <w:rPr>
                <w:rFonts w:eastAsia="Times New Roman" w:cstheme="minorHAnsi"/>
                <w:b/>
                <w:bCs/>
                <w:color w:val="000000"/>
                <w:sz w:val="18"/>
                <w:szCs w:val="18"/>
                <w:lang w:eastAsia="hr-HR"/>
              </w:rPr>
              <w:t>12.165.137</w:t>
            </w:r>
          </w:p>
        </w:tc>
        <w:tc>
          <w:tcPr>
            <w:tcW w:w="796" w:type="dxa"/>
            <w:shd w:val="clear" w:color="auto" w:fill="auto"/>
            <w:noWrap/>
            <w:vAlign w:val="bottom"/>
            <w:hideMark/>
          </w:tcPr>
          <w:p w14:paraId="3E5F6AF6" w14:textId="46CE0E1C"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shd w:val="clear" w:color="auto" w:fill="auto"/>
            <w:noWrap/>
            <w:vAlign w:val="bottom"/>
            <w:hideMark/>
          </w:tcPr>
          <w:p w14:paraId="6D9733BC" w14:textId="79DDF5C9"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98,85%</w:t>
            </w:r>
          </w:p>
        </w:tc>
        <w:tc>
          <w:tcPr>
            <w:tcW w:w="1301" w:type="dxa"/>
            <w:shd w:val="clear" w:color="auto" w:fill="auto"/>
            <w:noWrap/>
            <w:vAlign w:val="bottom"/>
            <w:hideMark/>
          </w:tcPr>
          <w:p w14:paraId="5CA8A15D" w14:textId="420F0D59"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12.435.884</w:t>
            </w:r>
          </w:p>
        </w:tc>
        <w:tc>
          <w:tcPr>
            <w:tcW w:w="796" w:type="dxa"/>
            <w:shd w:val="clear" w:color="auto" w:fill="auto"/>
            <w:noWrap/>
            <w:vAlign w:val="bottom"/>
            <w:hideMark/>
          </w:tcPr>
          <w:p w14:paraId="4C43668B" w14:textId="6A001712"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50C1C2B4" w14:textId="212ED974"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98,79%</w:t>
            </w:r>
          </w:p>
        </w:tc>
        <w:tc>
          <w:tcPr>
            <w:tcW w:w="796" w:type="dxa"/>
            <w:shd w:val="clear" w:color="auto" w:fill="auto"/>
            <w:noWrap/>
            <w:vAlign w:val="bottom"/>
            <w:hideMark/>
          </w:tcPr>
          <w:p w14:paraId="345755EC" w14:textId="69D90C05"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102%</w:t>
            </w:r>
          </w:p>
        </w:tc>
      </w:tr>
      <w:tr w:rsidR="00EA3940" w:rsidRPr="00F7160C" w14:paraId="5A8146D6" w14:textId="77777777" w:rsidTr="00EA3940">
        <w:trPr>
          <w:trHeight w:val="340"/>
        </w:trPr>
        <w:tc>
          <w:tcPr>
            <w:tcW w:w="581" w:type="dxa"/>
            <w:shd w:val="clear" w:color="auto" w:fill="auto"/>
            <w:noWrap/>
            <w:vAlign w:val="center"/>
            <w:hideMark/>
          </w:tcPr>
          <w:p w14:paraId="2051BA84"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2.1</w:t>
            </w:r>
          </w:p>
        </w:tc>
        <w:tc>
          <w:tcPr>
            <w:tcW w:w="2603" w:type="dxa"/>
            <w:shd w:val="clear" w:color="auto" w:fill="auto"/>
            <w:vAlign w:val="center"/>
            <w:hideMark/>
          </w:tcPr>
          <w:p w14:paraId="7A6D2D45"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Materijalni troškovi</w:t>
            </w:r>
          </w:p>
        </w:tc>
        <w:tc>
          <w:tcPr>
            <w:tcW w:w="1361" w:type="dxa"/>
            <w:shd w:val="clear" w:color="auto" w:fill="auto"/>
            <w:noWrap/>
            <w:vAlign w:val="bottom"/>
            <w:hideMark/>
          </w:tcPr>
          <w:p w14:paraId="496EAFAB" w14:textId="362FD719"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6.738.450</w:t>
            </w:r>
          </w:p>
        </w:tc>
        <w:tc>
          <w:tcPr>
            <w:tcW w:w="796" w:type="dxa"/>
            <w:shd w:val="clear" w:color="auto" w:fill="auto"/>
            <w:noWrap/>
            <w:vAlign w:val="bottom"/>
            <w:hideMark/>
          </w:tcPr>
          <w:p w14:paraId="365619D9" w14:textId="2081F1A5"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202A74CC" w14:textId="290A44D6"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54,76%</w:t>
            </w:r>
          </w:p>
        </w:tc>
        <w:tc>
          <w:tcPr>
            <w:tcW w:w="1301" w:type="dxa"/>
            <w:shd w:val="clear" w:color="auto" w:fill="auto"/>
            <w:noWrap/>
            <w:vAlign w:val="bottom"/>
            <w:hideMark/>
          </w:tcPr>
          <w:p w14:paraId="17CF7D38" w14:textId="029180A3"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6.887.784</w:t>
            </w:r>
          </w:p>
        </w:tc>
        <w:tc>
          <w:tcPr>
            <w:tcW w:w="796" w:type="dxa"/>
            <w:shd w:val="clear" w:color="auto" w:fill="auto"/>
            <w:noWrap/>
            <w:vAlign w:val="bottom"/>
            <w:hideMark/>
          </w:tcPr>
          <w:p w14:paraId="0E038F49" w14:textId="34201432"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399C9100" w14:textId="7A411DA2"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54,72%</w:t>
            </w:r>
          </w:p>
        </w:tc>
        <w:tc>
          <w:tcPr>
            <w:tcW w:w="796" w:type="dxa"/>
            <w:shd w:val="clear" w:color="auto" w:fill="auto"/>
            <w:noWrap/>
            <w:vAlign w:val="bottom"/>
            <w:hideMark/>
          </w:tcPr>
          <w:p w14:paraId="467390A8" w14:textId="452670C2"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102%</w:t>
            </w:r>
          </w:p>
        </w:tc>
      </w:tr>
      <w:tr w:rsidR="00EA3940" w:rsidRPr="00F7160C" w14:paraId="420774E5" w14:textId="77777777" w:rsidTr="00EA3940">
        <w:trPr>
          <w:trHeight w:val="340"/>
        </w:trPr>
        <w:tc>
          <w:tcPr>
            <w:tcW w:w="581" w:type="dxa"/>
            <w:shd w:val="clear" w:color="auto" w:fill="auto"/>
            <w:noWrap/>
            <w:vAlign w:val="center"/>
            <w:hideMark/>
          </w:tcPr>
          <w:p w14:paraId="2C87565C" w14:textId="77777777" w:rsidR="00EA3940" w:rsidRPr="00F7160C" w:rsidRDefault="00EA3940" w:rsidP="00EA3940">
            <w:pPr>
              <w:spacing w:after="0" w:line="240" w:lineRule="auto"/>
              <w:rPr>
                <w:rFonts w:eastAsia="Times New Roman" w:cstheme="minorHAnsi"/>
                <w:i/>
                <w:iCs/>
                <w:sz w:val="18"/>
                <w:szCs w:val="18"/>
                <w:lang w:eastAsia="hr-HR"/>
              </w:rPr>
            </w:pPr>
            <w:r w:rsidRPr="00F7160C">
              <w:rPr>
                <w:rFonts w:eastAsia="Times New Roman" w:cstheme="minorHAnsi"/>
                <w:i/>
                <w:iCs/>
                <w:sz w:val="18"/>
                <w:szCs w:val="18"/>
                <w:lang w:eastAsia="hr-HR"/>
              </w:rPr>
              <w:t>2.1.1</w:t>
            </w:r>
          </w:p>
        </w:tc>
        <w:tc>
          <w:tcPr>
            <w:tcW w:w="2603" w:type="dxa"/>
            <w:shd w:val="clear" w:color="auto" w:fill="auto"/>
            <w:vAlign w:val="center"/>
            <w:hideMark/>
          </w:tcPr>
          <w:p w14:paraId="5F08E05C" w14:textId="7FEF9712" w:rsidR="00EA3940" w:rsidRPr="00F7160C" w:rsidRDefault="00EA3940" w:rsidP="00EA3940">
            <w:pPr>
              <w:spacing w:after="0" w:line="240" w:lineRule="auto"/>
              <w:rPr>
                <w:rFonts w:eastAsia="Times New Roman" w:cstheme="minorHAnsi"/>
                <w:i/>
                <w:iCs/>
                <w:sz w:val="18"/>
                <w:szCs w:val="18"/>
                <w:lang w:eastAsia="hr-HR"/>
              </w:rPr>
            </w:pPr>
            <w:r w:rsidRPr="00F7160C">
              <w:rPr>
                <w:rFonts w:eastAsia="Times New Roman" w:cstheme="minorHAnsi"/>
                <w:i/>
                <w:iCs/>
                <w:sz w:val="18"/>
                <w:szCs w:val="18"/>
                <w:lang w:eastAsia="hr-HR"/>
              </w:rPr>
              <w:t>Troškovi sirovina i materijala</w:t>
            </w:r>
          </w:p>
        </w:tc>
        <w:tc>
          <w:tcPr>
            <w:tcW w:w="1361" w:type="dxa"/>
            <w:shd w:val="clear" w:color="auto" w:fill="auto"/>
            <w:noWrap/>
            <w:vAlign w:val="bottom"/>
            <w:hideMark/>
          </w:tcPr>
          <w:p w14:paraId="72941A90" w14:textId="2C07A66B" w:rsidR="00EA3940" w:rsidRPr="00F7160C" w:rsidRDefault="00EA3940" w:rsidP="00EA3940">
            <w:pPr>
              <w:spacing w:after="0" w:line="240" w:lineRule="auto"/>
              <w:jc w:val="center"/>
              <w:rPr>
                <w:rFonts w:eastAsia="Times New Roman" w:cstheme="minorHAnsi"/>
                <w:i/>
                <w:iCs/>
                <w:sz w:val="18"/>
                <w:szCs w:val="18"/>
                <w:lang w:eastAsia="hr-HR"/>
              </w:rPr>
            </w:pPr>
            <w:r w:rsidRPr="00F7160C">
              <w:rPr>
                <w:rFonts w:eastAsia="Times New Roman" w:cstheme="minorHAnsi"/>
                <w:i/>
                <w:iCs/>
                <w:color w:val="000000"/>
                <w:sz w:val="18"/>
                <w:szCs w:val="18"/>
                <w:lang w:eastAsia="hr-HR"/>
              </w:rPr>
              <w:t>2.013.860</w:t>
            </w:r>
          </w:p>
        </w:tc>
        <w:tc>
          <w:tcPr>
            <w:tcW w:w="796" w:type="dxa"/>
            <w:shd w:val="clear" w:color="auto" w:fill="auto"/>
            <w:noWrap/>
            <w:vAlign w:val="bottom"/>
            <w:hideMark/>
          </w:tcPr>
          <w:p w14:paraId="36CBEACB" w14:textId="4DB3800E" w:rsidR="00EA3940" w:rsidRPr="00F7160C" w:rsidRDefault="00EA3940" w:rsidP="00EA3940">
            <w:pPr>
              <w:spacing w:after="0" w:line="240" w:lineRule="auto"/>
              <w:jc w:val="center"/>
              <w:rPr>
                <w:rFonts w:eastAsia="Times New Roman" w:cstheme="minorHAnsi"/>
                <w:i/>
                <w:iCs/>
                <w:color w:val="000000"/>
                <w:sz w:val="18"/>
                <w:szCs w:val="18"/>
                <w:lang w:eastAsia="hr-HR"/>
              </w:rPr>
            </w:pPr>
          </w:p>
        </w:tc>
        <w:tc>
          <w:tcPr>
            <w:tcW w:w="796" w:type="dxa"/>
            <w:shd w:val="clear" w:color="auto" w:fill="auto"/>
            <w:noWrap/>
            <w:vAlign w:val="bottom"/>
            <w:hideMark/>
          </w:tcPr>
          <w:p w14:paraId="47FB378D" w14:textId="4D630314" w:rsidR="00EA3940" w:rsidRPr="00F7160C" w:rsidRDefault="00EA3940" w:rsidP="00EA3940">
            <w:pPr>
              <w:spacing w:after="0" w:line="240" w:lineRule="auto"/>
              <w:jc w:val="center"/>
              <w:rPr>
                <w:rFonts w:eastAsia="Times New Roman" w:cstheme="minorHAnsi"/>
                <w:i/>
                <w:iCs/>
                <w:color w:val="000000"/>
                <w:sz w:val="18"/>
                <w:szCs w:val="18"/>
                <w:lang w:eastAsia="hr-HR"/>
              </w:rPr>
            </w:pPr>
            <w:r w:rsidRPr="00F7160C">
              <w:rPr>
                <w:rFonts w:eastAsia="Times New Roman" w:cstheme="minorHAnsi"/>
                <w:i/>
                <w:iCs/>
                <w:color w:val="000000"/>
                <w:sz w:val="18"/>
                <w:szCs w:val="18"/>
                <w:lang w:eastAsia="hr-HR"/>
              </w:rPr>
              <w:t>16,36%</w:t>
            </w:r>
          </w:p>
        </w:tc>
        <w:tc>
          <w:tcPr>
            <w:tcW w:w="1301" w:type="dxa"/>
            <w:shd w:val="clear" w:color="auto" w:fill="auto"/>
            <w:noWrap/>
            <w:vAlign w:val="bottom"/>
            <w:hideMark/>
          </w:tcPr>
          <w:p w14:paraId="0B8EF2D8" w14:textId="69AB9D46" w:rsidR="00EA3940" w:rsidRPr="00EA3940" w:rsidRDefault="00EA3940" w:rsidP="00EA3940">
            <w:pPr>
              <w:spacing w:after="0" w:line="240" w:lineRule="auto"/>
              <w:jc w:val="center"/>
              <w:rPr>
                <w:rFonts w:eastAsia="Times New Roman" w:cstheme="minorHAnsi"/>
                <w:i/>
                <w:iCs/>
                <w:color w:val="000000"/>
                <w:sz w:val="18"/>
                <w:szCs w:val="18"/>
                <w:lang w:eastAsia="hr-HR"/>
              </w:rPr>
            </w:pPr>
            <w:r w:rsidRPr="00EA3940">
              <w:rPr>
                <w:rFonts w:ascii="Calibri" w:hAnsi="Calibri" w:cs="Calibri"/>
                <w:i/>
                <w:iCs/>
                <w:color w:val="000000"/>
                <w:sz w:val="18"/>
                <w:szCs w:val="18"/>
              </w:rPr>
              <w:t>1.828.386</w:t>
            </w:r>
          </w:p>
        </w:tc>
        <w:tc>
          <w:tcPr>
            <w:tcW w:w="796" w:type="dxa"/>
            <w:shd w:val="clear" w:color="auto" w:fill="auto"/>
            <w:noWrap/>
            <w:vAlign w:val="bottom"/>
            <w:hideMark/>
          </w:tcPr>
          <w:p w14:paraId="0606FB0D" w14:textId="7A447445" w:rsidR="00EA3940" w:rsidRPr="00F7160C" w:rsidRDefault="00EA3940" w:rsidP="00EA3940">
            <w:pPr>
              <w:spacing w:after="0" w:line="240" w:lineRule="auto"/>
              <w:jc w:val="center"/>
              <w:rPr>
                <w:rFonts w:eastAsia="Times New Roman" w:cstheme="minorHAnsi"/>
                <w:i/>
                <w:iCs/>
                <w:color w:val="000000"/>
                <w:sz w:val="18"/>
                <w:szCs w:val="18"/>
                <w:lang w:eastAsia="hr-HR"/>
              </w:rPr>
            </w:pPr>
          </w:p>
        </w:tc>
        <w:tc>
          <w:tcPr>
            <w:tcW w:w="796" w:type="dxa"/>
            <w:shd w:val="clear" w:color="auto" w:fill="auto"/>
            <w:noWrap/>
            <w:vAlign w:val="bottom"/>
            <w:hideMark/>
          </w:tcPr>
          <w:p w14:paraId="54D9C623" w14:textId="301D1852" w:rsidR="00EA3940" w:rsidRPr="00EA3940" w:rsidRDefault="00EA3940" w:rsidP="00EA3940">
            <w:pPr>
              <w:spacing w:after="0" w:line="240" w:lineRule="auto"/>
              <w:jc w:val="center"/>
              <w:rPr>
                <w:rFonts w:eastAsia="Times New Roman" w:cstheme="minorHAnsi"/>
                <w:i/>
                <w:iCs/>
                <w:color w:val="000000"/>
                <w:sz w:val="18"/>
                <w:szCs w:val="18"/>
                <w:lang w:eastAsia="hr-HR"/>
              </w:rPr>
            </w:pPr>
            <w:r w:rsidRPr="00EA3940">
              <w:rPr>
                <w:rFonts w:ascii="Calibri" w:hAnsi="Calibri" w:cs="Calibri"/>
                <w:i/>
                <w:iCs/>
                <w:color w:val="000000"/>
                <w:sz w:val="18"/>
                <w:szCs w:val="18"/>
              </w:rPr>
              <w:t>14,52%</w:t>
            </w:r>
          </w:p>
        </w:tc>
        <w:tc>
          <w:tcPr>
            <w:tcW w:w="796" w:type="dxa"/>
            <w:shd w:val="clear" w:color="auto" w:fill="auto"/>
            <w:noWrap/>
            <w:vAlign w:val="bottom"/>
            <w:hideMark/>
          </w:tcPr>
          <w:p w14:paraId="41931132" w14:textId="6E31017C" w:rsidR="00EA3940" w:rsidRPr="00EA3940" w:rsidRDefault="00EA3940" w:rsidP="00EA3940">
            <w:pPr>
              <w:spacing w:after="0" w:line="240" w:lineRule="auto"/>
              <w:jc w:val="center"/>
              <w:rPr>
                <w:rFonts w:eastAsia="Times New Roman" w:cstheme="minorHAnsi"/>
                <w:i/>
                <w:iCs/>
                <w:color w:val="000000"/>
                <w:sz w:val="18"/>
                <w:szCs w:val="18"/>
                <w:lang w:eastAsia="hr-HR"/>
              </w:rPr>
            </w:pPr>
            <w:r w:rsidRPr="00EA3940">
              <w:rPr>
                <w:rFonts w:ascii="Calibri" w:hAnsi="Calibri" w:cs="Calibri"/>
                <w:i/>
                <w:iCs/>
                <w:color w:val="000000"/>
                <w:sz w:val="18"/>
                <w:szCs w:val="18"/>
              </w:rPr>
              <w:t>91%</w:t>
            </w:r>
          </w:p>
        </w:tc>
      </w:tr>
      <w:tr w:rsidR="00EA3940" w:rsidRPr="00F7160C" w14:paraId="58710AED" w14:textId="77777777" w:rsidTr="00EA3940">
        <w:trPr>
          <w:trHeight w:val="340"/>
        </w:trPr>
        <w:tc>
          <w:tcPr>
            <w:tcW w:w="581" w:type="dxa"/>
            <w:shd w:val="clear" w:color="auto" w:fill="auto"/>
            <w:noWrap/>
            <w:vAlign w:val="center"/>
            <w:hideMark/>
          </w:tcPr>
          <w:p w14:paraId="331C44D7" w14:textId="77777777" w:rsidR="00EA3940" w:rsidRPr="00F7160C" w:rsidRDefault="00EA3940" w:rsidP="00EA3940">
            <w:pPr>
              <w:spacing w:after="0" w:line="240" w:lineRule="auto"/>
              <w:rPr>
                <w:rFonts w:eastAsia="Times New Roman" w:cstheme="minorHAnsi"/>
                <w:i/>
                <w:iCs/>
                <w:sz w:val="18"/>
                <w:szCs w:val="18"/>
                <w:lang w:eastAsia="hr-HR"/>
              </w:rPr>
            </w:pPr>
            <w:r w:rsidRPr="00F7160C">
              <w:rPr>
                <w:rFonts w:eastAsia="Times New Roman" w:cstheme="minorHAnsi"/>
                <w:i/>
                <w:iCs/>
                <w:sz w:val="18"/>
                <w:szCs w:val="18"/>
                <w:lang w:eastAsia="hr-HR"/>
              </w:rPr>
              <w:t>2.1.2</w:t>
            </w:r>
          </w:p>
        </w:tc>
        <w:tc>
          <w:tcPr>
            <w:tcW w:w="2603" w:type="dxa"/>
            <w:shd w:val="clear" w:color="auto" w:fill="auto"/>
            <w:vAlign w:val="center"/>
            <w:hideMark/>
          </w:tcPr>
          <w:p w14:paraId="5E89C92A" w14:textId="16F63F85" w:rsidR="00EA3940" w:rsidRPr="00F7160C" w:rsidRDefault="00EA3940" w:rsidP="00EA3940">
            <w:pPr>
              <w:spacing w:after="0" w:line="240" w:lineRule="auto"/>
              <w:rPr>
                <w:rFonts w:eastAsia="Times New Roman" w:cstheme="minorHAnsi"/>
                <w:i/>
                <w:iCs/>
                <w:sz w:val="18"/>
                <w:szCs w:val="18"/>
                <w:lang w:eastAsia="hr-HR"/>
              </w:rPr>
            </w:pPr>
            <w:r w:rsidRPr="00F7160C">
              <w:rPr>
                <w:rFonts w:eastAsia="Times New Roman" w:cstheme="minorHAnsi"/>
                <w:i/>
                <w:iCs/>
                <w:sz w:val="18"/>
                <w:szCs w:val="18"/>
                <w:lang w:eastAsia="hr-HR"/>
              </w:rPr>
              <w:t xml:space="preserve"> Ostali vanjski troškovi</w:t>
            </w:r>
          </w:p>
        </w:tc>
        <w:tc>
          <w:tcPr>
            <w:tcW w:w="1361" w:type="dxa"/>
            <w:shd w:val="clear" w:color="auto" w:fill="auto"/>
            <w:noWrap/>
            <w:vAlign w:val="bottom"/>
            <w:hideMark/>
          </w:tcPr>
          <w:p w14:paraId="66F74106" w14:textId="6100445F" w:rsidR="00EA3940" w:rsidRPr="00F7160C" w:rsidRDefault="00EA3940" w:rsidP="00EA3940">
            <w:pPr>
              <w:spacing w:after="0" w:line="240" w:lineRule="auto"/>
              <w:jc w:val="center"/>
              <w:rPr>
                <w:rFonts w:eastAsia="Times New Roman" w:cstheme="minorHAnsi"/>
                <w:i/>
                <w:iCs/>
                <w:sz w:val="18"/>
                <w:szCs w:val="18"/>
                <w:lang w:eastAsia="hr-HR"/>
              </w:rPr>
            </w:pPr>
            <w:r w:rsidRPr="00F7160C">
              <w:rPr>
                <w:rFonts w:eastAsia="Times New Roman" w:cstheme="minorHAnsi"/>
                <w:i/>
                <w:iCs/>
                <w:color w:val="000000"/>
                <w:sz w:val="18"/>
                <w:szCs w:val="18"/>
                <w:lang w:eastAsia="hr-HR"/>
              </w:rPr>
              <w:t>4.724.591</w:t>
            </w:r>
          </w:p>
        </w:tc>
        <w:tc>
          <w:tcPr>
            <w:tcW w:w="796" w:type="dxa"/>
            <w:shd w:val="clear" w:color="auto" w:fill="auto"/>
            <w:noWrap/>
            <w:vAlign w:val="bottom"/>
            <w:hideMark/>
          </w:tcPr>
          <w:p w14:paraId="36866B2E" w14:textId="2F2D7D71" w:rsidR="00EA3940" w:rsidRPr="00F7160C" w:rsidRDefault="00EA3940" w:rsidP="00EA3940">
            <w:pPr>
              <w:spacing w:after="0" w:line="240" w:lineRule="auto"/>
              <w:jc w:val="center"/>
              <w:rPr>
                <w:rFonts w:eastAsia="Times New Roman" w:cstheme="minorHAnsi"/>
                <w:i/>
                <w:iCs/>
                <w:color w:val="000000"/>
                <w:sz w:val="18"/>
                <w:szCs w:val="18"/>
                <w:lang w:eastAsia="hr-HR"/>
              </w:rPr>
            </w:pPr>
          </w:p>
        </w:tc>
        <w:tc>
          <w:tcPr>
            <w:tcW w:w="796" w:type="dxa"/>
            <w:shd w:val="clear" w:color="auto" w:fill="auto"/>
            <w:noWrap/>
            <w:vAlign w:val="bottom"/>
            <w:hideMark/>
          </w:tcPr>
          <w:p w14:paraId="5DCAA20B" w14:textId="10A1903E" w:rsidR="00EA3940" w:rsidRPr="00F7160C" w:rsidRDefault="00EA3940" w:rsidP="00EA3940">
            <w:pPr>
              <w:spacing w:after="0" w:line="240" w:lineRule="auto"/>
              <w:jc w:val="center"/>
              <w:rPr>
                <w:rFonts w:eastAsia="Times New Roman" w:cstheme="minorHAnsi"/>
                <w:i/>
                <w:iCs/>
                <w:color w:val="000000"/>
                <w:sz w:val="18"/>
                <w:szCs w:val="18"/>
                <w:lang w:eastAsia="hr-HR"/>
              </w:rPr>
            </w:pPr>
            <w:r w:rsidRPr="00F7160C">
              <w:rPr>
                <w:rFonts w:eastAsia="Times New Roman" w:cstheme="minorHAnsi"/>
                <w:i/>
                <w:iCs/>
                <w:color w:val="000000"/>
                <w:sz w:val="18"/>
                <w:szCs w:val="18"/>
                <w:lang w:eastAsia="hr-HR"/>
              </w:rPr>
              <w:t>38,39%</w:t>
            </w:r>
          </w:p>
        </w:tc>
        <w:tc>
          <w:tcPr>
            <w:tcW w:w="1301" w:type="dxa"/>
            <w:shd w:val="clear" w:color="auto" w:fill="auto"/>
            <w:noWrap/>
            <w:vAlign w:val="bottom"/>
            <w:hideMark/>
          </w:tcPr>
          <w:p w14:paraId="41B77423" w14:textId="3CD7470B" w:rsidR="00EA3940" w:rsidRPr="00EA3940" w:rsidRDefault="00EA3940" w:rsidP="00EA3940">
            <w:pPr>
              <w:spacing w:after="0" w:line="240" w:lineRule="auto"/>
              <w:jc w:val="center"/>
              <w:rPr>
                <w:rFonts w:eastAsia="Times New Roman" w:cstheme="minorHAnsi"/>
                <w:i/>
                <w:iCs/>
                <w:color w:val="000000"/>
                <w:sz w:val="18"/>
                <w:szCs w:val="18"/>
                <w:lang w:eastAsia="hr-HR"/>
              </w:rPr>
            </w:pPr>
            <w:r w:rsidRPr="00EA3940">
              <w:rPr>
                <w:rFonts w:ascii="Calibri" w:hAnsi="Calibri" w:cs="Calibri"/>
                <w:i/>
                <w:iCs/>
                <w:color w:val="000000"/>
                <w:sz w:val="18"/>
                <w:szCs w:val="18"/>
              </w:rPr>
              <w:t>5.059.398</w:t>
            </w:r>
          </w:p>
        </w:tc>
        <w:tc>
          <w:tcPr>
            <w:tcW w:w="796" w:type="dxa"/>
            <w:shd w:val="clear" w:color="auto" w:fill="auto"/>
            <w:noWrap/>
            <w:vAlign w:val="bottom"/>
            <w:hideMark/>
          </w:tcPr>
          <w:p w14:paraId="35EF2B06" w14:textId="7F3233FC" w:rsidR="00EA3940" w:rsidRPr="00F7160C" w:rsidRDefault="00EA3940" w:rsidP="00EA3940">
            <w:pPr>
              <w:spacing w:after="0" w:line="240" w:lineRule="auto"/>
              <w:jc w:val="center"/>
              <w:rPr>
                <w:rFonts w:eastAsia="Times New Roman" w:cstheme="minorHAnsi"/>
                <w:i/>
                <w:iCs/>
                <w:color w:val="000000"/>
                <w:sz w:val="18"/>
                <w:szCs w:val="18"/>
                <w:lang w:eastAsia="hr-HR"/>
              </w:rPr>
            </w:pPr>
          </w:p>
        </w:tc>
        <w:tc>
          <w:tcPr>
            <w:tcW w:w="796" w:type="dxa"/>
            <w:shd w:val="clear" w:color="auto" w:fill="auto"/>
            <w:noWrap/>
            <w:vAlign w:val="bottom"/>
            <w:hideMark/>
          </w:tcPr>
          <w:p w14:paraId="33524385" w14:textId="56173788" w:rsidR="00EA3940" w:rsidRPr="00EA3940" w:rsidRDefault="00EA3940" w:rsidP="00EA3940">
            <w:pPr>
              <w:spacing w:after="0" w:line="240" w:lineRule="auto"/>
              <w:jc w:val="center"/>
              <w:rPr>
                <w:rFonts w:eastAsia="Times New Roman" w:cstheme="minorHAnsi"/>
                <w:i/>
                <w:iCs/>
                <w:color w:val="000000"/>
                <w:sz w:val="18"/>
                <w:szCs w:val="18"/>
                <w:lang w:eastAsia="hr-HR"/>
              </w:rPr>
            </w:pPr>
            <w:r w:rsidRPr="00EA3940">
              <w:rPr>
                <w:rFonts w:ascii="Calibri" w:hAnsi="Calibri" w:cs="Calibri"/>
                <w:i/>
                <w:iCs/>
                <w:color w:val="000000"/>
                <w:sz w:val="18"/>
                <w:szCs w:val="18"/>
              </w:rPr>
              <w:t>40,19%</w:t>
            </w:r>
          </w:p>
        </w:tc>
        <w:tc>
          <w:tcPr>
            <w:tcW w:w="796" w:type="dxa"/>
            <w:shd w:val="clear" w:color="auto" w:fill="auto"/>
            <w:noWrap/>
            <w:vAlign w:val="bottom"/>
            <w:hideMark/>
          </w:tcPr>
          <w:p w14:paraId="75F523F3" w14:textId="12F08086" w:rsidR="00EA3940" w:rsidRPr="00EA3940" w:rsidRDefault="00EA3940" w:rsidP="00EA3940">
            <w:pPr>
              <w:spacing w:after="0" w:line="240" w:lineRule="auto"/>
              <w:jc w:val="center"/>
              <w:rPr>
                <w:rFonts w:eastAsia="Times New Roman" w:cstheme="minorHAnsi"/>
                <w:i/>
                <w:iCs/>
                <w:color w:val="000000"/>
                <w:sz w:val="18"/>
                <w:szCs w:val="18"/>
                <w:lang w:eastAsia="hr-HR"/>
              </w:rPr>
            </w:pPr>
            <w:r w:rsidRPr="00EA3940">
              <w:rPr>
                <w:rFonts w:ascii="Calibri" w:hAnsi="Calibri" w:cs="Calibri"/>
                <w:i/>
                <w:iCs/>
                <w:color w:val="000000"/>
                <w:sz w:val="18"/>
                <w:szCs w:val="18"/>
              </w:rPr>
              <w:t>107%</w:t>
            </w:r>
          </w:p>
        </w:tc>
      </w:tr>
      <w:tr w:rsidR="00EA3940" w:rsidRPr="00F7160C" w14:paraId="72782347" w14:textId="77777777" w:rsidTr="00EA3940">
        <w:trPr>
          <w:trHeight w:val="340"/>
        </w:trPr>
        <w:tc>
          <w:tcPr>
            <w:tcW w:w="581" w:type="dxa"/>
            <w:shd w:val="clear" w:color="auto" w:fill="auto"/>
            <w:noWrap/>
            <w:vAlign w:val="center"/>
            <w:hideMark/>
          </w:tcPr>
          <w:p w14:paraId="03BD0470"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2.2</w:t>
            </w:r>
          </w:p>
        </w:tc>
        <w:tc>
          <w:tcPr>
            <w:tcW w:w="2603" w:type="dxa"/>
            <w:shd w:val="clear" w:color="auto" w:fill="auto"/>
            <w:vAlign w:val="center"/>
            <w:hideMark/>
          </w:tcPr>
          <w:p w14:paraId="055FE41B"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 xml:space="preserve">Troškovi osoblja </w:t>
            </w:r>
          </w:p>
        </w:tc>
        <w:tc>
          <w:tcPr>
            <w:tcW w:w="1361" w:type="dxa"/>
            <w:shd w:val="clear" w:color="auto" w:fill="auto"/>
            <w:noWrap/>
            <w:vAlign w:val="bottom"/>
            <w:hideMark/>
          </w:tcPr>
          <w:p w14:paraId="4ABE81C0" w14:textId="7B38CF8F"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1.506.128</w:t>
            </w:r>
          </w:p>
        </w:tc>
        <w:tc>
          <w:tcPr>
            <w:tcW w:w="796" w:type="dxa"/>
            <w:shd w:val="clear" w:color="auto" w:fill="auto"/>
            <w:noWrap/>
            <w:vAlign w:val="bottom"/>
            <w:hideMark/>
          </w:tcPr>
          <w:p w14:paraId="09848775" w14:textId="440145E1"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3C4D4BC7" w14:textId="31B2A53C"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12,24%</w:t>
            </w:r>
          </w:p>
        </w:tc>
        <w:tc>
          <w:tcPr>
            <w:tcW w:w="1301" w:type="dxa"/>
            <w:shd w:val="clear" w:color="auto" w:fill="auto"/>
            <w:noWrap/>
            <w:vAlign w:val="bottom"/>
            <w:hideMark/>
          </w:tcPr>
          <w:p w14:paraId="7C60D493" w14:textId="4069EBB2"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1.877.131</w:t>
            </w:r>
          </w:p>
        </w:tc>
        <w:tc>
          <w:tcPr>
            <w:tcW w:w="796" w:type="dxa"/>
            <w:shd w:val="clear" w:color="auto" w:fill="auto"/>
            <w:noWrap/>
            <w:vAlign w:val="bottom"/>
            <w:hideMark/>
          </w:tcPr>
          <w:p w14:paraId="29C80FF4" w14:textId="7FE2A1F9"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7B18C38D" w14:textId="2D0A1AAB"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14,91%</w:t>
            </w:r>
          </w:p>
        </w:tc>
        <w:tc>
          <w:tcPr>
            <w:tcW w:w="796" w:type="dxa"/>
            <w:shd w:val="clear" w:color="auto" w:fill="auto"/>
            <w:noWrap/>
            <w:vAlign w:val="bottom"/>
            <w:hideMark/>
          </w:tcPr>
          <w:p w14:paraId="0012F61B" w14:textId="40E6195E"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125%</w:t>
            </w:r>
          </w:p>
        </w:tc>
      </w:tr>
      <w:tr w:rsidR="00EA3940" w:rsidRPr="00F7160C" w14:paraId="1BBEDA5B" w14:textId="77777777" w:rsidTr="00EA3940">
        <w:trPr>
          <w:trHeight w:val="340"/>
        </w:trPr>
        <w:tc>
          <w:tcPr>
            <w:tcW w:w="581" w:type="dxa"/>
            <w:shd w:val="clear" w:color="auto" w:fill="auto"/>
            <w:noWrap/>
            <w:vAlign w:val="center"/>
            <w:hideMark/>
          </w:tcPr>
          <w:p w14:paraId="05EE40DA"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2.3</w:t>
            </w:r>
          </w:p>
        </w:tc>
        <w:tc>
          <w:tcPr>
            <w:tcW w:w="2603" w:type="dxa"/>
            <w:shd w:val="clear" w:color="auto" w:fill="auto"/>
            <w:vAlign w:val="center"/>
            <w:hideMark/>
          </w:tcPr>
          <w:p w14:paraId="203A953B"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Amortizacija</w:t>
            </w:r>
          </w:p>
        </w:tc>
        <w:tc>
          <w:tcPr>
            <w:tcW w:w="1361" w:type="dxa"/>
            <w:shd w:val="clear" w:color="auto" w:fill="auto"/>
            <w:noWrap/>
            <w:vAlign w:val="bottom"/>
            <w:hideMark/>
          </w:tcPr>
          <w:p w14:paraId="027BCE75" w14:textId="2FA939B7"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3.186.313</w:t>
            </w:r>
          </w:p>
        </w:tc>
        <w:tc>
          <w:tcPr>
            <w:tcW w:w="796" w:type="dxa"/>
            <w:shd w:val="clear" w:color="auto" w:fill="auto"/>
            <w:noWrap/>
            <w:vAlign w:val="bottom"/>
            <w:hideMark/>
          </w:tcPr>
          <w:p w14:paraId="62ABFFB2" w14:textId="346CDA79"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7B7D3B69" w14:textId="507F5F19"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25,89%</w:t>
            </w:r>
          </w:p>
        </w:tc>
        <w:tc>
          <w:tcPr>
            <w:tcW w:w="1301" w:type="dxa"/>
            <w:shd w:val="clear" w:color="auto" w:fill="auto"/>
            <w:noWrap/>
            <w:vAlign w:val="bottom"/>
            <w:hideMark/>
          </w:tcPr>
          <w:p w14:paraId="0E5D23A2" w14:textId="6FCC25C2"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3.204.334</w:t>
            </w:r>
          </w:p>
        </w:tc>
        <w:tc>
          <w:tcPr>
            <w:tcW w:w="796" w:type="dxa"/>
            <w:shd w:val="clear" w:color="auto" w:fill="auto"/>
            <w:noWrap/>
            <w:vAlign w:val="bottom"/>
            <w:hideMark/>
          </w:tcPr>
          <w:p w14:paraId="262CB454" w14:textId="4F06281A"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1C0EB004" w14:textId="63764E3D"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25,46%</w:t>
            </w:r>
          </w:p>
        </w:tc>
        <w:tc>
          <w:tcPr>
            <w:tcW w:w="796" w:type="dxa"/>
            <w:shd w:val="clear" w:color="auto" w:fill="auto"/>
            <w:noWrap/>
            <w:vAlign w:val="bottom"/>
            <w:hideMark/>
          </w:tcPr>
          <w:p w14:paraId="7A835773" w14:textId="6F52128E"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101%</w:t>
            </w:r>
          </w:p>
        </w:tc>
      </w:tr>
      <w:tr w:rsidR="00EA3940" w:rsidRPr="00F7160C" w14:paraId="4CEAA458" w14:textId="77777777" w:rsidTr="00EA3940">
        <w:trPr>
          <w:trHeight w:val="340"/>
        </w:trPr>
        <w:tc>
          <w:tcPr>
            <w:tcW w:w="581" w:type="dxa"/>
            <w:shd w:val="clear" w:color="auto" w:fill="auto"/>
            <w:noWrap/>
            <w:vAlign w:val="center"/>
            <w:hideMark/>
          </w:tcPr>
          <w:p w14:paraId="03CB870A"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2.4</w:t>
            </w:r>
          </w:p>
        </w:tc>
        <w:tc>
          <w:tcPr>
            <w:tcW w:w="2603" w:type="dxa"/>
            <w:shd w:val="clear" w:color="auto" w:fill="auto"/>
            <w:vAlign w:val="center"/>
            <w:hideMark/>
          </w:tcPr>
          <w:p w14:paraId="32084407"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Ostali troškovi</w:t>
            </w:r>
          </w:p>
        </w:tc>
        <w:tc>
          <w:tcPr>
            <w:tcW w:w="1361" w:type="dxa"/>
            <w:shd w:val="clear" w:color="auto" w:fill="auto"/>
            <w:noWrap/>
            <w:vAlign w:val="bottom"/>
            <w:hideMark/>
          </w:tcPr>
          <w:p w14:paraId="02269FA2" w14:textId="033FB1AE"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433.582</w:t>
            </w:r>
          </w:p>
        </w:tc>
        <w:tc>
          <w:tcPr>
            <w:tcW w:w="796" w:type="dxa"/>
            <w:shd w:val="clear" w:color="auto" w:fill="auto"/>
            <w:noWrap/>
            <w:vAlign w:val="bottom"/>
            <w:hideMark/>
          </w:tcPr>
          <w:p w14:paraId="1EC6AA39" w14:textId="3A3D469C"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467D122B" w14:textId="5B477900"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3,52%</w:t>
            </w:r>
          </w:p>
        </w:tc>
        <w:tc>
          <w:tcPr>
            <w:tcW w:w="1301" w:type="dxa"/>
            <w:shd w:val="clear" w:color="auto" w:fill="auto"/>
            <w:noWrap/>
            <w:vAlign w:val="bottom"/>
            <w:hideMark/>
          </w:tcPr>
          <w:p w14:paraId="472ED4B6" w14:textId="509608E4"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452.836</w:t>
            </w:r>
          </w:p>
        </w:tc>
        <w:tc>
          <w:tcPr>
            <w:tcW w:w="796" w:type="dxa"/>
            <w:shd w:val="clear" w:color="auto" w:fill="auto"/>
            <w:noWrap/>
            <w:vAlign w:val="bottom"/>
            <w:hideMark/>
          </w:tcPr>
          <w:p w14:paraId="6AA322D4" w14:textId="5BCAAE5B"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0F7C219E" w14:textId="5B75E4C9"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3,60%</w:t>
            </w:r>
          </w:p>
        </w:tc>
        <w:tc>
          <w:tcPr>
            <w:tcW w:w="796" w:type="dxa"/>
            <w:shd w:val="clear" w:color="auto" w:fill="auto"/>
            <w:noWrap/>
            <w:vAlign w:val="bottom"/>
            <w:hideMark/>
          </w:tcPr>
          <w:p w14:paraId="282274E1" w14:textId="76C6C806"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104%</w:t>
            </w:r>
          </w:p>
        </w:tc>
      </w:tr>
      <w:tr w:rsidR="00EA3940" w:rsidRPr="00F7160C" w14:paraId="17014921" w14:textId="77777777" w:rsidTr="00EA3940">
        <w:trPr>
          <w:trHeight w:val="340"/>
        </w:trPr>
        <w:tc>
          <w:tcPr>
            <w:tcW w:w="581" w:type="dxa"/>
            <w:shd w:val="clear" w:color="auto" w:fill="auto"/>
            <w:noWrap/>
            <w:vAlign w:val="center"/>
            <w:hideMark/>
          </w:tcPr>
          <w:p w14:paraId="60AF9E2E"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2.5</w:t>
            </w:r>
          </w:p>
        </w:tc>
        <w:tc>
          <w:tcPr>
            <w:tcW w:w="2603" w:type="dxa"/>
            <w:shd w:val="clear" w:color="auto" w:fill="auto"/>
            <w:vAlign w:val="center"/>
            <w:hideMark/>
          </w:tcPr>
          <w:p w14:paraId="4C543F39"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Vrijednosna usklađenja</w:t>
            </w:r>
          </w:p>
        </w:tc>
        <w:tc>
          <w:tcPr>
            <w:tcW w:w="1361" w:type="dxa"/>
            <w:shd w:val="clear" w:color="auto" w:fill="auto"/>
            <w:noWrap/>
            <w:vAlign w:val="bottom"/>
            <w:hideMark/>
          </w:tcPr>
          <w:p w14:paraId="570A58DA" w14:textId="0CFCA5BB"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39.715</w:t>
            </w:r>
          </w:p>
        </w:tc>
        <w:tc>
          <w:tcPr>
            <w:tcW w:w="796" w:type="dxa"/>
            <w:shd w:val="clear" w:color="auto" w:fill="auto"/>
            <w:noWrap/>
            <w:vAlign w:val="bottom"/>
            <w:hideMark/>
          </w:tcPr>
          <w:p w14:paraId="42FF99A8" w14:textId="098FB12E"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62B6A289" w14:textId="5724D479"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0,32%</w:t>
            </w:r>
          </w:p>
        </w:tc>
        <w:tc>
          <w:tcPr>
            <w:tcW w:w="1301" w:type="dxa"/>
            <w:shd w:val="clear" w:color="auto" w:fill="auto"/>
            <w:noWrap/>
            <w:vAlign w:val="bottom"/>
            <w:hideMark/>
          </w:tcPr>
          <w:p w14:paraId="1386602D" w14:textId="7705D39C"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sz w:val="18"/>
                <w:szCs w:val="18"/>
              </w:rPr>
              <w:t>0</w:t>
            </w:r>
          </w:p>
        </w:tc>
        <w:tc>
          <w:tcPr>
            <w:tcW w:w="796" w:type="dxa"/>
            <w:shd w:val="clear" w:color="auto" w:fill="auto"/>
            <w:noWrap/>
            <w:vAlign w:val="bottom"/>
            <w:hideMark/>
          </w:tcPr>
          <w:p w14:paraId="2524623C" w14:textId="7E024DF9"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7FD96100" w14:textId="51B14C3F"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0,00%</w:t>
            </w:r>
          </w:p>
        </w:tc>
        <w:tc>
          <w:tcPr>
            <w:tcW w:w="796" w:type="dxa"/>
            <w:shd w:val="clear" w:color="auto" w:fill="auto"/>
            <w:noWrap/>
            <w:vAlign w:val="bottom"/>
            <w:hideMark/>
          </w:tcPr>
          <w:p w14:paraId="516B2899" w14:textId="53C67915" w:rsidR="00EA3940" w:rsidRPr="00EA3940" w:rsidRDefault="00EA3940" w:rsidP="00EA3940">
            <w:pPr>
              <w:spacing w:after="0" w:line="240" w:lineRule="auto"/>
              <w:jc w:val="center"/>
              <w:rPr>
                <w:rFonts w:eastAsia="Times New Roman" w:cstheme="minorHAnsi"/>
                <w:color w:val="000000"/>
                <w:sz w:val="18"/>
                <w:szCs w:val="18"/>
                <w:lang w:eastAsia="hr-HR"/>
              </w:rPr>
            </w:pPr>
          </w:p>
        </w:tc>
      </w:tr>
      <w:tr w:rsidR="00EA3940" w:rsidRPr="00F7160C" w14:paraId="09D72D9F" w14:textId="77777777" w:rsidTr="00EA3940">
        <w:trPr>
          <w:trHeight w:val="340"/>
        </w:trPr>
        <w:tc>
          <w:tcPr>
            <w:tcW w:w="581" w:type="dxa"/>
            <w:shd w:val="clear" w:color="auto" w:fill="auto"/>
            <w:noWrap/>
            <w:vAlign w:val="center"/>
            <w:hideMark/>
          </w:tcPr>
          <w:p w14:paraId="275F3EC5"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2.6</w:t>
            </w:r>
          </w:p>
        </w:tc>
        <w:tc>
          <w:tcPr>
            <w:tcW w:w="2603" w:type="dxa"/>
            <w:shd w:val="clear" w:color="auto" w:fill="auto"/>
            <w:vAlign w:val="center"/>
            <w:hideMark/>
          </w:tcPr>
          <w:p w14:paraId="0BF7E5DC"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Rezerviranja</w:t>
            </w:r>
          </w:p>
        </w:tc>
        <w:tc>
          <w:tcPr>
            <w:tcW w:w="1361" w:type="dxa"/>
            <w:shd w:val="clear" w:color="auto" w:fill="auto"/>
            <w:noWrap/>
            <w:vAlign w:val="bottom"/>
            <w:hideMark/>
          </w:tcPr>
          <w:p w14:paraId="4039D7AD" w14:textId="5648505A"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245.506</w:t>
            </w:r>
          </w:p>
        </w:tc>
        <w:tc>
          <w:tcPr>
            <w:tcW w:w="796" w:type="dxa"/>
            <w:shd w:val="clear" w:color="auto" w:fill="auto"/>
            <w:noWrap/>
            <w:vAlign w:val="bottom"/>
            <w:hideMark/>
          </w:tcPr>
          <w:p w14:paraId="0613EEE1" w14:textId="06EC8D10"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45BFD7D9" w14:textId="2DF16B95"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1,99%</w:t>
            </w:r>
          </w:p>
        </w:tc>
        <w:tc>
          <w:tcPr>
            <w:tcW w:w="1301" w:type="dxa"/>
            <w:shd w:val="clear" w:color="auto" w:fill="auto"/>
            <w:noWrap/>
            <w:vAlign w:val="bottom"/>
            <w:hideMark/>
          </w:tcPr>
          <w:p w14:paraId="6BC87CD1" w14:textId="09F959D2"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0</w:t>
            </w:r>
          </w:p>
        </w:tc>
        <w:tc>
          <w:tcPr>
            <w:tcW w:w="796" w:type="dxa"/>
            <w:shd w:val="clear" w:color="auto" w:fill="auto"/>
            <w:noWrap/>
            <w:vAlign w:val="bottom"/>
            <w:hideMark/>
          </w:tcPr>
          <w:p w14:paraId="056947BA" w14:textId="751D870B"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32F17054" w14:textId="7E2C83A3"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0,00%</w:t>
            </w:r>
          </w:p>
        </w:tc>
        <w:tc>
          <w:tcPr>
            <w:tcW w:w="796" w:type="dxa"/>
            <w:shd w:val="clear" w:color="auto" w:fill="auto"/>
            <w:noWrap/>
            <w:vAlign w:val="bottom"/>
            <w:hideMark/>
          </w:tcPr>
          <w:p w14:paraId="736F2479" w14:textId="38E8A273"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0%</w:t>
            </w:r>
          </w:p>
        </w:tc>
      </w:tr>
      <w:tr w:rsidR="00EA3940" w:rsidRPr="00F7160C" w14:paraId="460CE293" w14:textId="77777777" w:rsidTr="00EA3940">
        <w:trPr>
          <w:trHeight w:val="340"/>
        </w:trPr>
        <w:tc>
          <w:tcPr>
            <w:tcW w:w="581" w:type="dxa"/>
            <w:shd w:val="clear" w:color="auto" w:fill="auto"/>
            <w:noWrap/>
            <w:vAlign w:val="center"/>
            <w:hideMark/>
          </w:tcPr>
          <w:p w14:paraId="1EFDE363"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2.7</w:t>
            </w:r>
          </w:p>
        </w:tc>
        <w:tc>
          <w:tcPr>
            <w:tcW w:w="2603" w:type="dxa"/>
            <w:shd w:val="clear" w:color="auto" w:fill="auto"/>
            <w:vAlign w:val="center"/>
            <w:hideMark/>
          </w:tcPr>
          <w:p w14:paraId="0D091067" w14:textId="77777777" w:rsidR="00EA3940" w:rsidRPr="00F7160C" w:rsidRDefault="00EA3940" w:rsidP="00EA3940">
            <w:pPr>
              <w:spacing w:after="0" w:line="240" w:lineRule="auto"/>
              <w:rPr>
                <w:rFonts w:eastAsia="Times New Roman" w:cstheme="minorHAnsi"/>
                <w:sz w:val="18"/>
                <w:szCs w:val="18"/>
                <w:lang w:eastAsia="hr-HR"/>
              </w:rPr>
            </w:pPr>
            <w:r w:rsidRPr="00F7160C">
              <w:rPr>
                <w:rFonts w:eastAsia="Times New Roman" w:cstheme="minorHAnsi"/>
                <w:sz w:val="18"/>
                <w:szCs w:val="18"/>
                <w:lang w:eastAsia="hr-HR"/>
              </w:rPr>
              <w:t>Ostali poslovni rashodi</w:t>
            </w:r>
          </w:p>
        </w:tc>
        <w:tc>
          <w:tcPr>
            <w:tcW w:w="1361" w:type="dxa"/>
            <w:shd w:val="clear" w:color="auto" w:fill="auto"/>
            <w:noWrap/>
            <w:vAlign w:val="bottom"/>
            <w:hideMark/>
          </w:tcPr>
          <w:p w14:paraId="2FC7052D" w14:textId="4FE63DC9" w:rsidR="00EA3940" w:rsidRPr="00F7160C" w:rsidRDefault="00EA3940" w:rsidP="00EA3940">
            <w:pPr>
              <w:spacing w:after="0" w:line="240" w:lineRule="auto"/>
              <w:jc w:val="center"/>
              <w:rPr>
                <w:rFonts w:eastAsia="Times New Roman" w:cstheme="minorHAnsi"/>
                <w:sz w:val="18"/>
                <w:szCs w:val="18"/>
                <w:lang w:eastAsia="hr-HR"/>
              </w:rPr>
            </w:pPr>
            <w:r w:rsidRPr="00F7160C">
              <w:rPr>
                <w:rFonts w:eastAsia="Times New Roman" w:cstheme="minorHAnsi"/>
                <w:color w:val="000000"/>
                <w:sz w:val="18"/>
                <w:szCs w:val="18"/>
                <w:lang w:eastAsia="hr-HR"/>
              </w:rPr>
              <w:t>15.441</w:t>
            </w:r>
          </w:p>
        </w:tc>
        <w:tc>
          <w:tcPr>
            <w:tcW w:w="796" w:type="dxa"/>
            <w:shd w:val="clear" w:color="auto" w:fill="auto"/>
            <w:noWrap/>
            <w:vAlign w:val="bottom"/>
            <w:hideMark/>
          </w:tcPr>
          <w:p w14:paraId="011E6D50" w14:textId="129A893F"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07544100" w14:textId="17B020D5"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color w:val="000000"/>
                <w:sz w:val="18"/>
                <w:szCs w:val="18"/>
                <w:lang w:eastAsia="hr-HR"/>
              </w:rPr>
              <w:t>0,13%</w:t>
            </w:r>
          </w:p>
        </w:tc>
        <w:tc>
          <w:tcPr>
            <w:tcW w:w="1301" w:type="dxa"/>
            <w:shd w:val="clear" w:color="auto" w:fill="auto"/>
            <w:noWrap/>
            <w:vAlign w:val="bottom"/>
            <w:hideMark/>
          </w:tcPr>
          <w:p w14:paraId="464E538D" w14:textId="59B7E086"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13.799</w:t>
            </w:r>
          </w:p>
        </w:tc>
        <w:tc>
          <w:tcPr>
            <w:tcW w:w="796" w:type="dxa"/>
            <w:shd w:val="clear" w:color="auto" w:fill="auto"/>
            <w:noWrap/>
            <w:vAlign w:val="bottom"/>
            <w:hideMark/>
          </w:tcPr>
          <w:p w14:paraId="45E81031" w14:textId="4D8FE2B1"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72C2005D" w14:textId="2E7C666A"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0,11%</w:t>
            </w:r>
          </w:p>
        </w:tc>
        <w:tc>
          <w:tcPr>
            <w:tcW w:w="796" w:type="dxa"/>
            <w:shd w:val="clear" w:color="auto" w:fill="auto"/>
            <w:noWrap/>
            <w:vAlign w:val="bottom"/>
            <w:hideMark/>
          </w:tcPr>
          <w:p w14:paraId="1794E474" w14:textId="3629CC53" w:rsidR="00EA3940" w:rsidRPr="00EA3940" w:rsidRDefault="00EA3940" w:rsidP="00EA3940">
            <w:pPr>
              <w:spacing w:after="0" w:line="240" w:lineRule="auto"/>
              <w:jc w:val="center"/>
              <w:rPr>
                <w:rFonts w:eastAsia="Times New Roman" w:cstheme="minorHAnsi"/>
                <w:color w:val="000000"/>
                <w:sz w:val="18"/>
                <w:szCs w:val="18"/>
                <w:lang w:eastAsia="hr-HR"/>
              </w:rPr>
            </w:pPr>
            <w:r w:rsidRPr="00EA3940">
              <w:rPr>
                <w:rFonts w:ascii="Calibri" w:hAnsi="Calibri" w:cs="Calibri"/>
                <w:color w:val="000000"/>
                <w:sz w:val="18"/>
                <w:szCs w:val="18"/>
              </w:rPr>
              <w:t>89%</w:t>
            </w:r>
          </w:p>
        </w:tc>
      </w:tr>
      <w:tr w:rsidR="00EA3940" w:rsidRPr="00F7160C" w14:paraId="67B514FC" w14:textId="77777777" w:rsidTr="00EA3940">
        <w:trPr>
          <w:trHeight w:val="340"/>
        </w:trPr>
        <w:tc>
          <w:tcPr>
            <w:tcW w:w="581" w:type="dxa"/>
            <w:shd w:val="clear" w:color="auto" w:fill="auto"/>
            <w:noWrap/>
            <w:vAlign w:val="center"/>
            <w:hideMark/>
          </w:tcPr>
          <w:p w14:paraId="775CF039"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3.</w:t>
            </w:r>
          </w:p>
        </w:tc>
        <w:tc>
          <w:tcPr>
            <w:tcW w:w="2603" w:type="dxa"/>
            <w:shd w:val="clear" w:color="auto" w:fill="auto"/>
            <w:vAlign w:val="center"/>
            <w:hideMark/>
          </w:tcPr>
          <w:p w14:paraId="4378BE35"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 xml:space="preserve">FINANCIJSKI PRIHODI </w:t>
            </w:r>
          </w:p>
        </w:tc>
        <w:tc>
          <w:tcPr>
            <w:tcW w:w="1361" w:type="dxa"/>
            <w:shd w:val="clear" w:color="auto" w:fill="auto"/>
            <w:noWrap/>
            <w:vAlign w:val="bottom"/>
            <w:hideMark/>
          </w:tcPr>
          <w:p w14:paraId="0A25C8B4" w14:textId="1E52401B" w:rsidR="00EA3940" w:rsidRPr="00F7160C" w:rsidRDefault="00EA3940" w:rsidP="00EA3940">
            <w:pPr>
              <w:spacing w:after="0" w:line="240" w:lineRule="auto"/>
              <w:jc w:val="center"/>
              <w:rPr>
                <w:rFonts w:eastAsia="Times New Roman" w:cstheme="minorHAnsi"/>
                <w:b/>
                <w:bCs/>
                <w:sz w:val="18"/>
                <w:szCs w:val="18"/>
                <w:lang w:eastAsia="hr-HR"/>
              </w:rPr>
            </w:pPr>
            <w:r w:rsidRPr="00F7160C">
              <w:rPr>
                <w:rFonts w:eastAsia="Times New Roman" w:cstheme="minorHAnsi"/>
                <w:b/>
                <w:bCs/>
                <w:color w:val="000000"/>
                <w:sz w:val="18"/>
                <w:szCs w:val="18"/>
                <w:lang w:eastAsia="hr-HR"/>
              </w:rPr>
              <w:t>75.723</w:t>
            </w:r>
          </w:p>
        </w:tc>
        <w:tc>
          <w:tcPr>
            <w:tcW w:w="796" w:type="dxa"/>
            <w:shd w:val="clear" w:color="auto" w:fill="auto"/>
            <w:noWrap/>
            <w:vAlign w:val="bottom"/>
            <w:hideMark/>
          </w:tcPr>
          <w:p w14:paraId="669165E0" w14:textId="391E2E5C"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0,60%</w:t>
            </w:r>
          </w:p>
        </w:tc>
        <w:tc>
          <w:tcPr>
            <w:tcW w:w="796" w:type="dxa"/>
            <w:shd w:val="clear" w:color="auto" w:fill="auto"/>
            <w:noWrap/>
            <w:vAlign w:val="bottom"/>
            <w:hideMark/>
          </w:tcPr>
          <w:p w14:paraId="72FE1CF6" w14:textId="23F891F8"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1301" w:type="dxa"/>
            <w:shd w:val="clear" w:color="auto" w:fill="auto"/>
            <w:noWrap/>
            <w:vAlign w:val="bottom"/>
            <w:hideMark/>
          </w:tcPr>
          <w:p w14:paraId="19A9FA5D" w14:textId="2B15F6E5"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68.945</w:t>
            </w:r>
          </w:p>
        </w:tc>
        <w:tc>
          <w:tcPr>
            <w:tcW w:w="796" w:type="dxa"/>
            <w:shd w:val="clear" w:color="auto" w:fill="auto"/>
            <w:noWrap/>
            <w:vAlign w:val="bottom"/>
            <w:hideMark/>
          </w:tcPr>
          <w:p w14:paraId="28F671F7" w14:textId="098BDCBD"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0,</w:t>
            </w:r>
            <w:r>
              <w:rPr>
                <w:rFonts w:eastAsia="Times New Roman" w:cstheme="minorHAnsi"/>
                <w:b/>
                <w:bCs/>
                <w:color w:val="000000"/>
                <w:sz w:val="18"/>
                <w:szCs w:val="18"/>
                <w:lang w:eastAsia="hr-HR"/>
              </w:rPr>
              <w:t>55</w:t>
            </w:r>
            <w:r w:rsidRPr="00F7160C">
              <w:rPr>
                <w:rFonts w:eastAsia="Times New Roman" w:cstheme="minorHAnsi"/>
                <w:b/>
                <w:bCs/>
                <w:color w:val="000000"/>
                <w:sz w:val="18"/>
                <w:szCs w:val="18"/>
                <w:lang w:eastAsia="hr-HR"/>
              </w:rPr>
              <w:t>%</w:t>
            </w:r>
          </w:p>
        </w:tc>
        <w:tc>
          <w:tcPr>
            <w:tcW w:w="796" w:type="dxa"/>
            <w:shd w:val="clear" w:color="auto" w:fill="auto"/>
            <w:noWrap/>
            <w:vAlign w:val="bottom"/>
            <w:hideMark/>
          </w:tcPr>
          <w:p w14:paraId="117EE2B5" w14:textId="12049FA1"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shd w:val="clear" w:color="auto" w:fill="auto"/>
            <w:noWrap/>
            <w:vAlign w:val="bottom"/>
            <w:hideMark/>
          </w:tcPr>
          <w:p w14:paraId="4BCBE24A" w14:textId="4977C086"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91%</w:t>
            </w:r>
          </w:p>
        </w:tc>
      </w:tr>
      <w:tr w:rsidR="00EA3940" w:rsidRPr="00F7160C" w14:paraId="5664ED8E" w14:textId="77777777" w:rsidTr="00EA3940">
        <w:trPr>
          <w:trHeight w:val="340"/>
        </w:trPr>
        <w:tc>
          <w:tcPr>
            <w:tcW w:w="581" w:type="dxa"/>
            <w:shd w:val="clear" w:color="auto" w:fill="auto"/>
            <w:noWrap/>
            <w:vAlign w:val="center"/>
            <w:hideMark/>
          </w:tcPr>
          <w:p w14:paraId="28F2FB2A"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4.</w:t>
            </w:r>
          </w:p>
        </w:tc>
        <w:tc>
          <w:tcPr>
            <w:tcW w:w="2603" w:type="dxa"/>
            <w:shd w:val="clear" w:color="auto" w:fill="auto"/>
            <w:vAlign w:val="center"/>
            <w:hideMark/>
          </w:tcPr>
          <w:p w14:paraId="0C9A3827"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 xml:space="preserve">FINANCIJSKI RASHODI </w:t>
            </w:r>
          </w:p>
        </w:tc>
        <w:tc>
          <w:tcPr>
            <w:tcW w:w="1361" w:type="dxa"/>
            <w:shd w:val="clear" w:color="auto" w:fill="auto"/>
            <w:noWrap/>
            <w:vAlign w:val="bottom"/>
            <w:hideMark/>
          </w:tcPr>
          <w:p w14:paraId="1368E4FF" w14:textId="576815FF" w:rsidR="00EA3940" w:rsidRPr="00F7160C" w:rsidRDefault="00EA3940" w:rsidP="00EA3940">
            <w:pPr>
              <w:spacing w:after="0" w:line="240" w:lineRule="auto"/>
              <w:jc w:val="center"/>
              <w:rPr>
                <w:rFonts w:eastAsia="Times New Roman" w:cstheme="minorHAnsi"/>
                <w:b/>
                <w:bCs/>
                <w:sz w:val="18"/>
                <w:szCs w:val="18"/>
                <w:lang w:eastAsia="hr-HR"/>
              </w:rPr>
            </w:pPr>
            <w:r w:rsidRPr="00F7160C">
              <w:rPr>
                <w:rFonts w:eastAsia="Times New Roman" w:cstheme="minorHAnsi"/>
                <w:b/>
                <w:bCs/>
                <w:color w:val="000000"/>
                <w:sz w:val="18"/>
                <w:szCs w:val="18"/>
                <w:lang w:eastAsia="hr-HR"/>
              </w:rPr>
              <w:t>141.323</w:t>
            </w:r>
          </w:p>
        </w:tc>
        <w:tc>
          <w:tcPr>
            <w:tcW w:w="796" w:type="dxa"/>
            <w:shd w:val="clear" w:color="auto" w:fill="auto"/>
            <w:noWrap/>
            <w:vAlign w:val="bottom"/>
            <w:hideMark/>
          </w:tcPr>
          <w:p w14:paraId="3A25C049" w14:textId="566C905F"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shd w:val="clear" w:color="auto" w:fill="auto"/>
            <w:noWrap/>
            <w:vAlign w:val="bottom"/>
            <w:hideMark/>
          </w:tcPr>
          <w:p w14:paraId="554E8C75" w14:textId="385BB7EB"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1,15%</w:t>
            </w:r>
          </w:p>
        </w:tc>
        <w:tc>
          <w:tcPr>
            <w:tcW w:w="1301" w:type="dxa"/>
            <w:shd w:val="clear" w:color="auto" w:fill="auto"/>
            <w:noWrap/>
            <w:vAlign w:val="bottom"/>
            <w:hideMark/>
          </w:tcPr>
          <w:p w14:paraId="416F3979" w14:textId="0EF35AA7"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152.003</w:t>
            </w:r>
          </w:p>
        </w:tc>
        <w:tc>
          <w:tcPr>
            <w:tcW w:w="796" w:type="dxa"/>
            <w:shd w:val="clear" w:color="auto" w:fill="auto"/>
            <w:noWrap/>
            <w:vAlign w:val="bottom"/>
            <w:hideMark/>
          </w:tcPr>
          <w:p w14:paraId="62FCB00C" w14:textId="1DEB5EC9"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shd w:val="clear" w:color="auto" w:fill="auto"/>
            <w:noWrap/>
            <w:vAlign w:val="bottom"/>
            <w:hideMark/>
          </w:tcPr>
          <w:p w14:paraId="12FA9514" w14:textId="1C196E96"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w:t>
            </w:r>
            <w:r>
              <w:rPr>
                <w:rFonts w:eastAsia="Times New Roman" w:cstheme="minorHAnsi"/>
                <w:b/>
                <w:bCs/>
                <w:color w:val="000000"/>
                <w:sz w:val="18"/>
                <w:szCs w:val="18"/>
                <w:lang w:eastAsia="hr-HR"/>
              </w:rPr>
              <w:t>21</w:t>
            </w:r>
            <w:r w:rsidRPr="00F7160C">
              <w:rPr>
                <w:rFonts w:eastAsia="Times New Roman" w:cstheme="minorHAnsi"/>
                <w:b/>
                <w:bCs/>
                <w:color w:val="000000"/>
                <w:sz w:val="18"/>
                <w:szCs w:val="18"/>
                <w:lang w:eastAsia="hr-HR"/>
              </w:rPr>
              <w:t>%</w:t>
            </w:r>
          </w:p>
        </w:tc>
        <w:tc>
          <w:tcPr>
            <w:tcW w:w="796" w:type="dxa"/>
            <w:shd w:val="clear" w:color="auto" w:fill="auto"/>
            <w:noWrap/>
            <w:vAlign w:val="bottom"/>
            <w:hideMark/>
          </w:tcPr>
          <w:p w14:paraId="3235D624" w14:textId="32BDA424"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108%</w:t>
            </w:r>
          </w:p>
        </w:tc>
      </w:tr>
      <w:tr w:rsidR="00EA3940" w:rsidRPr="00F7160C" w14:paraId="6C8BD1F6" w14:textId="77777777" w:rsidTr="00EA3940">
        <w:trPr>
          <w:trHeight w:val="340"/>
        </w:trPr>
        <w:tc>
          <w:tcPr>
            <w:tcW w:w="581" w:type="dxa"/>
            <w:shd w:val="clear" w:color="auto" w:fill="auto"/>
            <w:noWrap/>
            <w:vAlign w:val="center"/>
            <w:hideMark/>
          </w:tcPr>
          <w:p w14:paraId="78FA4F8D"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5.</w:t>
            </w:r>
          </w:p>
        </w:tc>
        <w:tc>
          <w:tcPr>
            <w:tcW w:w="2603" w:type="dxa"/>
            <w:shd w:val="clear" w:color="auto" w:fill="auto"/>
            <w:vAlign w:val="center"/>
            <w:hideMark/>
          </w:tcPr>
          <w:p w14:paraId="35CAD4CD"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UKUPNI PRIHODI</w:t>
            </w:r>
          </w:p>
        </w:tc>
        <w:tc>
          <w:tcPr>
            <w:tcW w:w="1361" w:type="dxa"/>
            <w:shd w:val="clear" w:color="auto" w:fill="auto"/>
            <w:noWrap/>
            <w:vAlign w:val="bottom"/>
            <w:hideMark/>
          </w:tcPr>
          <w:p w14:paraId="41528AA0" w14:textId="1C880CCB"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12.670.009</w:t>
            </w:r>
          </w:p>
        </w:tc>
        <w:tc>
          <w:tcPr>
            <w:tcW w:w="796" w:type="dxa"/>
            <w:shd w:val="clear" w:color="auto" w:fill="auto"/>
            <w:noWrap/>
            <w:vAlign w:val="bottom"/>
            <w:hideMark/>
          </w:tcPr>
          <w:p w14:paraId="169CE0E9" w14:textId="2D48FCE5"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100%</w:t>
            </w:r>
          </w:p>
        </w:tc>
        <w:tc>
          <w:tcPr>
            <w:tcW w:w="796" w:type="dxa"/>
            <w:shd w:val="clear" w:color="auto" w:fill="auto"/>
            <w:noWrap/>
            <w:vAlign w:val="bottom"/>
            <w:hideMark/>
          </w:tcPr>
          <w:p w14:paraId="1B6D1ABF" w14:textId="69A0096D"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1301" w:type="dxa"/>
            <w:shd w:val="clear" w:color="auto" w:fill="auto"/>
            <w:noWrap/>
            <w:vAlign w:val="bottom"/>
            <w:hideMark/>
          </w:tcPr>
          <w:p w14:paraId="43A7CB88" w14:textId="1EDDCDFE"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12.637.010</w:t>
            </w:r>
          </w:p>
        </w:tc>
        <w:tc>
          <w:tcPr>
            <w:tcW w:w="796" w:type="dxa"/>
            <w:shd w:val="clear" w:color="auto" w:fill="auto"/>
            <w:noWrap/>
            <w:vAlign w:val="bottom"/>
            <w:hideMark/>
          </w:tcPr>
          <w:p w14:paraId="1737F873" w14:textId="77777777"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100%</w:t>
            </w:r>
          </w:p>
        </w:tc>
        <w:tc>
          <w:tcPr>
            <w:tcW w:w="796" w:type="dxa"/>
            <w:shd w:val="clear" w:color="auto" w:fill="auto"/>
            <w:noWrap/>
            <w:vAlign w:val="bottom"/>
            <w:hideMark/>
          </w:tcPr>
          <w:p w14:paraId="594317A9" w14:textId="3B969495"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shd w:val="clear" w:color="auto" w:fill="auto"/>
            <w:noWrap/>
            <w:vAlign w:val="bottom"/>
            <w:hideMark/>
          </w:tcPr>
          <w:p w14:paraId="7DEF9DF6" w14:textId="5BEFC82E"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100%</w:t>
            </w:r>
          </w:p>
        </w:tc>
      </w:tr>
      <w:tr w:rsidR="00EA3940" w:rsidRPr="00F7160C" w14:paraId="6EC5BBD3" w14:textId="77777777" w:rsidTr="00EA3940">
        <w:trPr>
          <w:trHeight w:val="340"/>
        </w:trPr>
        <w:tc>
          <w:tcPr>
            <w:tcW w:w="581" w:type="dxa"/>
            <w:shd w:val="clear" w:color="auto" w:fill="auto"/>
            <w:noWrap/>
            <w:vAlign w:val="center"/>
            <w:hideMark/>
          </w:tcPr>
          <w:p w14:paraId="4B02C446"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6.</w:t>
            </w:r>
          </w:p>
        </w:tc>
        <w:tc>
          <w:tcPr>
            <w:tcW w:w="2603" w:type="dxa"/>
            <w:shd w:val="clear" w:color="auto" w:fill="auto"/>
            <w:vAlign w:val="center"/>
            <w:hideMark/>
          </w:tcPr>
          <w:p w14:paraId="44309FA6"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UKUPNI RASHODI</w:t>
            </w:r>
          </w:p>
        </w:tc>
        <w:tc>
          <w:tcPr>
            <w:tcW w:w="1361" w:type="dxa"/>
            <w:shd w:val="clear" w:color="auto" w:fill="auto"/>
            <w:noWrap/>
            <w:vAlign w:val="bottom"/>
            <w:hideMark/>
          </w:tcPr>
          <w:p w14:paraId="18698490" w14:textId="6FAD426C"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12.306.460</w:t>
            </w:r>
          </w:p>
        </w:tc>
        <w:tc>
          <w:tcPr>
            <w:tcW w:w="796" w:type="dxa"/>
            <w:shd w:val="clear" w:color="auto" w:fill="auto"/>
            <w:noWrap/>
            <w:vAlign w:val="bottom"/>
            <w:hideMark/>
          </w:tcPr>
          <w:p w14:paraId="230F5950" w14:textId="1ACEE6E2" w:rsidR="00EA3940" w:rsidRPr="00F7160C" w:rsidRDefault="00EA3940" w:rsidP="00EA3940">
            <w:pPr>
              <w:spacing w:after="0" w:line="240" w:lineRule="auto"/>
              <w:jc w:val="center"/>
              <w:rPr>
                <w:rFonts w:eastAsia="Times New Roman" w:cstheme="minorHAnsi"/>
                <w:b/>
                <w:bCs/>
                <w:color w:val="000000"/>
                <w:sz w:val="18"/>
                <w:szCs w:val="18"/>
                <w:lang w:eastAsia="hr-HR"/>
              </w:rPr>
            </w:pPr>
          </w:p>
        </w:tc>
        <w:tc>
          <w:tcPr>
            <w:tcW w:w="796" w:type="dxa"/>
            <w:shd w:val="clear" w:color="auto" w:fill="auto"/>
            <w:noWrap/>
            <w:vAlign w:val="bottom"/>
            <w:hideMark/>
          </w:tcPr>
          <w:p w14:paraId="1EE2131A" w14:textId="1CBA2A5F"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100%</w:t>
            </w:r>
          </w:p>
        </w:tc>
        <w:tc>
          <w:tcPr>
            <w:tcW w:w="1301" w:type="dxa"/>
            <w:shd w:val="clear" w:color="auto" w:fill="auto"/>
            <w:noWrap/>
            <w:vAlign w:val="bottom"/>
            <w:hideMark/>
          </w:tcPr>
          <w:p w14:paraId="62039965" w14:textId="795B31C2"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12.587.887</w:t>
            </w:r>
          </w:p>
        </w:tc>
        <w:tc>
          <w:tcPr>
            <w:tcW w:w="796" w:type="dxa"/>
            <w:shd w:val="clear" w:color="auto" w:fill="auto"/>
            <w:noWrap/>
            <w:vAlign w:val="bottom"/>
            <w:hideMark/>
          </w:tcPr>
          <w:p w14:paraId="3F20A670" w14:textId="0E7C1BE9"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629DDBFF" w14:textId="77777777" w:rsidR="00EA3940" w:rsidRPr="00F7160C" w:rsidRDefault="00EA3940" w:rsidP="00EA3940">
            <w:pPr>
              <w:spacing w:after="0" w:line="240" w:lineRule="auto"/>
              <w:jc w:val="center"/>
              <w:rPr>
                <w:rFonts w:eastAsia="Times New Roman" w:cstheme="minorHAnsi"/>
                <w:b/>
                <w:bCs/>
                <w:color w:val="000000"/>
                <w:sz w:val="18"/>
                <w:szCs w:val="18"/>
                <w:lang w:eastAsia="hr-HR"/>
              </w:rPr>
            </w:pPr>
            <w:r w:rsidRPr="00F7160C">
              <w:rPr>
                <w:rFonts w:eastAsia="Times New Roman" w:cstheme="minorHAnsi"/>
                <w:b/>
                <w:bCs/>
                <w:color w:val="000000"/>
                <w:sz w:val="18"/>
                <w:szCs w:val="18"/>
                <w:lang w:eastAsia="hr-HR"/>
              </w:rPr>
              <w:t>100%</w:t>
            </w:r>
          </w:p>
        </w:tc>
        <w:tc>
          <w:tcPr>
            <w:tcW w:w="796" w:type="dxa"/>
            <w:shd w:val="clear" w:color="auto" w:fill="auto"/>
            <w:noWrap/>
            <w:vAlign w:val="bottom"/>
            <w:hideMark/>
          </w:tcPr>
          <w:p w14:paraId="5D0DA026" w14:textId="4D3A4339" w:rsidR="00EA3940" w:rsidRPr="00EA3940" w:rsidRDefault="00EA3940" w:rsidP="00EA3940">
            <w:pPr>
              <w:spacing w:after="0" w:line="240" w:lineRule="auto"/>
              <w:jc w:val="center"/>
              <w:rPr>
                <w:rFonts w:eastAsia="Times New Roman" w:cstheme="minorHAnsi"/>
                <w:b/>
                <w:bCs/>
                <w:color w:val="000000"/>
                <w:sz w:val="18"/>
                <w:szCs w:val="18"/>
                <w:lang w:eastAsia="hr-HR"/>
              </w:rPr>
            </w:pPr>
            <w:r w:rsidRPr="00EA3940">
              <w:rPr>
                <w:rFonts w:ascii="Calibri" w:hAnsi="Calibri" w:cs="Calibri"/>
                <w:b/>
                <w:bCs/>
                <w:color w:val="000000"/>
                <w:sz w:val="18"/>
                <w:szCs w:val="18"/>
              </w:rPr>
              <w:t>102%</w:t>
            </w:r>
          </w:p>
        </w:tc>
      </w:tr>
      <w:tr w:rsidR="00EA3940" w:rsidRPr="00F7160C" w14:paraId="570F7857" w14:textId="77777777" w:rsidTr="00EA3940">
        <w:trPr>
          <w:trHeight w:val="340"/>
        </w:trPr>
        <w:tc>
          <w:tcPr>
            <w:tcW w:w="581" w:type="dxa"/>
            <w:shd w:val="clear" w:color="auto" w:fill="auto"/>
            <w:noWrap/>
            <w:vAlign w:val="center"/>
            <w:hideMark/>
          </w:tcPr>
          <w:p w14:paraId="32C38EAE"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7.</w:t>
            </w:r>
          </w:p>
        </w:tc>
        <w:tc>
          <w:tcPr>
            <w:tcW w:w="2603" w:type="dxa"/>
            <w:shd w:val="clear" w:color="auto" w:fill="auto"/>
            <w:vAlign w:val="center"/>
            <w:hideMark/>
          </w:tcPr>
          <w:p w14:paraId="13457AF6" w14:textId="77777777"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b/>
                <w:bCs/>
                <w:sz w:val="18"/>
                <w:szCs w:val="18"/>
                <w:lang w:eastAsia="hr-HR"/>
              </w:rPr>
              <w:t>DOBIT PRIJE OPOREZIVANJA</w:t>
            </w:r>
          </w:p>
        </w:tc>
        <w:tc>
          <w:tcPr>
            <w:tcW w:w="1361" w:type="dxa"/>
            <w:shd w:val="clear" w:color="auto" w:fill="auto"/>
            <w:noWrap/>
            <w:vAlign w:val="bottom"/>
            <w:hideMark/>
          </w:tcPr>
          <w:p w14:paraId="6B8AE95C" w14:textId="4D6DF15C" w:rsidR="00EA3940" w:rsidRPr="00F7160C" w:rsidRDefault="00EA3940" w:rsidP="00EA3940">
            <w:pPr>
              <w:spacing w:after="0" w:line="240" w:lineRule="auto"/>
              <w:jc w:val="center"/>
              <w:rPr>
                <w:rFonts w:eastAsia="Times New Roman" w:cstheme="minorHAnsi"/>
                <w:color w:val="00B050"/>
                <w:sz w:val="18"/>
                <w:szCs w:val="18"/>
                <w:lang w:eastAsia="hr-HR"/>
              </w:rPr>
            </w:pPr>
            <w:r w:rsidRPr="00F7160C">
              <w:rPr>
                <w:rFonts w:eastAsia="Times New Roman" w:cstheme="minorHAnsi"/>
                <w:color w:val="00B050"/>
                <w:sz w:val="18"/>
                <w:szCs w:val="18"/>
                <w:lang w:eastAsia="hr-HR"/>
              </w:rPr>
              <w:t>363.549</w:t>
            </w:r>
          </w:p>
        </w:tc>
        <w:tc>
          <w:tcPr>
            <w:tcW w:w="796" w:type="dxa"/>
            <w:shd w:val="clear" w:color="auto" w:fill="auto"/>
            <w:noWrap/>
            <w:vAlign w:val="bottom"/>
            <w:hideMark/>
          </w:tcPr>
          <w:p w14:paraId="4B275EE4" w14:textId="77777777" w:rsidR="00EA3940" w:rsidRPr="00F7160C" w:rsidRDefault="00EA3940" w:rsidP="00EA3940">
            <w:pPr>
              <w:spacing w:after="0" w:line="240" w:lineRule="auto"/>
              <w:jc w:val="center"/>
              <w:rPr>
                <w:rFonts w:eastAsia="Times New Roman" w:cstheme="minorHAnsi"/>
                <w:color w:val="00B050"/>
                <w:sz w:val="18"/>
                <w:szCs w:val="18"/>
                <w:lang w:eastAsia="hr-HR"/>
              </w:rPr>
            </w:pPr>
          </w:p>
        </w:tc>
        <w:tc>
          <w:tcPr>
            <w:tcW w:w="796" w:type="dxa"/>
            <w:shd w:val="clear" w:color="auto" w:fill="auto"/>
            <w:noWrap/>
            <w:vAlign w:val="bottom"/>
            <w:hideMark/>
          </w:tcPr>
          <w:p w14:paraId="40701D08"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1301" w:type="dxa"/>
            <w:shd w:val="clear" w:color="auto" w:fill="auto"/>
            <w:noWrap/>
            <w:vAlign w:val="bottom"/>
            <w:hideMark/>
          </w:tcPr>
          <w:p w14:paraId="28168B55" w14:textId="6160B949" w:rsidR="00EA3940" w:rsidRPr="00EA3940" w:rsidRDefault="00EA3940" w:rsidP="00EA3940">
            <w:pPr>
              <w:spacing w:after="0" w:line="240" w:lineRule="auto"/>
              <w:jc w:val="center"/>
              <w:rPr>
                <w:rFonts w:eastAsia="Times New Roman" w:cstheme="minorHAnsi"/>
                <w:color w:val="00B050"/>
                <w:sz w:val="18"/>
                <w:szCs w:val="18"/>
                <w:lang w:eastAsia="hr-HR"/>
              </w:rPr>
            </w:pPr>
            <w:r w:rsidRPr="00EA3940">
              <w:rPr>
                <w:rFonts w:ascii="Calibri" w:hAnsi="Calibri" w:cs="Calibri"/>
                <w:color w:val="00B050"/>
                <w:sz w:val="18"/>
                <w:szCs w:val="18"/>
              </w:rPr>
              <w:t>49.123</w:t>
            </w:r>
          </w:p>
        </w:tc>
        <w:tc>
          <w:tcPr>
            <w:tcW w:w="796" w:type="dxa"/>
            <w:shd w:val="clear" w:color="auto" w:fill="auto"/>
            <w:noWrap/>
            <w:vAlign w:val="bottom"/>
            <w:hideMark/>
          </w:tcPr>
          <w:p w14:paraId="03EC040A" w14:textId="77777777" w:rsidR="00EA3940" w:rsidRPr="00F7160C" w:rsidRDefault="00EA3940" w:rsidP="00EA3940">
            <w:pPr>
              <w:spacing w:after="0" w:line="240" w:lineRule="auto"/>
              <w:jc w:val="center"/>
              <w:rPr>
                <w:rFonts w:eastAsia="Times New Roman" w:cstheme="minorHAnsi"/>
                <w:color w:val="00B050"/>
                <w:sz w:val="18"/>
                <w:szCs w:val="18"/>
                <w:lang w:eastAsia="hr-HR"/>
              </w:rPr>
            </w:pPr>
          </w:p>
        </w:tc>
        <w:tc>
          <w:tcPr>
            <w:tcW w:w="796" w:type="dxa"/>
            <w:shd w:val="clear" w:color="auto" w:fill="auto"/>
            <w:noWrap/>
            <w:vAlign w:val="bottom"/>
          </w:tcPr>
          <w:p w14:paraId="1063A40A"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796" w:type="dxa"/>
            <w:vMerge w:val="restart"/>
            <w:shd w:val="clear" w:color="auto" w:fill="auto"/>
            <w:noWrap/>
            <w:vAlign w:val="bottom"/>
          </w:tcPr>
          <w:p w14:paraId="5998D425" w14:textId="001FEEDA" w:rsidR="00EA3940" w:rsidRPr="00EA3940" w:rsidRDefault="00EA3940" w:rsidP="00EA3940">
            <w:pPr>
              <w:spacing w:after="0" w:line="240" w:lineRule="auto"/>
              <w:jc w:val="center"/>
              <w:rPr>
                <w:rFonts w:eastAsia="Times New Roman" w:cstheme="minorHAnsi"/>
                <w:sz w:val="18"/>
                <w:szCs w:val="18"/>
                <w:lang w:eastAsia="hr-HR"/>
              </w:rPr>
            </w:pPr>
          </w:p>
        </w:tc>
      </w:tr>
      <w:tr w:rsidR="00EA3940" w:rsidRPr="00F7160C" w14:paraId="7B8E5401" w14:textId="77777777" w:rsidTr="00EA3940">
        <w:trPr>
          <w:trHeight w:val="340"/>
        </w:trPr>
        <w:tc>
          <w:tcPr>
            <w:tcW w:w="581" w:type="dxa"/>
            <w:shd w:val="clear" w:color="auto" w:fill="auto"/>
            <w:noWrap/>
            <w:vAlign w:val="center"/>
            <w:hideMark/>
          </w:tcPr>
          <w:p w14:paraId="078886D6" w14:textId="55316673" w:rsidR="00EA3940" w:rsidRPr="00F7160C" w:rsidRDefault="00EA3940" w:rsidP="00EA3940">
            <w:pPr>
              <w:spacing w:after="0" w:line="240" w:lineRule="auto"/>
              <w:rPr>
                <w:rFonts w:eastAsia="Times New Roman" w:cstheme="minorHAnsi"/>
                <w:b/>
                <w:bCs/>
                <w:sz w:val="18"/>
                <w:szCs w:val="18"/>
                <w:lang w:eastAsia="hr-HR"/>
              </w:rPr>
            </w:pPr>
            <w:r>
              <w:rPr>
                <w:rFonts w:eastAsia="Times New Roman" w:cstheme="minorHAnsi"/>
                <w:sz w:val="18"/>
                <w:szCs w:val="18"/>
                <w:lang w:eastAsia="hr-HR"/>
              </w:rPr>
              <w:t>8</w:t>
            </w:r>
            <w:r w:rsidRPr="00F7160C">
              <w:rPr>
                <w:rFonts w:eastAsia="Times New Roman" w:cstheme="minorHAnsi"/>
                <w:sz w:val="18"/>
                <w:szCs w:val="18"/>
                <w:lang w:eastAsia="hr-HR"/>
              </w:rPr>
              <w:t>.</w:t>
            </w:r>
          </w:p>
        </w:tc>
        <w:tc>
          <w:tcPr>
            <w:tcW w:w="2603" w:type="dxa"/>
            <w:shd w:val="clear" w:color="auto" w:fill="auto"/>
            <w:vAlign w:val="center"/>
            <w:hideMark/>
          </w:tcPr>
          <w:p w14:paraId="1BA9826E" w14:textId="5A8D3448" w:rsidR="00EA3940" w:rsidRPr="00F7160C" w:rsidRDefault="00EA3940" w:rsidP="00EA3940">
            <w:pPr>
              <w:spacing w:after="0" w:line="240" w:lineRule="auto"/>
              <w:rPr>
                <w:rFonts w:eastAsia="Times New Roman" w:cstheme="minorHAnsi"/>
                <w:b/>
                <w:bCs/>
                <w:sz w:val="18"/>
                <w:szCs w:val="18"/>
                <w:lang w:eastAsia="hr-HR"/>
              </w:rPr>
            </w:pPr>
            <w:r w:rsidRPr="00F7160C">
              <w:rPr>
                <w:rFonts w:eastAsia="Times New Roman" w:cstheme="minorHAnsi"/>
                <w:color w:val="000000"/>
                <w:sz w:val="18"/>
                <w:szCs w:val="18"/>
                <w:lang w:eastAsia="hr-HR"/>
              </w:rPr>
              <w:t>Porez na dobit</w:t>
            </w:r>
          </w:p>
        </w:tc>
        <w:tc>
          <w:tcPr>
            <w:tcW w:w="1361" w:type="dxa"/>
            <w:shd w:val="clear" w:color="auto" w:fill="auto"/>
            <w:noWrap/>
            <w:vAlign w:val="bottom"/>
            <w:hideMark/>
          </w:tcPr>
          <w:p w14:paraId="50FD82C3" w14:textId="2DE4A420" w:rsidR="00EA3940" w:rsidRPr="00F7160C" w:rsidRDefault="00EA3940" w:rsidP="00EA3940">
            <w:pPr>
              <w:spacing w:after="0" w:line="240" w:lineRule="auto"/>
              <w:jc w:val="center"/>
              <w:rPr>
                <w:rFonts w:eastAsia="Times New Roman" w:cstheme="minorHAnsi"/>
                <w:b/>
                <w:bCs/>
                <w:sz w:val="18"/>
                <w:szCs w:val="18"/>
                <w:lang w:eastAsia="hr-HR"/>
              </w:rPr>
            </w:pPr>
            <w:r w:rsidRPr="00F7160C">
              <w:rPr>
                <w:rFonts w:eastAsia="Times New Roman" w:cstheme="minorHAnsi"/>
                <w:color w:val="000000"/>
                <w:sz w:val="18"/>
                <w:szCs w:val="18"/>
                <w:lang w:eastAsia="hr-HR"/>
              </w:rPr>
              <w:t>66.025</w:t>
            </w:r>
          </w:p>
        </w:tc>
        <w:tc>
          <w:tcPr>
            <w:tcW w:w="796" w:type="dxa"/>
            <w:shd w:val="clear" w:color="auto" w:fill="auto"/>
            <w:noWrap/>
            <w:vAlign w:val="bottom"/>
            <w:hideMark/>
          </w:tcPr>
          <w:p w14:paraId="288E53A6"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796" w:type="dxa"/>
            <w:shd w:val="clear" w:color="auto" w:fill="auto"/>
            <w:noWrap/>
            <w:vAlign w:val="bottom"/>
            <w:hideMark/>
          </w:tcPr>
          <w:p w14:paraId="772BD4DA"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1301" w:type="dxa"/>
            <w:shd w:val="clear" w:color="auto" w:fill="auto"/>
            <w:noWrap/>
            <w:vAlign w:val="bottom"/>
            <w:hideMark/>
          </w:tcPr>
          <w:p w14:paraId="6791AF52" w14:textId="52A5EE72" w:rsidR="00EA3940" w:rsidRPr="00EA3940" w:rsidRDefault="00EA3940" w:rsidP="00EA3940">
            <w:pPr>
              <w:spacing w:after="0" w:line="240" w:lineRule="auto"/>
              <w:jc w:val="center"/>
              <w:rPr>
                <w:rFonts w:eastAsia="Times New Roman" w:cstheme="minorHAnsi"/>
                <w:sz w:val="18"/>
                <w:szCs w:val="18"/>
                <w:lang w:eastAsia="hr-HR"/>
              </w:rPr>
            </w:pPr>
            <w:r w:rsidRPr="00EA3940">
              <w:rPr>
                <w:rFonts w:ascii="Calibri" w:hAnsi="Calibri" w:cs="Calibri"/>
                <w:color w:val="000000"/>
                <w:sz w:val="18"/>
                <w:szCs w:val="18"/>
              </w:rPr>
              <w:t>7.980</w:t>
            </w:r>
          </w:p>
        </w:tc>
        <w:tc>
          <w:tcPr>
            <w:tcW w:w="796" w:type="dxa"/>
            <w:shd w:val="clear" w:color="auto" w:fill="auto"/>
            <w:noWrap/>
            <w:vAlign w:val="bottom"/>
            <w:hideMark/>
          </w:tcPr>
          <w:p w14:paraId="5AFFCE01"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796" w:type="dxa"/>
            <w:shd w:val="clear" w:color="auto" w:fill="auto"/>
            <w:noWrap/>
            <w:vAlign w:val="bottom"/>
          </w:tcPr>
          <w:p w14:paraId="228EE7D0"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796" w:type="dxa"/>
            <w:vMerge/>
            <w:vAlign w:val="bottom"/>
          </w:tcPr>
          <w:p w14:paraId="5F5FDC2B" w14:textId="77777777" w:rsidR="00EA3940" w:rsidRPr="00F7160C" w:rsidRDefault="00EA3940" w:rsidP="00EA3940">
            <w:pPr>
              <w:spacing w:after="0" w:line="240" w:lineRule="auto"/>
              <w:jc w:val="center"/>
              <w:rPr>
                <w:rFonts w:eastAsia="Times New Roman" w:cstheme="minorHAnsi"/>
                <w:sz w:val="18"/>
                <w:szCs w:val="18"/>
                <w:lang w:eastAsia="hr-HR"/>
              </w:rPr>
            </w:pPr>
          </w:p>
        </w:tc>
      </w:tr>
      <w:tr w:rsidR="00EA3940" w:rsidRPr="00F7160C" w14:paraId="3357C6A9" w14:textId="77777777" w:rsidTr="00EA3940">
        <w:trPr>
          <w:trHeight w:val="340"/>
        </w:trPr>
        <w:tc>
          <w:tcPr>
            <w:tcW w:w="581" w:type="dxa"/>
            <w:shd w:val="clear" w:color="auto" w:fill="auto"/>
            <w:noWrap/>
            <w:vAlign w:val="center"/>
            <w:hideMark/>
          </w:tcPr>
          <w:p w14:paraId="1E39AA45" w14:textId="37CA5185" w:rsidR="00EA3940" w:rsidRPr="00F7160C" w:rsidRDefault="00EA3940" w:rsidP="00EA3940">
            <w:pPr>
              <w:spacing w:after="0" w:line="240" w:lineRule="auto"/>
              <w:rPr>
                <w:rFonts w:eastAsia="Times New Roman" w:cstheme="minorHAnsi"/>
                <w:sz w:val="18"/>
                <w:szCs w:val="18"/>
                <w:lang w:eastAsia="hr-HR"/>
              </w:rPr>
            </w:pPr>
            <w:r>
              <w:rPr>
                <w:rFonts w:eastAsia="Times New Roman" w:cstheme="minorHAnsi"/>
                <w:b/>
                <w:bCs/>
                <w:sz w:val="18"/>
                <w:szCs w:val="18"/>
                <w:lang w:eastAsia="hr-HR"/>
              </w:rPr>
              <w:t>9</w:t>
            </w:r>
            <w:r w:rsidRPr="00F7160C">
              <w:rPr>
                <w:rFonts w:eastAsia="Times New Roman" w:cstheme="minorHAnsi"/>
                <w:b/>
                <w:bCs/>
                <w:sz w:val="18"/>
                <w:szCs w:val="18"/>
                <w:lang w:eastAsia="hr-HR"/>
              </w:rPr>
              <w:t>.</w:t>
            </w:r>
          </w:p>
        </w:tc>
        <w:tc>
          <w:tcPr>
            <w:tcW w:w="2603" w:type="dxa"/>
            <w:shd w:val="clear" w:color="auto" w:fill="auto"/>
            <w:noWrap/>
            <w:vAlign w:val="center"/>
            <w:hideMark/>
          </w:tcPr>
          <w:p w14:paraId="2545CEF1" w14:textId="602C26BF" w:rsidR="00EA3940" w:rsidRPr="00F7160C" w:rsidRDefault="00EA3940" w:rsidP="00EA3940">
            <w:pPr>
              <w:spacing w:after="0" w:line="240" w:lineRule="auto"/>
              <w:rPr>
                <w:rFonts w:eastAsia="Times New Roman" w:cstheme="minorHAnsi"/>
                <w:color w:val="000000"/>
                <w:sz w:val="18"/>
                <w:szCs w:val="18"/>
                <w:lang w:eastAsia="hr-HR"/>
              </w:rPr>
            </w:pPr>
            <w:r w:rsidRPr="00F7160C">
              <w:rPr>
                <w:rFonts w:eastAsia="Times New Roman" w:cstheme="minorHAnsi"/>
                <w:b/>
                <w:bCs/>
                <w:color w:val="000000"/>
                <w:sz w:val="18"/>
                <w:szCs w:val="18"/>
                <w:lang w:eastAsia="hr-HR"/>
              </w:rPr>
              <w:t>DOBIT RAZDOBLJA</w:t>
            </w:r>
          </w:p>
        </w:tc>
        <w:tc>
          <w:tcPr>
            <w:tcW w:w="1361" w:type="dxa"/>
            <w:shd w:val="clear" w:color="auto" w:fill="auto"/>
            <w:noWrap/>
            <w:vAlign w:val="bottom"/>
            <w:hideMark/>
          </w:tcPr>
          <w:p w14:paraId="0220BE09" w14:textId="3D5FA147" w:rsidR="00EA3940" w:rsidRPr="00F7160C" w:rsidRDefault="00EA3940" w:rsidP="00EA3940">
            <w:pPr>
              <w:spacing w:after="0" w:line="240" w:lineRule="auto"/>
              <w:jc w:val="center"/>
              <w:rPr>
                <w:rFonts w:eastAsia="Times New Roman" w:cstheme="minorHAnsi"/>
                <w:color w:val="000000"/>
                <w:sz w:val="18"/>
                <w:szCs w:val="18"/>
                <w:lang w:eastAsia="hr-HR"/>
              </w:rPr>
            </w:pPr>
            <w:r w:rsidRPr="00F7160C">
              <w:rPr>
                <w:rFonts w:eastAsia="Times New Roman" w:cstheme="minorHAnsi"/>
                <w:b/>
                <w:bCs/>
                <w:color w:val="000000"/>
                <w:sz w:val="18"/>
                <w:szCs w:val="18"/>
                <w:lang w:eastAsia="hr-HR"/>
              </w:rPr>
              <w:t>297.524</w:t>
            </w:r>
          </w:p>
        </w:tc>
        <w:tc>
          <w:tcPr>
            <w:tcW w:w="796" w:type="dxa"/>
            <w:shd w:val="clear" w:color="auto" w:fill="auto"/>
            <w:noWrap/>
            <w:vAlign w:val="bottom"/>
            <w:hideMark/>
          </w:tcPr>
          <w:p w14:paraId="3D270183" w14:textId="77777777"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1C71D8CF"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1301" w:type="dxa"/>
            <w:shd w:val="clear" w:color="auto" w:fill="auto"/>
            <w:noWrap/>
            <w:vAlign w:val="bottom"/>
            <w:hideMark/>
          </w:tcPr>
          <w:p w14:paraId="56973BFD" w14:textId="390B2E4F" w:rsidR="00EA3940" w:rsidRPr="00B73CD0" w:rsidRDefault="00EA3940" w:rsidP="00EA3940">
            <w:pPr>
              <w:spacing w:after="0" w:line="240" w:lineRule="auto"/>
              <w:jc w:val="center"/>
              <w:rPr>
                <w:rFonts w:eastAsia="Times New Roman" w:cstheme="minorHAnsi"/>
                <w:b/>
                <w:bCs/>
                <w:color w:val="000000"/>
                <w:sz w:val="18"/>
                <w:szCs w:val="18"/>
                <w:lang w:eastAsia="hr-HR"/>
              </w:rPr>
            </w:pPr>
            <w:r w:rsidRPr="00B73CD0">
              <w:rPr>
                <w:rFonts w:ascii="Calibri" w:hAnsi="Calibri" w:cs="Calibri"/>
                <w:b/>
                <w:bCs/>
                <w:color w:val="000000"/>
                <w:sz w:val="18"/>
                <w:szCs w:val="18"/>
              </w:rPr>
              <w:t>41.143</w:t>
            </w:r>
          </w:p>
        </w:tc>
        <w:tc>
          <w:tcPr>
            <w:tcW w:w="796" w:type="dxa"/>
            <w:shd w:val="clear" w:color="auto" w:fill="auto"/>
            <w:noWrap/>
            <w:vAlign w:val="bottom"/>
            <w:hideMark/>
          </w:tcPr>
          <w:p w14:paraId="02E53AFF" w14:textId="77777777" w:rsidR="00EA3940" w:rsidRPr="00F7160C" w:rsidRDefault="00EA3940" w:rsidP="00EA3940">
            <w:pPr>
              <w:spacing w:after="0" w:line="240" w:lineRule="auto"/>
              <w:jc w:val="center"/>
              <w:rPr>
                <w:rFonts w:eastAsia="Times New Roman" w:cstheme="minorHAnsi"/>
                <w:color w:val="000000"/>
                <w:sz w:val="18"/>
                <w:szCs w:val="18"/>
                <w:lang w:eastAsia="hr-HR"/>
              </w:rPr>
            </w:pPr>
          </w:p>
        </w:tc>
        <w:tc>
          <w:tcPr>
            <w:tcW w:w="796" w:type="dxa"/>
            <w:shd w:val="clear" w:color="auto" w:fill="auto"/>
            <w:noWrap/>
            <w:vAlign w:val="bottom"/>
            <w:hideMark/>
          </w:tcPr>
          <w:p w14:paraId="2F14F333" w14:textId="77777777" w:rsidR="00EA3940" w:rsidRPr="00F7160C" w:rsidRDefault="00EA3940" w:rsidP="00EA3940">
            <w:pPr>
              <w:spacing w:after="0" w:line="240" w:lineRule="auto"/>
              <w:jc w:val="center"/>
              <w:rPr>
                <w:rFonts w:eastAsia="Times New Roman" w:cstheme="minorHAnsi"/>
                <w:sz w:val="18"/>
                <w:szCs w:val="18"/>
                <w:lang w:eastAsia="hr-HR"/>
              </w:rPr>
            </w:pPr>
          </w:p>
        </w:tc>
        <w:tc>
          <w:tcPr>
            <w:tcW w:w="796" w:type="dxa"/>
            <w:shd w:val="clear" w:color="auto" w:fill="auto"/>
            <w:noWrap/>
            <w:vAlign w:val="bottom"/>
            <w:hideMark/>
          </w:tcPr>
          <w:p w14:paraId="51C2A599" w14:textId="308B5770" w:rsidR="00EA3940" w:rsidRPr="00F7160C" w:rsidRDefault="00EA3940" w:rsidP="00EA3940">
            <w:pPr>
              <w:spacing w:after="0" w:line="240" w:lineRule="auto"/>
              <w:jc w:val="center"/>
              <w:rPr>
                <w:rFonts w:eastAsia="Times New Roman" w:cstheme="minorHAnsi"/>
                <w:sz w:val="18"/>
                <w:szCs w:val="18"/>
                <w:lang w:eastAsia="hr-HR"/>
              </w:rPr>
            </w:pPr>
          </w:p>
        </w:tc>
      </w:tr>
    </w:tbl>
    <w:p w14:paraId="7A10316B" w14:textId="5A44C3CA" w:rsidR="003841B1" w:rsidRPr="001C59D5" w:rsidRDefault="003841B1" w:rsidP="00840E6B">
      <w:pPr>
        <w:spacing w:before="120"/>
      </w:pPr>
    </w:p>
    <w:p w14:paraId="20A4370F" w14:textId="77777777" w:rsidR="00A2559C" w:rsidRPr="00A2559C" w:rsidRDefault="00A2559C" w:rsidP="00E12682">
      <w:pPr>
        <w:spacing w:line="360" w:lineRule="auto"/>
        <w:jc w:val="both"/>
        <w:rPr>
          <w:rFonts w:cstheme="minorHAnsi"/>
        </w:rPr>
      </w:pPr>
      <w:r w:rsidRPr="00CB3323">
        <w:rPr>
          <w:rFonts w:cstheme="minorHAnsi"/>
          <w:b/>
          <w:bCs/>
        </w:rPr>
        <w:t>Ukupni prihodi</w:t>
      </w:r>
      <w:r w:rsidRPr="00A2559C">
        <w:rPr>
          <w:rFonts w:cstheme="minorHAnsi"/>
          <w:b/>
          <w:bCs/>
          <w:u w:val="single"/>
        </w:rPr>
        <w:t xml:space="preserve"> </w:t>
      </w:r>
      <w:r w:rsidRPr="00A2559C">
        <w:rPr>
          <w:rFonts w:cstheme="minorHAnsi"/>
        </w:rPr>
        <w:t xml:space="preserve">ostvareni u 2024. godini iznose 12.637.010 eura, što je neznatno smanjenje (0,3%) u odnosu na prethodnu godinu, kada su iznosili 12.670.009 eura. </w:t>
      </w:r>
    </w:p>
    <w:p w14:paraId="2666D3EA" w14:textId="77777777" w:rsidR="002C4240" w:rsidRDefault="00094A50" w:rsidP="00E12682">
      <w:pPr>
        <w:spacing w:line="360" w:lineRule="auto"/>
        <w:jc w:val="both"/>
        <w:rPr>
          <w:rFonts w:cstheme="minorHAnsi"/>
          <w:b/>
          <w:bCs/>
          <w:u w:val="single"/>
        </w:rPr>
      </w:pPr>
      <w:r w:rsidRPr="00094A50">
        <w:rPr>
          <w:rFonts w:cstheme="minorHAnsi"/>
        </w:rPr>
        <w:t>U njihovoj strukturi najveći udio i dalje čine</w:t>
      </w:r>
      <w:r w:rsidRPr="00094A50">
        <w:rPr>
          <w:rFonts w:cstheme="minorHAnsi"/>
          <w:b/>
          <w:bCs/>
        </w:rPr>
        <w:t xml:space="preserve"> poslovni prihodi</w:t>
      </w:r>
      <w:r w:rsidRPr="00094A50">
        <w:rPr>
          <w:rFonts w:cstheme="minorHAnsi"/>
        </w:rPr>
        <w:t xml:space="preserve">, koji iznose 12.568.066 eura, odnosno 99% ukupnih prihoda. </w:t>
      </w:r>
      <w:r w:rsidRPr="00094A50">
        <w:rPr>
          <w:rFonts w:cstheme="minorHAnsi"/>
          <w:b/>
          <w:bCs/>
        </w:rPr>
        <w:t>Prihodi od prodaje</w:t>
      </w:r>
      <w:r w:rsidRPr="00094A50">
        <w:rPr>
          <w:rFonts w:cstheme="minorHAnsi"/>
        </w:rPr>
        <w:t xml:space="preserve"> ostvareni su u iznosu od 9.837.555 eura, što je povećanje od 1% u odnosu na 2023. godinu (9.728.107 eura). Većinu prihoda od prodaje čine prihodi od osnovne komunalne djelatnosti zaprimanja, obrade i zbrinjavanja otpada, u iznosu od 9.833.544 eura, dok se prihodi od prijevoza otpada iskazuju u iznosu od 2.473 eura, a prihodi od prodaje sekundarnih sirovina iznose 1.538 eura.</w:t>
      </w:r>
      <w:r>
        <w:rPr>
          <w:rFonts w:cstheme="minorHAnsi"/>
          <w:b/>
          <w:bCs/>
          <w:u w:val="single"/>
        </w:rPr>
        <w:t xml:space="preserve"> </w:t>
      </w:r>
    </w:p>
    <w:p w14:paraId="34FA0B63" w14:textId="77777777" w:rsidR="002C4240" w:rsidRDefault="002C4240">
      <w:pPr>
        <w:rPr>
          <w:rFonts w:cstheme="minorHAnsi"/>
          <w:b/>
          <w:bCs/>
        </w:rPr>
      </w:pPr>
      <w:r>
        <w:rPr>
          <w:rFonts w:cstheme="minorHAnsi"/>
          <w:b/>
          <w:bCs/>
        </w:rPr>
        <w:br w:type="page"/>
      </w:r>
    </w:p>
    <w:p w14:paraId="768F130D" w14:textId="42B484A3" w:rsidR="002C4240" w:rsidRDefault="002C4240" w:rsidP="002C4240">
      <w:pPr>
        <w:spacing w:line="360" w:lineRule="auto"/>
        <w:jc w:val="both"/>
        <w:rPr>
          <w:rFonts w:cstheme="minorHAnsi"/>
        </w:rPr>
      </w:pPr>
      <w:r w:rsidRPr="002C4240">
        <w:rPr>
          <w:rFonts w:cstheme="minorHAnsi"/>
          <w:b/>
          <w:bCs/>
        </w:rPr>
        <w:lastRenderedPageBreak/>
        <w:t xml:space="preserve">Ostali poslovni prihodi </w:t>
      </w:r>
      <w:r w:rsidRPr="002C4240">
        <w:rPr>
          <w:rFonts w:cstheme="minorHAnsi"/>
        </w:rPr>
        <w:t>iznose 2.730.511 eura, što je smanjenje od 5% u odnosu na prethodnu godinu</w:t>
      </w:r>
      <w:r>
        <w:rPr>
          <w:rFonts w:cstheme="minorHAnsi"/>
        </w:rPr>
        <w:t xml:space="preserve"> (2.866.179 eura)</w:t>
      </w:r>
      <w:r w:rsidRPr="002C4240">
        <w:rPr>
          <w:rFonts w:cstheme="minorHAnsi"/>
        </w:rPr>
        <w:t>. U najvećem dijelu odnose se na odgođene prihode od potpora za investicije (EU, FZOEU, PGŽ, Grad Rijeka, Ministarstvo)</w:t>
      </w:r>
      <w:r w:rsidR="00DB4BA3">
        <w:rPr>
          <w:rFonts w:cstheme="minorHAnsi"/>
        </w:rPr>
        <w:t xml:space="preserve"> u iznos</w:t>
      </w:r>
      <w:r w:rsidR="00DB4BA3" w:rsidRPr="00DB4BA3">
        <w:rPr>
          <w:rFonts w:cstheme="minorHAnsi"/>
        </w:rPr>
        <w:t>u od 2.219.022 eura.</w:t>
      </w:r>
      <w:r w:rsidRPr="002C4240">
        <w:rPr>
          <w:rFonts w:cstheme="minorHAnsi"/>
        </w:rPr>
        <w:t xml:space="preserve"> Ti se prihodi priznaju razmjerno amortizaciji imovine koja je financirana iz tih izvora.</w:t>
      </w:r>
    </w:p>
    <w:p w14:paraId="1651078F" w14:textId="565B2E98" w:rsidR="002C4240" w:rsidRPr="00DE0A66" w:rsidRDefault="002C4240" w:rsidP="00E12682">
      <w:pPr>
        <w:spacing w:line="360" w:lineRule="auto"/>
        <w:jc w:val="both"/>
        <w:rPr>
          <w:rFonts w:cstheme="minorHAnsi"/>
        </w:rPr>
      </w:pPr>
      <w:r w:rsidRPr="002C4240">
        <w:rPr>
          <w:rFonts w:cstheme="minorHAnsi"/>
        </w:rPr>
        <w:t>Preostali dio ostalih poslovnih prihoda čine subvencije za električnu energiju u iznosu od 257.515 eura, naplate šteta</w:t>
      </w:r>
      <w:r>
        <w:rPr>
          <w:rFonts w:cstheme="minorHAnsi"/>
        </w:rPr>
        <w:t xml:space="preserve"> temeljem osiguranja</w:t>
      </w:r>
      <w:r w:rsidRPr="002C4240">
        <w:rPr>
          <w:rFonts w:cstheme="minorHAnsi"/>
        </w:rPr>
        <w:t xml:space="preserve"> (113.689 eura), prihodi od ukidanja</w:t>
      </w:r>
      <w:r>
        <w:rPr>
          <w:rFonts w:cstheme="minorHAnsi"/>
        </w:rPr>
        <w:t xml:space="preserve"> dugoročnih </w:t>
      </w:r>
      <w:r w:rsidRPr="002C4240">
        <w:rPr>
          <w:rFonts w:cstheme="minorHAnsi"/>
        </w:rPr>
        <w:t>rezerviranja</w:t>
      </w:r>
      <w:r>
        <w:rPr>
          <w:rFonts w:cstheme="minorHAnsi"/>
        </w:rPr>
        <w:t xml:space="preserve"> </w:t>
      </w:r>
      <w:r w:rsidRPr="002C4240">
        <w:rPr>
          <w:rFonts w:cstheme="minorHAnsi"/>
        </w:rPr>
        <w:t>(33.582 eura), prihodi od prodaje imovine</w:t>
      </w:r>
      <w:r>
        <w:rPr>
          <w:rFonts w:cstheme="minorHAnsi"/>
        </w:rPr>
        <w:t xml:space="preserve"> (</w:t>
      </w:r>
      <w:r w:rsidRPr="002C4240">
        <w:rPr>
          <w:rFonts w:cstheme="minorHAnsi"/>
        </w:rPr>
        <w:t>81.351 eura), viškov</w:t>
      </w:r>
      <w:r w:rsidR="00DB4BA3">
        <w:rPr>
          <w:rFonts w:cstheme="minorHAnsi"/>
        </w:rPr>
        <w:t>i</w:t>
      </w:r>
      <w:r>
        <w:rPr>
          <w:rFonts w:cstheme="minorHAnsi"/>
        </w:rPr>
        <w:t xml:space="preserve"> </w:t>
      </w:r>
      <w:r w:rsidR="007B0B8D">
        <w:rPr>
          <w:rFonts w:cstheme="minorHAnsi"/>
        </w:rPr>
        <w:t xml:space="preserve">i naknadni popusti </w:t>
      </w:r>
      <w:r>
        <w:rPr>
          <w:rFonts w:cstheme="minorHAnsi"/>
        </w:rPr>
        <w:t>(1.7</w:t>
      </w:r>
      <w:r w:rsidR="007B0B8D">
        <w:rPr>
          <w:rFonts w:cstheme="minorHAnsi"/>
        </w:rPr>
        <w:t>32</w:t>
      </w:r>
      <w:r>
        <w:rPr>
          <w:rFonts w:cstheme="minorHAnsi"/>
        </w:rPr>
        <w:t xml:space="preserve"> eura)</w:t>
      </w:r>
      <w:r w:rsidRPr="002C4240">
        <w:rPr>
          <w:rFonts w:cstheme="minorHAnsi"/>
        </w:rPr>
        <w:t>, najma</w:t>
      </w:r>
      <w:r>
        <w:rPr>
          <w:rFonts w:cstheme="minorHAnsi"/>
        </w:rPr>
        <w:t xml:space="preserve"> (159)</w:t>
      </w:r>
      <w:r w:rsidR="007B0B8D">
        <w:rPr>
          <w:rFonts w:cstheme="minorHAnsi"/>
        </w:rPr>
        <w:t xml:space="preserve"> te naknadno utvrđeni prihodi koji se odnose na pretplatu naknade za opterećenje okoliša (23.460 eura)</w:t>
      </w:r>
      <w:r w:rsidR="00552834">
        <w:rPr>
          <w:rFonts w:cstheme="minorHAnsi"/>
        </w:rPr>
        <w:t>.</w:t>
      </w:r>
    </w:p>
    <w:p w14:paraId="7BD4CBB3" w14:textId="77777777" w:rsidR="00DE0A66" w:rsidRDefault="00DE0A66" w:rsidP="00DE0A66">
      <w:pPr>
        <w:spacing w:line="360" w:lineRule="auto"/>
        <w:jc w:val="both"/>
        <w:rPr>
          <w:rFonts w:cstheme="minorHAnsi"/>
          <w:b/>
          <w:bCs/>
          <w:u w:val="single"/>
        </w:rPr>
      </w:pPr>
    </w:p>
    <w:p w14:paraId="6FB67189" w14:textId="100DC896" w:rsidR="00DE0A66" w:rsidRPr="00DE0A66" w:rsidRDefault="003841B1" w:rsidP="00DE0A66">
      <w:pPr>
        <w:spacing w:line="360" w:lineRule="auto"/>
        <w:jc w:val="both"/>
        <w:rPr>
          <w:rFonts w:cstheme="minorHAnsi"/>
        </w:rPr>
      </w:pPr>
      <w:r w:rsidRPr="001C59D5">
        <w:rPr>
          <w:rFonts w:cstheme="minorHAnsi"/>
          <w:b/>
          <w:bCs/>
          <w:u w:val="single"/>
        </w:rPr>
        <w:t>Financijski prihodi</w:t>
      </w:r>
      <w:r w:rsidRPr="001C59D5">
        <w:rPr>
          <w:rFonts w:cstheme="minorHAnsi"/>
          <w:b/>
          <w:bCs/>
        </w:rPr>
        <w:t xml:space="preserve"> </w:t>
      </w:r>
      <w:r w:rsidR="00DE0A66" w:rsidRPr="00DE0A66">
        <w:rPr>
          <w:rFonts w:cstheme="minorHAnsi"/>
        </w:rPr>
        <w:t>u 2024. godini iznose 68.945 eura, što predstavlja smanjenje od 9% u odnosu na prethodnu godinu, kada su iznosili 75.723 eura. Ova stavka čini manje od 1% ukupnih prihoda.</w:t>
      </w:r>
      <w:r w:rsidR="00DE0A66">
        <w:rPr>
          <w:rFonts w:cstheme="minorHAnsi"/>
        </w:rPr>
        <w:t xml:space="preserve"> Odnose</w:t>
      </w:r>
      <w:r w:rsidR="00DE0A66" w:rsidRPr="00DE0A66">
        <w:rPr>
          <w:rFonts w:cstheme="minorHAnsi"/>
        </w:rPr>
        <w:t xml:space="preserve"> se na obračunate zatezne kamate korisnicima usluga zbog nepravovremenog plaćanja računa.</w:t>
      </w:r>
    </w:p>
    <w:p w14:paraId="41D84EF7" w14:textId="452E7BDF" w:rsidR="0081765C" w:rsidRPr="001C59D5" w:rsidRDefault="0081765C" w:rsidP="00DE0A66">
      <w:pPr>
        <w:spacing w:line="360" w:lineRule="auto"/>
        <w:jc w:val="both"/>
        <w:rPr>
          <w:rFonts w:ascii="Calibri" w:hAnsi="Calibri" w:cs="Calibri"/>
          <w:b/>
          <w:bCs/>
          <w:iCs/>
        </w:rPr>
      </w:pPr>
    </w:p>
    <w:p w14:paraId="1CDA0334" w14:textId="3DB7266F" w:rsidR="001C758B" w:rsidRPr="00507377" w:rsidRDefault="00C32006" w:rsidP="00507377">
      <w:pPr>
        <w:rPr>
          <w:rFonts w:ascii="Calibri" w:hAnsi="Calibri" w:cs="Calibri"/>
          <w:bCs/>
          <w:iCs/>
        </w:rPr>
      </w:pPr>
      <w:r w:rsidRPr="001C59D5">
        <w:rPr>
          <w:rFonts w:ascii="Calibri" w:hAnsi="Calibri" w:cs="Calibri"/>
          <w:noProof/>
          <w:lang w:eastAsia="hr-HR"/>
        </w:rPr>
        <w:drawing>
          <wp:anchor distT="0" distB="0" distL="114300" distR="114300" simplePos="0" relativeHeight="251659264" behindDoc="0" locked="0" layoutInCell="1" allowOverlap="1" wp14:anchorId="0642BB2C" wp14:editId="239C450E">
            <wp:simplePos x="0" y="0"/>
            <wp:positionH relativeFrom="page">
              <wp:align>center</wp:align>
            </wp:positionH>
            <wp:positionV relativeFrom="paragraph">
              <wp:posOffset>429260</wp:posOffset>
            </wp:positionV>
            <wp:extent cx="4670425" cy="3152775"/>
            <wp:effectExtent l="0" t="0" r="0" b="0"/>
            <wp:wrapTopAndBottom/>
            <wp:docPr id="3"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1C032B" w:rsidRPr="001C59D5">
        <w:rPr>
          <w:rFonts w:ascii="Calibri" w:hAnsi="Calibri" w:cs="Calibri"/>
          <w:b/>
          <w:bCs/>
          <w:iCs/>
        </w:rPr>
        <w:t>Grafikon 3</w:t>
      </w:r>
      <w:r w:rsidR="00341A77" w:rsidRPr="001C59D5">
        <w:rPr>
          <w:rFonts w:ascii="Calibri" w:hAnsi="Calibri" w:cs="Calibri"/>
          <w:b/>
          <w:bCs/>
          <w:iCs/>
        </w:rPr>
        <w:t>.</w:t>
      </w:r>
      <w:r w:rsidR="001C032B" w:rsidRPr="001C59D5">
        <w:rPr>
          <w:rFonts w:ascii="Calibri" w:hAnsi="Calibri" w:cs="Calibri"/>
          <w:b/>
          <w:bCs/>
          <w:iCs/>
        </w:rPr>
        <w:t xml:space="preserve"> </w:t>
      </w:r>
      <w:r w:rsidR="001C032B" w:rsidRPr="001C59D5">
        <w:rPr>
          <w:rFonts w:ascii="Calibri" w:hAnsi="Calibri" w:cs="Calibri"/>
          <w:bCs/>
          <w:iCs/>
        </w:rPr>
        <w:t>Struktura ukupnih prihoda u postotcima</w:t>
      </w:r>
    </w:p>
    <w:p w14:paraId="1AC3E06D" w14:textId="77777777" w:rsidR="00FD0DE9" w:rsidRDefault="00FD0DE9" w:rsidP="00FD0DE9">
      <w:pPr>
        <w:pStyle w:val="NoSpacing"/>
        <w:spacing w:line="360" w:lineRule="auto"/>
        <w:jc w:val="both"/>
        <w:rPr>
          <w:b/>
          <w:u w:val="single"/>
        </w:rPr>
      </w:pPr>
    </w:p>
    <w:p w14:paraId="04702BD4" w14:textId="77777777" w:rsidR="00FD0DE9" w:rsidRDefault="00FD0DE9" w:rsidP="00FD0DE9">
      <w:pPr>
        <w:pStyle w:val="NoSpacing"/>
        <w:spacing w:line="360" w:lineRule="auto"/>
        <w:jc w:val="both"/>
        <w:rPr>
          <w:b/>
          <w:u w:val="single"/>
        </w:rPr>
      </w:pPr>
    </w:p>
    <w:p w14:paraId="331A391C" w14:textId="77777777" w:rsidR="00DE0A66" w:rsidRDefault="00DE0A66">
      <w:pPr>
        <w:rPr>
          <w:b/>
          <w:u w:val="single"/>
        </w:rPr>
      </w:pPr>
      <w:r>
        <w:rPr>
          <w:b/>
          <w:u w:val="single"/>
        </w:rPr>
        <w:br w:type="page"/>
      </w:r>
    </w:p>
    <w:p w14:paraId="74BF359C" w14:textId="77777777" w:rsidR="00282262" w:rsidRDefault="001C64EE" w:rsidP="00DF7025">
      <w:pPr>
        <w:pStyle w:val="NoSpacing"/>
        <w:spacing w:before="120" w:after="120" w:line="360" w:lineRule="auto"/>
        <w:jc w:val="both"/>
      </w:pPr>
      <w:r w:rsidRPr="00CB3323">
        <w:rPr>
          <w:b/>
        </w:rPr>
        <w:lastRenderedPageBreak/>
        <w:t>Ukupni rashodi</w:t>
      </w:r>
      <w:r w:rsidRPr="001C59D5">
        <w:t xml:space="preserve"> </w:t>
      </w:r>
      <w:r w:rsidR="00AA2CFF" w:rsidRPr="00AA2CFF">
        <w:t xml:space="preserve">u 2024. godini iznose </w:t>
      </w:r>
      <w:r w:rsidR="00AA2CFF" w:rsidRPr="00282262">
        <w:t>12.587.887 eura, što predstavlja povećanje od 2% u odnosu na 2023. godinu, kada su iznosili 12.306.460 eura. Struktura rashoda pokazuje da poslovni rashodi čine 98,8%, dok se 1,2% odnosi na financijske rashode.</w:t>
      </w:r>
    </w:p>
    <w:p w14:paraId="06D6AF8E" w14:textId="77777777" w:rsidR="00282262" w:rsidRDefault="00282262" w:rsidP="00DF7025">
      <w:pPr>
        <w:autoSpaceDE w:val="0"/>
        <w:autoSpaceDN w:val="0"/>
        <w:adjustRightInd w:val="0"/>
        <w:spacing w:before="120" w:after="120" w:line="360" w:lineRule="auto"/>
        <w:jc w:val="both"/>
      </w:pPr>
      <w:r w:rsidRPr="00CB3323">
        <w:rPr>
          <w:b/>
          <w:bCs/>
        </w:rPr>
        <w:t xml:space="preserve">Poslovni rashodi </w:t>
      </w:r>
      <w:r w:rsidRPr="00CB3323">
        <w:t>u 2024. godini iznose 12.435.884 eura, što je povećanje od 2% u odnosu na prethodnu</w:t>
      </w:r>
      <w:r w:rsidRPr="00282262">
        <w:t xml:space="preserve"> godinu (12.165.137 eura).</w:t>
      </w:r>
    </w:p>
    <w:p w14:paraId="4283F7D8" w14:textId="77777777" w:rsidR="00282262" w:rsidRPr="00282262" w:rsidRDefault="00282262" w:rsidP="00DF7025">
      <w:pPr>
        <w:autoSpaceDE w:val="0"/>
        <w:autoSpaceDN w:val="0"/>
        <w:adjustRightInd w:val="0"/>
        <w:spacing w:before="120" w:after="120" w:line="360" w:lineRule="auto"/>
        <w:jc w:val="both"/>
      </w:pPr>
      <w:r w:rsidRPr="00282262">
        <w:t xml:space="preserve">Unutar poslovnih rashoda, </w:t>
      </w:r>
      <w:r w:rsidRPr="00282262">
        <w:rPr>
          <w:b/>
          <w:bCs/>
        </w:rPr>
        <w:t>materijalni troškovi</w:t>
      </w:r>
      <w:r w:rsidRPr="00282262">
        <w:t xml:space="preserve"> iznose 6.887.784 eura, što predstavlja 55% ukupnih rashoda. U odnosu na 2023. godinu, kada su iznosili 6.738.450 eura, povećani su za 2%. Ova stavka obuhvaća:</w:t>
      </w:r>
    </w:p>
    <w:p w14:paraId="5BC7E28F" w14:textId="77777777" w:rsidR="00282262" w:rsidRPr="00282262" w:rsidRDefault="00282262">
      <w:pPr>
        <w:numPr>
          <w:ilvl w:val="0"/>
          <w:numId w:val="14"/>
        </w:numPr>
        <w:autoSpaceDE w:val="0"/>
        <w:autoSpaceDN w:val="0"/>
        <w:adjustRightInd w:val="0"/>
        <w:spacing w:before="120" w:after="120" w:line="360" w:lineRule="auto"/>
        <w:jc w:val="both"/>
      </w:pPr>
      <w:r w:rsidRPr="00282262">
        <w:t>troškove sirovina i materijala (gorivo, električna energija, rezervni dijelovi, potrošni materijal, zaštitna i radna oprema) u iznosu od 1.828.386 eura, te</w:t>
      </w:r>
    </w:p>
    <w:p w14:paraId="1E4B7C3E" w14:textId="77777777" w:rsidR="00282262" w:rsidRPr="00282262" w:rsidRDefault="00282262">
      <w:pPr>
        <w:numPr>
          <w:ilvl w:val="0"/>
          <w:numId w:val="14"/>
        </w:numPr>
        <w:autoSpaceDE w:val="0"/>
        <w:autoSpaceDN w:val="0"/>
        <w:adjustRightInd w:val="0"/>
        <w:spacing w:before="120" w:after="120" w:line="360" w:lineRule="auto"/>
        <w:jc w:val="both"/>
      </w:pPr>
      <w:r w:rsidRPr="00282262">
        <w:t>ostale vanjske troškove (usluge održavanja, vanjsko osoblje, zaštitarske i komunalne usluge, zakupi, registracije, promidžba, intelektualne usluge, zbrinjavanje goriva iz otpada) u iznosu od 5.059.398 eura.</w:t>
      </w:r>
    </w:p>
    <w:p w14:paraId="50EA0667" w14:textId="77777777" w:rsidR="00282262" w:rsidRPr="00282262" w:rsidRDefault="00282262" w:rsidP="00DF7025">
      <w:pPr>
        <w:autoSpaceDE w:val="0"/>
        <w:autoSpaceDN w:val="0"/>
        <w:adjustRightInd w:val="0"/>
        <w:spacing w:before="120" w:after="120" w:line="360" w:lineRule="auto"/>
        <w:jc w:val="both"/>
      </w:pPr>
      <w:r w:rsidRPr="00282262">
        <w:rPr>
          <w:b/>
          <w:bCs/>
        </w:rPr>
        <w:t>Troškovi osoblja</w:t>
      </w:r>
      <w:r w:rsidRPr="00282262">
        <w:t xml:space="preserve"> iznose 1.877.131 eura, što je 25% više u odnosu na 2023. godinu (1.506.128 eura). U ukupnim rashodima sudjeluju s gotovo 15% udjela. Sadrže bruto plaće djelatnika, poreze i doprinose iz i na plaću.</w:t>
      </w:r>
    </w:p>
    <w:p w14:paraId="3D0479E1" w14:textId="77777777" w:rsidR="00282262" w:rsidRPr="00282262" w:rsidRDefault="00282262" w:rsidP="00DF7025">
      <w:pPr>
        <w:autoSpaceDE w:val="0"/>
        <w:autoSpaceDN w:val="0"/>
        <w:adjustRightInd w:val="0"/>
        <w:spacing w:before="120" w:after="120" w:line="360" w:lineRule="auto"/>
        <w:jc w:val="both"/>
      </w:pPr>
      <w:r w:rsidRPr="00282262">
        <w:rPr>
          <w:b/>
          <w:bCs/>
        </w:rPr>
        <w:t>Amortizacija</w:t>
      </w:r>
      <w:r w:rsidRPr="00282262">
        <w:t xml:space="preserve"> iznosi 3.204.334 eura, što je neznatno više (1%) nego prethodne godine (3.186.313 eura), s udjelom od 25% u ukupnim rashodima.</w:t>
      </w:r>
    </w:p>
    <w:p w14:paraId="6FC48C1F" w14:textId="77777777" w:rsidR="00282262" w:rsidRPr="00282262" w:rsidRDefault="00282262" w:rsidP="00DF7025">
      <w:pPr>
        <w:autoSpaceDE w:val="0"/>
        <w:autoSpaceDN w:val="0"/>
        <w:adjustRightInd w:val="0"/>
        <w:spacing w:before="120" w:after="120" w:line="360" w:lineRule="auto"/>
        <w:jc w:val="both"/>
      </w:pPr>
      <w:r w:rsidRPr="00282262">
        <w:rPr>
          <w:b/>
          <w:bCs/>
        </w:rPr>
        <w:t>Ostali troškovi</w:t>
      </w:r>
      <w:r w:rsidRPr="00282262">
        <w:t xml:space="preserve"> iznose 452.836 eura, što je povećanje od 4% u odnosu na 2023. godinu (433.582 eura), i čine 3,6% ukupnih rashoda. Obuhvaćaju naknade troškova zaposlenicima, osiguranja, bankovne usluge, članarine, pretplate, sistematske preglede i slične stavke.</w:t>
      </w:r>
    </w:p>
    <w:p w14:paraId="624063DE" w14:textId="77777777" w:rsidR="00282262" w:rsidRPr="00282262" w:rsidRDefault="00282262" w:rsidP="00DF7025">
      <w:pPr>
        <w:autoSpaceDE w:val="0"/>
        <w:autoSpaceDN w:val="0"/>
        <w:adjustRightInd w:val="0"/>
        <w:spacing w:before="120" w:after="120" w:line="360" w:lineRule="auto"/>
        <w:jc w:val="both"/>
      </w:pPr>
      <w:r w:rsidRPr="00282262">
        <w:t xml:space="preserve">U 2024. godini nisu iskazana </w:t>
      </w:r>
      <w:r w:rsidRPr="00282262">
        <w:rPr>
          <w:b/>
          <w:bCs/>
        </w:rPr>
        <w:t>rezerviranja</w:t>
      </w:r>
      <w:r w:rsidRPr="00282262">
        <w:t>, dok su u 2023. godini iznosila 245.506 eura.</w:t>
      </w:r>
    </w:p>
    <w:p w14:paraId="5B4416FC" w14:textId="5DDFA2FF" w:rsidR="00282262" w:rsidRPr="00174921" w:rsidRDefault="00282262" w:rsidP="00DF7025">
      <w:pPr>
        <w:autoSpaceDE w:val="0"/>
        <w:autoSpaceDN w:val="0"/>
        <w:adjustRightInd w:val="0"/>
        <w:spacing w:before="120" w:after="120" w:line="360" w:lineRule="auto"/>
        <w:jc w:val="both"/>
      </w:pPr>
      <w:r w:rsidRPr="00282262">
        <w:rPr>
          <w:b/>
          <w:bCs/>
        </w:rPr>
        <w:t>Ostali poslovni rashodi</w:t>
      </w:r>
      <w:r w:rsidRPr="00282262">
        <w:t xml:space="preserve"> </w:t>
      </w:r>
      <w:r w:rsidRPr="00174921">
        <w:t xml:space="preserve">iznose 13.799 eura, što je smanjenje od 11% u odnosu na prethodnu godinu (15.441 eura), a odnose se na </w:t>
      </w:r>
      <w:r w:rsidR="00DF7025" w:rsidRPr="00174921">
        <w:t>donacije, otpise i novčane kazne.</w:t>
      </w:r>
    </w:p>
    <w:p w14:paraId="72DB916B" w14:textId="77777777" w:rsidR="00282262" w:rsidRDefault="00282262" w:rsidP="00840E6B">
      <w:pPr>
        <w:autoSpaceDE w:val="0"/>
        <w:autoSpaceDN w:val="0"/>
        <w:adjustRightInd w:val="0"/>
        <w:spacing w:before="120" w:after="0" w:line="360" w:lineRule="auto"/>
        <w:jc w:val="both"/>
      </w:pPr>
    </w:p>
    <w:p w14:paraId="398C5DDC" w14:textId="77777777" w:rsidR="00282262" w:rsidRDefault="00282262" w:rsidP="00840E6B">
      <w:pPr>
        <w:autoSpaceDE w:val="0"/>
        <w:autoSpaceDN w:val="0"/>
        <w:adjustRightInd w:val="0"/>
        <w:spacing w:before="120" w:after="0" w:line="360" w:lineRule="auto"/>
        <w:jc w:val="both"/>
      </w:pPr>
    </w:p>
    <w:p w14:paraId="797C8A7A" w14:textId="77777777" w:rsidR="00282262" w:rsidRDefault="00282262" w:rsidP="00840E6B">
      <w:pPr>
        <w:autoSpaceDE w:val="0"/>
        <w:autoSpaceDN w:val="0"/>
        <w:adjustRightInd w:val="0"/>
        <w:spacing w:before="120" w:after="0" w:line="360" w:lineRule="auto"/>
        <w:jc w:val="both"/>
      </w:pPr>
    </w:p>
    <w:p w14:paraId="627CC395" w14:textId="77777777" w:rsidR="00282262" w:rsidRDefault="00282262" w:rsidP="00840E6B">
      <w:pPr>
        <w:autoSpaceDE w:val="0"/>
        <w:autoSpaceDN w:val="0"/>
        <w:adjustRightInd w:val="0"/>
        <w:spacing w:before="120" w:after="0" w:line="360" w:lineRule="auto"/>
        <w:jc w:val="both"/>
      </w:pPr>
    </w:p>
    <w:p w14:paraId="20C39F87" w14:textId="77777777" w:rsidR="00282262" w:rsidRDefault="00282262" w:rsidP="00840E6B">
      <w:pPr>
        <w:autoSpaceDE w:val="0"/>
        <w:autoSpaceDN w:val="0"/>
        <w:adjustRightInd w:val="0"/>
        <w:spacing w:before="120" w:after="0" w:line="360" w:lineRule="auto"/>
        <w:jc w:val="both"/>
      </w:pPr>
    </w:p>
    <w:p w14:paraId="3BE8F8EF" w14:textId="77777777" w:rsidR="00780D11" w:rsidRDefault="00780D11" w:rsidP="00661FC5">
      <w:pPr>
        <w:pStyle w:val="NoSpacing"/>
        <w:spacing w:before="120" w:line="360" w:lineRule="auto"/>
        <w:jc w:val="both"/>
        <w:rPr>
          <w:b/>
          <w:u w:val="single"/>
        </w:rPr>
      </w:pPr>
    </w:p>
    <w:p w14:paraId="55F31818" w14:textId="4FCE6914" w:rsidR="001541BB" w:rsidRPr="001C59D5" w:rsidRDefault="001C64EE" w:rsidP="00C80840">
      <w:pPr>
        <w:pStyle w:val="NoSpacing"/>
        <w:spacing w:before="120" w:line="360" w:lineRule="auto"/>
        <w:jc w:val="both"/>
      </w:pPr>
      <w:r w:rsidRPr="00CB3323">
        <w:rPr>
          <w:b/>
        </w:rPr>
        <w:lastRenderedPageBreak/>
        <w:t xml:space="preserve">Financijski rashodi </w:t>
      </w:r>
      <w:r w:rsidR="008153D4" w:rsidRPr="00CB3323">
        <w:rPr>
          <w:bCs/>
        </w:rPr>
        <w:t>iznose</w:t>
      </w:r>
      <w:r w:rsidR="008153D4" w:rsidRPr="006A687F">
        <w:rPr>
          <w:bCs/>
        </w:rPr>
        <w:t xml:space="preserve"> 152.003 eura, što je povećanje od 8% u odnosu na 2023. godinu (141.323 eura).</w:t>
      </w:r>
      <w:r w:rsidR="008153D4">
        <w:t xml:space="preserve"> </w:t>
      </w:r>
      <w:r w:rsidR="001541BB" w:rsidRPr="001C59D5">
        <w:t xml:space="preserve">Financijski rashodi se u najvećem dijelu odnose na obračunate kamate temeljem kreditnih obveza te za troškove kamata po financijskom leasingu </w:t>
      </w:r>
      <w:r w:rsidR="007F4D6D">
        <w:t>i troškove zateznih kamata</w:t>
      </w:r>
      <w:r w:rsidR="00C80840">
        <w:t>.</w:t>
      </w:r>
    </w:p>
    <w:p w14:paraId="283CF83E" w14:textId="69F02469" w:rsidR="00F21302" w:rsidRPr="001C59D5" w:rsidRDefault="00F21302" w:rsidP="00661FC5">
      <w:pPr>
        <w:pStyle w:val="NoSpacing"/>
        <w:spacing w:before="120" w:line="360" w:lineRule="auto"/>
        <w:jc w:val="both"/>
        <w:rPr>
          <w:rFonts w:ascii="Calibri" w:hAnsi="Calibri" w:cs="Calibri"/>
        </w:rPr>
      </w:pPr>
    </w:p>
    <w:p w14:paraId="47E8DD7E" w14:textId="77777777" w:rsidR="00B46DBF" w:rsidRPr="001C59D5" w:rsidRDefault="00B46DBF" w:rsidP="00840E6B">
      <w:pPr>
        <w:spacing w:line="360" w:lineRule="auto"/>
        <w:rPr>
          <w:rFonts w:ascii="Calibri" w:hAnsi="Calibri" w:cs="Calibri"/>
          <w:b/>
          <w:bCs/>
          <w:iCs/>
        </w:rPr>
      </w:pPr>
    </w:p>
    <w:p w14:paraId="099E7DC9" w14:textId="77777777" w:rsidR="00B46DBF" w:rsidRPr="001C59D5" w:rsidRDefault="00B46DBF" w:rsidP="00F21302">
      <w:pPr>
        <w:rPr>
          <w:rFonts w:ascii="Calibri" w:hAnsi="Calibri" w:cs="Calibri"/>
          <w:b/>
          <w:bCs/>
          <w:iCs/>
        </w:rPr>
      </w:pPr>
    </w:p>
    <w:p w14:paraId="460C365E" w14:textId="2E9F2C6C" w:rsidR="00F21302" w:rsidRPr="001C59D5" w:rsidRDefault="00F21302" w:rsidP="00F21302">
      <w:pPr>
        <w:rPr>
          <w:rFonts w:ascii="Calibri" w:hAnsi="Calibri" w:cs="Calibri"/>
          <w:bCs/>
          <w:iCs/>
        </w:rPr>
      </w:pPr>
      <w:r w:rsidRPr="001C59D5">
        <w:rPr>
          <w:rFonts w:ascii="Calibri" w:hAnsi="Calibri" w:cs="Calibri"/>
          <w:b/>
          <w:bCs/>
          <w:iCs/>
        </w:rPr>
        <w:t>Grafikon 4</w:t>
      </w:r>
      <w:r w:rsidR="00E85F94" w:rsidRPr="001C59D5">
        <w:rPr>
          <w:rFonts w:ascii="Calibri" w:hAnsi="Calibri" w:cs="Calibri"/>
          <w:b/>
          <w:bCs/>
          <w:iCs/>
        </w:rPr>
        <w:t>.</w:t>
      </w:r>
      <w:r w:rsidRPr="001C59D5">
        <w:rPr>
          <w:rFonts w:ascii="Calibri" w:hAnsi="Calibri" w:cs="Calibri"/>
          <w:b/>
          <w:bCs/>
          <w:iCs/>
        </w:rPr>
        <w:t xml:space="preserve"> </w:t>
      </w:r>
      <w:r w:rsidRPr="001C59D5">
        <w:rPr>
          <w:rFonts w:ascii="Calibri" w:hAnsi="Calibri" w:cs="Calibri"/>
          <w:bCs/>
          <w:iCs/>
        </w:rPr>
        <w:t>Struktura ukupnih rashoda u postotcima</w:t>
      </w:r>
    </w:p>
    <w:p w14:paraId="03CE6026" w14:textId="4A9C0734" w:rsidR="006B7267" w:rsidRPr="001C59D5" w:rsidRDefault="006B7267" w:rsidP="002E27A0">
      <w:pPr>
        <w:pStyle w:val="NoSpacing"/>
        <w:spacing w:line="360" w:lineRule="auto"/>
        <w:jc w:val="both"/>
        <w:rPr>
          <w:rFonts w:cstheme="minorHAnsi"/>
          <w:b/>
          <w:u w:val="single"/>
        </w:rPr>
      </w:pPr>
      <w:bookmarkStart w:id="15" w:name="_Hlk38996724"/>
    </w:p>
    <w:p w14:paraId="7C387902" w14:textId="5ECD32BA" w:rsidR="00D32F5D" w:rsidRDefault="00EB4EC0">
      <w:pPr>
        <w:rPr>
          <w:rFonts w:cstheme="minorHAnsi"/>
          <w:b/>
          <w:u w:val="single"/>
        </w:rPr>
      </w:pPr>
      <w:r w:rsidRPr="001C59D5">
        <w:rPr>
          <w:rFonts w:ascii="Calibri" w:hAnsi="Calibri" w:cs="Calibri"/>
          <w:noProof/>
          <w:lang w:eastAsia="hr-HR"/>
        </w:rPr>
        <w:drawing>
          <wp:anchor distT="0" distB="0" distL="114300" distR="114300" simplePos="0" relativeHeight="251661312" behindDoc="0" locked="0" layoutInCell="1" allowOverlap="1" wp14:anchorId="4474E008" wp14:editId="3D32D6A7">
            <wp:simplePos x="0" y="0"/>
            <wp:positionH relativeFrom="margin">
              <wp:align>center</wp:align>
            </wp:positionH>
            <wp:positionV relativeFrom="paragraph">
              <wp:posOffset>267335</wp:posOffset>
            </wp:positionV>
            <wp:extent cx="6730365" cy="4053840"/>
            <wp:effectExtent l="0" t="0" r="0" b="3810"/>
            <wp:wrapTopAndBottom/>
            <wp:docPr id="2"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D32F5D">
        <w:rPr>
          <w:rFonts w:cstheme="minorHAnsi"/>
          <w:b/>
          <w:u w:val="single"/>
        </w:rPr>
        <w:br w:type="page"/>
      </w:r>
    </w:p>
    <w:p w14:paraId="79A064FB" w14:textId="6F352584" w:rsidR="009C21F7" w:rsidRPr="00082990" w:rsidRDefault="00E9501A" w:rsidP="00082990">
      <w:pPr>
        <w:pStyle w:val="Heading2"/>
      </w:pPr>
      <w:bookmarkStart w:id="16" w:name="_Toc200094269"/>
      <w:r w:rsidRPr="00082990">
        <w:lastRenderedPageBreak/>
        <w:t xml:space="preserve">2.3 </w:t>
      </w:r>
      <w:r w:rsidR="0032261F" w:rsidRPr="00082990">
        <w:t>Rezultat razdoblja</w:t>
      </w:r>
      <w:bookmarkEnd w:id="16"/>
      <w:r w:rsidR="00427E9E" w:rsidRPr="00082990">
        <w:t xml:space="preserve"> </w:t>
      </w:r>
    </w:p>
    <w:p w14:paraId="34C379F2" w14:textId="3275C5AB" w:rsidR="008025B8" w:rsidRPr="00EB4EC0" w:rsidRDefault="00EB4EC0" w:rsidP="007E6DA7">
      <w:pPr>
        <w:pStyle w:val="NoSpacing"/>
        <w:spacing w:before="120" w:after="120" w:line="360" w:lineRule="auto"/>
        <w:jc w:val="both"/>
        <w:rPr>
          <w:rFonts w:eastAsia="Times New Roman" w:cstheme="minorHAnsi"/>
        </w:rPr>
      </w:pPr>
      <w:r w:rsidRPr="00EB4EC0">
        <w:rPr>
          <w:rFonts w:eastAsia="Times New Roman" w:cstheme="minorHAnsi"/>
        </w:rPr>
        <w:t>Društvo je u 2024. godini ostvarilo dobit prije oporezivanja u iznosu od 49.123 eura, što je znatno manje u odnosu na prethodnu godinu, kada je iznosila 363.549 eura. Smanjenje je rezultat blagog pada ukupnih prihoda uz istovremeni porast ukupnih rashoda</w:t>
      </w:r>
      <w:r>
        <w:rPr>
          <w:rFonts w:eastAsia="Times New Roman" w:cstheme="minorHAnsi"/>
        </w:rPr>
        <w:t>.</w:t>
      </w:r>
      <w:r w:rsidR="00C94E4E" w:rsidRPr="00EB4EC0">
        <w:rPr>
          <w:rFonts w:eastAsia="Times New Roman" w:cstheme="minorHAnsi"/>
        </w:rPr>
        <w:t xml:space="preserve"> </w:t>
      </w:r>
    </w:p>
    <w:bookmarkEnd w:id="15"/>
    <w:p w14:paraId="65A0180C" w14:textId="77777777" w:rsidR="00DF054D" w:rsidRPr="00DF054D" w:rsidRDefault="00DF054D" w:rsidP="007E6DA7">
      <w:pPr>
        <w:spacing w:before="120" w:after="120" w:line="360" w:lineRule="auto"/>
        <w:jc w:val="both"/>
        <w:rPr>
          <w:rFonts w:eastAsia="Times New Roman" w:cstheme="minorHAnsi"/>
          <w:bCs/>
        </w:rPr>
      </w:pPr>
      <w:r w:rsidRPr="00DF054D">
        <w:rPr>
          <w:rFonts w:eastAsia="Times New Roman" w:cstheme="minorHAnsi"/>
          <w:bCs/>
        </w:rPr>
        <w:t>Sukladno odredbama Zakona o porezu na dobit, osnovica za oporezivanje utvrđuje se na temelju računovodstvene dobiti, koja se korigira u skladu s poreznim propisima. Porez na dobit za 2024. godinu obračunat je u iznosu od 7.980 eura.</w:t>
      </w:r>
    </w:p>
    <w:p w14:paraId="49C77B45" w14:textId="77777777" w:rsidR="00DF054D" w:rsidRDefault="00DF054D" w:rsidP="007E6DA7">
      <w:pPr>
        <w:spacing w:before="120" w:after="120" w:line="360" w:lineRule="auto"/>
        <w:jc w:val="both"/>
        <w:rPr>
          <w:rFonts w:eastAsia="Times New Roman" w:cstheme="minorHAnsi"/>
          <w:bCs/>
        </w:rPr>
      </w:pPr>
      <w:r w:rsidRPr="00DF054D">
        <w:rPr>
          <w:rFonts w:eastAsia="Times New Roman" w:cstheme="minorHAnsi"/>
          <w:bCs/>
        </w:rPr>
        <w:t>Nakon porezne obveze, dobit razdoblja iskazana je u iznosu od 41.143 eura, što predstavlja smanjenje od 86% u odnosu na prethodnu godinu, kada je iznosila 297.524 eura.</w:t>
      </w:r>
    </w:p>
    <w:p w14:paraId="5A88F8DD" w14:textId="77777777" w:rsidR="00DF054D" w:rsidRPr="001C59D5" w:rsidRDefault="00DF054D" w:rsidP="00F21302">
      <w:pPr>
        <w:rPr>
          <w:rFonts w:cstheme="minorHAnsi"/>
          <w:b/>
        </w:rPr>
      </w:pPr>
    </w:p>
    <w:p w14:paraId="427C0EE4" w14:textId="77777777" w:rsidR="00DF054D" w:rsidRDefault="00DF054D" w:rsidP="00F21302">
      <w:pPr>
        <w:rPr>
          <w:rFonts w:cstheme="minorHAnsi"/>
          <w:b/>
        </w:rPr>
      </w:pPr>
    </w:p>
    <w:p w14:paraId="7E2BCA2F" w14:textId="08FF3AB6" w:rsidR="00F21302" w:rsidRPr="001C59D5" w:rsidRDefault="00F21302" w:rsidP="00F21302">
      <w:pPr>
        <w:rPr>
          <w:rFonts w:cstheme="minorHAnsi"/>
        </w:rPr>
      </w:pPr>
      <w:r w:rsidRPr="001C59D5">
        <w:rPr>
          <w:rFonts w:cstheme="minorHAnsi"/>
          <w:b/>
        </w:rPr>
        <w:t>Grafikon 5</w:t>
      </w:r>
      <w:r w:rsidR="00E85F94" w:rsidRPr="001C59D5">
        <w:rPr>
          <w:rFonts w:cstheme="minorHAnsi"/>
          <w:b/>
        </w:rPr>
        <w:t>.</w:t>
      </w:r>
      <w:r w:rsidRPr="001C59D5">
        <w:rPr>
          <w:rFonts w:cstheme="minorHAnsi"/>
          <w:b/>
        </w:rPr>
        <w:t xml:space="preserve"> </w:t>
      </w:r>
      <w:r w:rsidRPr="001C59D5">
        <w:rPr>
          <w:rFonts w:cstheme="minorHAnsi"/>
        </w:rPr>
        <w:t>Rezultat</w:t>
      </w:r>
      <w:r w:rsidR="00064346" w:rsidRPr="001C59D5">
        <w:rPr>
          <w:rFonts w:cstheme="minorHAnsi"/>
        </w:rPr>
        <w:t xml:space="preserve"> razdoblja</w:t>
      </w:r>
    </w:p>
    <w:p w14:paraId="3D868475" w14:textId="737D7FDD" w:rsidR="00772B43" w:rsidRPr="001C59D5" w:rsidRDefault="00772B43" w:rsidP="00F21302">
      <w:pPr>
        <w:pStyle w:val="NormalWeb"/>
        <w:spacing w:before="0" w:beforeAutospacing="0" w:after="0" w:afterAutospacing="0" w:line="360" w:lineRule="auto"/>
        <w:jc w:val="both"/>
        <w:rPr>
          <w:rFonts w:ascii="Calibri" w:hAnsi="Calibri" w:cs="Calibri"/>
          <w:b/>
          <w:sz w:val="22"/>
          <w:u w:val="single"/>
          <w:lang w:val="hr-HR"/>
        </w:rPr>
      </w:pPr>
    </w:p>
    <w:p w14:paraId="4214368B" w14:textId="1EBE0ABA" w:rsidR="006F2224" w:rsidRPr="001C59D5" w:rsidRDefault="006F2224" w:rsidP="00F21302">
      <w:pPr>
        <w:pStyle w:val="NormalWeb"/>
        <w:spacing w:before="0" w:beforeAutospacing="0" w:after="0" w:afterAutospacing="0" w:line="360" w:lineRule="auto"/>
        <w:jc w:val="both"/>
        <w:rPr>
          <w:rFonts w:ascii="Calibri" w:hAnsi="Calibri" w:cs="Calibri"/>
          <w:b/>
          <w:sz w:val="22"/>
          <w:u w:val="single"/>
          <w:lang w:val="hr-HR"/>
        </w:rPr>
      </w:pPr>
    </w:p>
    <w:p w14:paraId="31C6483A" w14:textId="76285359" w:rsidR="00652AF5" w:rsidRDefault="003002E7" w:rsidP="00E23F97">
      <w:pPr>
        <w:pStyle w:val="Heading2"/>
      </w:pPr>
      <w:bookmarkStart w:id="17" w:name="_Toc198294754"/>
      <w:bookmarkStart w:id="18" w:name="_Toc199234369"/>
      <w:bookmarkStart w:id="19" w:name="_Toc199853508"/>
      <w:bookmarkStart w:id="20" w:name="_Toc199933032"/>
      <w:bookmarkStart w:id="21" w:name="_Toc199933614"/>
      <w:bookmarkStart w:id="22" w:name="_Toc199943301"/>
      <w:bookmarkStart w:id="23" w:name="_Toc200010001"/>
      <w:bookmarkStart w:id="24" w:name="_Toc200094270"/>
      <w:r w:rsidRPr="001C59D5">
        <w:rPr>
          <w:rFonts w:cs="Calibri"/>
          <w:b w:val="0"/>
          <w:noProof/>
          <w:lang w:eastAsia="hr-HR"/>
        </w:rPr>
        <w:drawing>
          <wp:anchor distT="0" distB="0" distL="114300" distR="114300" simplePos="0" relativeHeight="251666432" behindDoc="0" locked="0" layoutInCell="1" allowOverlap="1" wp14:anchorId="70DADED2" wp14:editId="65B331D1">
            <wp:simplePos x="0" y="0"/>
            <wp:positionH relativeFrom="margin">
              <wp:posOffset>537210</wp:posOffset>
            </wp:positionH>
            <wp:positionV relativeFrom="page">
              <wp:posOffset>4953000</wp:posOffset>
            </wp:positionV>
            <wp:extent cx="5707380" cy="333756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bookmarkEnd w:id="17"/>
      <w:bookmarkEnd w:id="18"/>
      <w:bookmarkEnd w:id="19"/>
      <w:bookmarkEnd w:id="20"/>
      <w:bookmarkEnd w:id="21"/>
      <w:bookmarkEnd w:id="22"/>
      <w:bookmarkEnd w:id="23"/>
      <w:bookmarkEnd w:id="24"/>
    </w:p>
    <w:p w14:paraId="09AA93A3" w14:textId="384625E3" w:rsidR="00DF054D" w:rsidRDefault="00DF054D" w:rsidP="00DF054D"/>
    <w:p w14:paraId="2E4B324A" w14:textId="77777777" w:rsidR="00DF054D" w:rsidRDefault="00DF054D" w:rsidP="00DF054D"/>
    <w:p w14:paraId="2C327416" w14:textId="77777777" w:rsidR="00DF054D" w:rsidRPr="00DF054D" w:rsidRDefault="00DF054D" w:rsidP="00DF054D"/>
    <w:p w14:paraId="512ACAC9" w14:textId="71B265A5" w:rsidR="00652AF5" w:rsidRPr="001C59D5" w:rsidRDefault="00652AF5" w:rsidP="00652AF5"/>
    <w:p w14:paraId="63F268F8" w14:textId="40F05656" w:rsidR="00652AF5" w:rsidRPr="001C59D5" w:rsidRDefault="00652AF5" w:rsidP="00652AF5"/>
    <w:p w14:paraId="73EBBED5" w14:textId="3604F93A" w:rsidR="00652AF5" w:rsidRPr="001C59D5" w:rsidRDefault="00652AF5" w:rsidP="00652AF5"/>
    <w:p w14:paraId="77D9E5AE" w14:textId="535ACEC1" w:rsidR="00652AF5" w:rsidRPr="001C59D5" w:rsidRDefault="00652AF5" w:rsidP="00652AF5"/>
    <w:p w14:paraId="5CA70635" w14:textId="71762E59" w:rsidR="00050E2B" w:rsidRDefault="00050E2B" w:rsidP="00E23F97">
      <w:pPr>
        <w:pStyle w:val="Heading2"/>
      </w:pPr>
    </w:p>
    <w:p w14:paraId="1BF62DAF" w14:textId="77777777" w:rsidR="00E03A32" w:rsidRDefault="00E03A32" w:rsidP="00840E6B"/>
    <w:p w14:paraId="09EAC83C" w14:textId="54DE8E20" w:rsidR="00D32F5D" w:rsidRDefault="00D32F5D" w:rsidP="00840E6B"/>
    <w:p w14:paraId="02433856" w14:textId="77777777" w:rsidR="00D32F5D" w:rsidRPr="00877194" w:rsidRDefault="00D32F5D" w:rsidP="00877194"/>
    <w:p w14:paraId="1526CA72" w14:textId="6C23CFDC" w:rsidR="00D32F5D" w:rsidRPr="00877194" w:rsidRDefault="00D32F5D" w:rsidP="00877194"/>
    <w:p w14:paraId="563353E3" w14:textId="77777777" w:rsidR="00D32F5D" w:rsidRPr="00877194" w:rsidRDefault="00D32F5D" w:rsidP="00877194"/>
    <w:p w14:paraId="0228F972" w14:textId="77777777" w:rsidR="00D32F5D" w:rsidRPr="00877194" w:rsidRDefault="00D32F5D" w:rsidP="00877194"/>
    <w:p w14:paraId="7501D306" w14:textId="77777777" w:rsidR="00D32F5D" w:rsidRPr="00877194" w:rsidRDefault="00D32F5D" w:rsidP="00877194"/>
    <w:p w14:paraId="3E87DEEA" w14:textId="77777777" w:rsidR="00D32F5D" w:rsidRPr="00877194" w:rsidRDefault="00D32F5D" w:rsidP="00877194"/>
    <w:p w14:paraId="57BED146" w14:textId="77777777" w:rsidR="002909CE" w:rsidRPr="00877194" w:rsidRDefault="002909CE" w:rsidP="00877194"/>
    <w:p w14:paraId="50903B38" w14:textId="5127043B" w:rsidR="00E23F97" w:rsidRPr="00E307CB" w:rsidRDefault="00D515BD" w:rsidP="00E23F97">
      <w:pPr>
        <w:pStyle w:val="Heading2"/>
        <w:rPr>
          <w:rFonts w:asciiTheme="minorHAnsi" w:hAnsiTheme="minorHAnsi" w:cstheme="minorHAnsi"/>
          <w:szCs w:val="24"/>
        </w:rPr>
      </w:pPr>
      <w:bookmarkStart w:id="25" w:name="_Toc200094271"/>
      <w:r>
        <w:rPr>
          <w:rFonts w:asciiTheme="minorHAnsi" w:hAnsiTheme="minorHAnsi" w:cstheme="minorHAnsi"/>
          <w:szCs w:val="24"/>
        </w:rPr>
        <w:lastRenderedPageBreak/>
        <w:t>3</w:t>
      </w:r>
      <w:r w:rsidR="0041221B" w:rsidRPr="00E307CB">
        <w:rPr>
          <w:rFonts w:asciiTheme="minorHAnsi" w:hAnsiTheme="minorHAnsi" w:cstheme="minorHAnsi"/>
          <w:szCs w:val="24"/>
        </w:rPr>
        <w:t>. IZVJEŠĆE O NOVČANOM T</w:t>
      </w:r>
      <w:r w:rsidR="00E23F97" w:rsidRPr="00E307CB">
        <w:rPr>
          <w:rFonts w:asciiTheme="minorHAnsi" w:hAnsiTheme="minorHAnsi" w:cstheme="minorHAnsi"/>
          <w:szCs w:val="24"/>
        </w:rPr>
        <w:t>OK</w:t>
      </w:r>
      <w:r w:rsidR="0041221B" w:rsidRPr="00E307CB">
        <w:rPr>
          <w:rFonts w:asciiTheme="minorHAnsi" w:hAnsiTheme="minorHAnsi" w:cstheme="minorHAnsi"/>
          <w:szCs w:val="24"/>
        </w:rPr>
        <w:t>U</w:t>
      </w:r>
      <w:bookmarkEnd w:id="25"/>
    </w:p>
    <w:p w14:paraId="061B9064" w14:textId="77777777" w:rsidR="00E23F97" w:rsidRPr="001C59D5" w:rsidRDefault="00E23F97" w:rsidP="00E23F97"/>
    <w:p w14:paraId="31DF05CF" w14:textId="2AD08B8E" w:rsidR="0041221B" w:rsidRPr="00035996" w:rsidRDefault="005746BD" w:rsidP="00840E6B">
      <w:pPr>
        <w:pStyle w:val="Caption"/>
        <w:keepNext/>
        <w:spacing w:after="240"/>
        <w:rPr>
          <w:rFonts w:cstheme="minorHAnsi"/>
        </w:rPr>
      </w:pPr>
      <w:bookmarkStart w:id="26" w:name="_Toc200366443"/>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5</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Novčani tok</w:t>
      </w:r>
      <w:bookmarkEnd w:id="26"/>
    </w:p>
    <w:tbl>
      <w:tblPr>
        <w:tblW w:w="935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091"/>
        <w:gridCol w:w="1492"/>
        <w:gridCol w:w="1776"/>
      </w:tblGrid>
      <w:tr w:rsidR="001070C7" w:rsidRPr="001070C7" w14:paraId="775650E2" w14:textId="77777777" w:rsidTr="00116AE2">
        <w:trPr>
          <w:trHeight w:val="281"/>
        </w:trPr>
        <w:tc>
          <w:tcPr>
            <w:tcW w:w="6091" w:type="dxa"/>
            <w:tcBorders>
              <w:top w:val="single" w:sz="4" w:space="0" w:color="auto"/>
              <w:bottom w:val="single" w:sz="4" w:space="0" w:color="auto"/>
            </w:tcBorders>
            <w:shd w:val="clear" w:color="auto" w:fill="auto"/>
            <w:vAlign w:val="center"/>
            <w:hideMark/>
          </w:tcPr>
          <w:p w14:paraId="76CDD62A" w14:textId="77777777" w:rsidR="001070C7" w:rsidRPr="001070C7" w:rsidRDefault="001070C7" w:rsidP="00116AE2">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OPIS NOVČANIH TOKOVA</w:t>
            </w:r>
          </w:p>
        </w:tc>
        <w:tc>
          <w:tcPr>
            <w:tcW w:w="1492" w:type="dxa"/>
            <w:tcBorders>
              <w:top w:val="single" w:sz="4" w:space="0" w:color="auto"/>
              <w:bottom w:val="single" w:sz="4" w:space="0" w:color="auto"/>
            </w:tcBorders>
            <w:shd w:val="clear" w:color="auto" w:fill="auto"/>
            <w:noWrap/>
            <w:vAlign w:val="center"/>
            <w:hideMark/>
          </w:tcPr>
          <w:p w14:paraId="519DF8AD" w14:textId="2EC559C4" w:rsidR="001070C7" w:rsidRPr="001070C7" w:rsidRDefault="001070C7" w:rsidP="001070C7">
            <w:pPr>
              <w:spacing w:after="0" w:line="240" w:lineRule="auto"/>
              <w:jc w:val="center"/>
              <w:rPr>
                <w:rFonts w:eastAsia="Times New Roman" w:cstheme="minorHAnsi"/>
                <w:b/>
                <w:bCs/>
                <w:sz w:val="18"/>
                <w:szCs w:val="18"/>
                <w:lang w:eastAsia="hr-HR"/>
              </w:rPr>
            </w:pPr>
            <w:r w:rsidRPr="001070C7">
              <w:rPr>
                <w:rFonts w:eastAsia="Times New Roman" w:cstheme="minorHAnsi"/>
                <w:b/>
                <w:bCs/>
                <w:sz w:val="18"/>
                <w:szCs w:val="18"/>
                <w:lang w:eastAsia="hr-HR"/>
              </w:rPr>
              <w:t>202</w:t>
            </w:r>
            <w:r w:rsidR="00B40668">
              <w:rPr>
                <w:rFonts w:eastAsia="Times New Roman" w:cstheme="minorHAnsi"/>
                <w:b/>
                <w:bCs/>
                <w:sz w:val="18"/>
                <w:szCs w:val="18"/>
                <w:lang w:eastAsia="hr-HR"/>
              </w:rPr>
              <w:t>3</w:t>
            </w:r>
          </w:p>
        </w:tc>
        <w:tc>
          <w:tcPr>
            <w:tcW w:w="1776" w:type="dxa"/>
            <w:tcBorders>
              <w:top w:val="single" w:sz="4" w:space="0" w:color="auto"/>
              <w:bottom w:val="single" w:sz="4" w:space="0" w:color="auto"/>
            </w:tcBorders>
            <w:shd w:val="clear" w:color="auto" w:fill="auto"/>
            <w:noWrap/>
            <w:vAlign w:val="center"/>
            <w:hideMark/>
          </w:tcPr>
          <w:p w14:paraId="3459E296" w14:textId="0FD3B58F" w:rsidR="001070C7" w:rsidRPr="001070C7" w:rsidRDefault="001070C7" w:rsidP="001070C7">
            <w:pPr>
              <w:spacing w:after="0" w:line="240" w:lineRule="auto"/>
              <w:jc w:val="center"/>
              <w:rPr>
                <w:rFonts w:eastAsia="Times New Roman" w:cstheme="minorHAnsi"/>
                <w:b/>
                <w:bCs/>
                <w:sz w:val="18"/>
                <w:szCs w:val="18"/>
                <w:lang w:eastAsia="hr-HR"/>
              </w:rPr>
            </w:pPr>
            <w:r w:rsidRPr="001070C7">
              <w:rPr>
                <w:rFonts w:eastAsia="Times New Roman" w:cstheme="minorHAnsi"/>
                <w:b/>
                <w:bCs/>
                <w:sz w:val="18"/>
                <w:szCs w:val="18"/>
                <w:lang w:eastAsia="hr-HR"/>
              </w:rPr>
              <w:t>202</w:t>
            </w:r>
            <w:r w:rsidR="00B40668">
              <w:rPr>
                <w:rFonts w:eastAsia="Times New Roman" w:cstheme="minorHAnsi"/>
                <w:b/>
                <w:bCs/>
                <w:sz w:val="18"/>
                <w:szCs w:val="18"/>
                <w:lang w:eastAsia="hr-HR"/>
              </w:rPr>
              <w:t>4</w:t>
            </w:r>
          </w:p>
        </w:tc>
      </w:tr>
      <w:tr w:rsidR="001070C7" w:rsidRPr="001070C7" w14:paraId="2ED7B938" w14:textId="77777777" w:rsidTr="00116AE2">
        <w:trPr>
          <w:trHeight w:val="281"/>
        </w:trPr>
        <w:tc>
          <w:tcPr>
            <w:tcW w:w="9359" w:type="dxa"/>
            <w:gridSpan w:val="3"/>
            <w:tcBorders>
              <w:top w:val="single" w:sz="4" w:space="0" w:color="auto"/>
            </w:tcBorders>
            <w:shd w:val="clear" w:color="auto" w:fill="F2F2F2" w:themeFill="background1" w:themeFillShade="F2"/>
            <w:noWrap/>
            <w:vAlign w:val="center"/>
            <w:hideMark/>
          </w:tcPr>
          <w:p w14:paraId="427C1FAB" w14:textId="77777777" w:rsidR="001070C7" w:rsidRPr="001070C7" w:rsidRDefault="001070C7" w:rsidP="001070C7">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Novčani tokovi od poslovnih aktivnosti</w:t>
            </w:r>
          </w:p>
        </w:tc>
      </w:tr>
      <w:tr w:rsidR="00B40668" w:rsidRPr="001070C7" w14:paraId="7E56AB54" w14:textId="77777777" w:rsidTr="00116AE2">
        <w:trPr>
          <w:trHeight w:val="281"/>
        </w:trPr>
        <w:tc>
          <w:tcPr>
            <w:tcW w:w="6091" w:type="dxa"/>
            <w:shd w:val="clear" w:color="auto" w:fill="auto"/>
            <w:vAlign w:val="center"/>
            <w:hideMark/>
          </w:tcPr>
          <w:p w14:paraId="24E95883"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1. Novčani primici od kupaca</w:t>
            </w:r>
          </w:p>
        </w:tc>
        <w:tc>
          <w:tcPr>
            <w:tcW w:w="1492" w:type="dxa"/>
            <w:shd w:val="clear" w:color="auto" w:fill="auto"/>
            <w:noWrap/>
            <w:vAlign w:val="center"/>
            <w:hideMark/>
          </w:tcPr>
          <w:p w14:paraId="26F551CA" w14:textId="565E215B"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11.605.574,31</w:t>
            </w:r>
          </w:p>
        </w:tc>
        <w:tc>
          <w:tcPr>
            <w:tcW w:w="1776" w:type="dxa"/>
            <w:shd w:val="clear" w:color="auto" w:fill="auto"/>
            <w:noWrap/>
            <w:vAlign w:val="center"/>
            <w:hideMark/>
          </w:tcPr>
          <w:p w14:paraId="2C4F6EB4" w14:textId="4F084366"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12.907.304,57</w:t>
            </w:r>
          </w:p>
        </w:tc>
      </w:tr>
      <w:tr w:rsidR="00B40668" w:rsidRPr="001070C7" w14:paraId="169C1288" w14:textId="77777777" w:rsidTr="00116AE2">
        <w:trPr>
          <w:trHeight w:val="281"/>
        </w:trPr>
        <w:tc>
          <w:tcPr>
            <w:tcW w:w="6091" w:type="dxa"/>
            <w:shd w:val="clear" w:color="auto" w:fill="auto"/>
            <w:vAlign w:val="center"/>
            <w:hideMark/>
          </w:tcPr>
          <w:p w14:paraId="5DF7C1B4"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2. Novčani primici od tantijema, naknada, provizija i sl.</w:t>
            </w:r>
          </w:p>
        </w:tc>
        <w:tc>
          <w:tcPr>
            <w:tcW w:w="1492" w:type="dxa"/>
            <w:shd w:val="clear" w:color="auto" w:fill="auto"/>
            <w:noWrap/>
            <w:vAlign w:val="center"/>
            <w:hideMark/>
          </w:tcPr>
          <w:p w14:paraId="04CF10E7" w14:textId="471084B9"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16C820B9" w14:textId="5FC08A7E"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39399139" w14:textId="77777777" w:rsidTr="00116AE2">
        <w:trPr>
          <w:trHeight w:val="281"/>
        </w:trPr>
        <w:tc>
          <w:tcPr>
            <w:tcW w:w="6091" w:type="dxa"/>
            <w:shd w:val="clear" w:color="auto" w:fill="auto"/>
            <w:vAlign w:val="center"/>
            <w:hideMark/>
          </w:tcPr>
          <w:p w14:paraId="7C7F9D28"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3. Novčani primici od osiguranja za naknadu šteta</w:t>
            </w:r>
          </w:p>
        </w:tc>
        <w:tc>
          <w:tcPr>
            <w:tcW w:w="1492" w:type="dxa"/>
            <w:shd w:val="clear" w:color="auto" w:fill="auto"/>
            <w:noWrap/>
            <w:vAlign w:val="center"/>
            <w:hideMark/>
          </w:tcPr>
          <w:p w14:paraId="46BCF8BF" w14:textId="764D7843"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126.043,24</w:t>
            </w:r>
          </w:p>
        </w:tc>
        <w:tc>
          <w:tcPr>
            <w:tcW w:w="1776" w:type="dxa"/>
            <w:shd w:val="clear" w:color="auto" w:fill="auto"/>
            <w:noWrap/>
            <w:vAlign w:val="center"/>
            <w:hideMark/>
          </w:tcPr>
          <w:p w14:paraId="5A9FA2E8" w14:textId="7B41F669"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115.436,63</w:t>
            </w:r>
          </w:p>
        </w:tc>
      </w:tr>
      <w:tr w:rsidR="00B40668" w:rsidRPr="001070C7" w14:paraId="1F6DAD9F" w14:textId="77777777" w:rsidTr="00116AE2">
        <w:trPr>
          <w:trHeight w:val="281"/>
        </w:trPr>
        <w:tc>
          <w:tcPr>
            <w:tcW w:w="6091" w:type="dxa"/>
            <w:shd w:val="clear" w:color="auto" w:fill="auto"/>
            <w:vAlign w:val="center"/>
            <w:hideMark/>
          </w:tcPr>
          <w:p w14:paraId="7085039B"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4. Novčani primici s osnove povrata poreza</w:t>
            </w:r>
          </w:p>
        </w:tc>
        <w:tc>
          <w:tcPr>
            <w:tcW w:w="1492" w:type="dxa"/>
            <w:shd w:val="clear" w:color="auto" w:fill="auto"/>
            <w:noWrap/>
            <w:vAlign w:val="center"/>
            <w:hideMark/>
          </w:tcPr>
          <w:p w14:paraId="39E85196" w14:textId="3BE339C4"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208EC022" w14:textId="172BEF2B"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4DE12E31" w14:textId="77777777" w:rsidTr="00116AE2">
        <w:trPr>
          <w:trHeight w:val="281"/>
        </w:trPr>
        <w:tc>
          <w:tcPr>
            <w:tcW w:w="6091" w:type="dxa"/>
            <w:shd w:val="clear" w:color="auto" w:fill="auto"/>
            <w:vAlign w:val="center"/>
            <w:hideMark/>
          </w:tcPr>
          <w:p w14:paraId="4DAA7B5C"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5. Ostali novčani primici od poslovnih aktivnosti</w:t>
            </w:r>
          </w:p>
        </w:tc>
        <w:tc>
          <w:tcPr>
            <w:tcW w:w="1492" w:type="dxa"/>
            <w:shd w:val="clear" w:color="auto" w:fill="auto"/>
            <w:noWrap/>
            <w:vAlign w:val="center"/>
            <w:hideMark/>
          </w:tcPr>
          <w:p w14:paraId="204B6705" w14:textId="3D65C6DF"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104.897,40</w:t>
            </w:r>
          </w:p>
        </w:tc>
        <w:tc>
          <w:tcPr>
            <w:tcW w:w="1776" w:type="dxa"/>
            <w:shd w:val="clear" w:color="auto" w:fill="auto"/>
            <w:noWrap/>
            <w:vAlign w:val="center"/>
            <w:hideMark/>
          </w:tcPr>
          <w:p w14:paraId="07BBE231" w14:textId="6A44B136"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132.435,05</w:t>
            </w:r>
          </w:p>
        </w:tc>
      </w:tr>
      <w:tr w:rsidR="00B40668" w:rsidRPr="001070C7" w14:paraId="54476B92" w14:textId="77777777" w:rsidTr="00116AE2">
        <w:trPr>
          <w:trHeight w:val="281"/>
        </w:trPr>
        <w:tc>
          <w:tcPr>
            <w:tcW w:w="6091" w:type="dxa"/>
            <w:shd w:val="clear" w:color="auto" w:fill="auto"/>
            <w:vAlign w:val="center"/>
            <w:hideMark/>
          </w:tcPr>
          <w:p w14:paraId="52B5F713"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 I. Ukupno novčani primici od poslovnih aktivnosti</w:t>
            </w:r>
            <w:r w:rsidRPr="001070C7">
              <w:rPr>
                <w:rFonts w:eastAsia="Times New Roman" w:cstheme="minorHAnsi"/>
                <w:sz w:val="18"/>
                <w:szCs w:val="18"/>
                <w:lang w:eastAsia="hr-HR"/>
              </w:rPr>
              <w:t xml:space="preserve"> </w:t>
            </w:r>
          </w:p>
        </w:tc>
        <w:tc>
          <w:tcPr>
            <w:tcW w:w="1492" w:type="dxa"/>
            <w:shd w:val="clear" w:color="auto" w:fill="auto"/>
            <w:noWrap/>
            <w:vAlign w:val="center"/>
            <w:hideMark/>
          </w:tcPr>
          <w:p w14:paraId="29D4759C" w14:textId="467479A3" w:rsidR="00B40668" w:rsidRPr="00B40668" w:rsidRDefault="00B40668" w:rsidP="00B40668">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11.836.514,95</w:t>
            </w:r>
          </w:p>
        </w:tc>
        <w:tc>
          <w:tcPr>
            <w:tcW w:w="1776" w:type="dxa"/>
            <w:shd w:val="clear" w:color="auto" w:fill="auto"/>
            <w:noWrap/>
            <w:vAlign w:val="center"/>
            <w:hideMark/>
          </w:tcPr>
          <w:p w14:paraId="56B0B61D" w14:textId="15C93850" w:rsidR="00B40668" w:rsidRPr="00B40668" w:rsidRDefault="00B40668" w:rsidP="00B40668">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13.155.176,25</w:t>
            </w:r>
          </w:p>
        </w:tc>
      </w:tr>
      <w:tr w:rsidR="00B40668" w:rsidRPr="001070C7" w14:paraId="41F4F005" w14:textId="77777777" w:rsidTr="00116AE2">
        <w:trPr>
          <w:trHeight w:val="281"/>
        </w:trPr>
        <w:tc>
          <w:tcPr>
            <w:tcW w:w="6091" w:type="dxa"/>
            <w:shd w:val="clear" w:color="auto" w:fill="auto"/>
            <w:vAlign w:val="center"/>
            <w:hideMark/>
          </w:tcPr>
          <w:p w14:paraId="52F6B59A"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1. Novčani izdaci dobavljačima</w:t>
            </w:r>
          </w:p>
        </w:tc>
        <w:tc>
          <w:tcPr>
            <w:tcW w:w="1492" w:type="dxa"/>
            <w:shd w:val="clear" w:color="auto" w:fill="auto"/>
            <w:noWrap/>
            <w:vAlign w:val="center"/>
            <w:hideMark/>
          </w:tcPr>
          <w:p w14:paraId="5DA1AE8F" w14:textId="102C552F"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-7.254.202,89</w:t>
            </w:r>
          </w:p>
        </w:tc>
        <w:tc>
          <w:tcPr>
            <w:tcW w:w="1776" w:type="dxa"/>
            <w:shd w:val="clear" w:color="auto" w:fill="auto"/>
            <w:noWrap/>
            <w:vAlign w:val="center"/>
            <w:hideMark/>
          </w:tcPr>
          <w:p w14:paraId="1EB28715" w14:textId="2AA465F4" w:rsidR="00B40668" w:rsidRPr="00B40668" w:rsidRDefault="00E544C5" w:rsidP="00B40668">
            <w:pPr>
              <w:spacing w:after="0" w:line="240" w:lineRule="auto"/>
              <w:jc w:val="right"/>
              <w:rPr>
                <w:rFonts w:ascii="Calibri" w:eastAsia="Times New Roman" w:hAnsi="Calibri" w:cs="Calibri"/>
                <w:sz w:val="18"/>
                <w:szCs w:val="18"/>
                <w:lang w:eastAsia="hr-HR"/>
              </w:rPr>
            </w:pPr>
            <w:r w:rsidRPr="00E544C5">
              <w:rPr>
                <w:rFonts w:ascii="Calibri" w:hAnsi="Calibri" w:cs="Calibri"/>
                <w:sz w:val="18"/>
                <w:szCs w:val="18"/>
              </w:rPr>
              <w:t>-8.363.230,66</w:t>
            </w:r>
          </w:p>
        </w:tc>
      </w:tr>
      <w:tr w:rsidR="00B40668" w:rsidRPr="001070C7" w14:paraId="37CF2969" w14:textId="77777777" w:rsidTr="00116AE2">
        <w:trPr>
          <w:trHeight w:val="281"/>
        </w:trPr>
        <w:tc>
          <w:tcPr>
            <w:tcW w:w="6091" w:type="dxa"/>
            <w:shd w:val="clear" w:color="auto" w:fill="auto"/>
            <w:vAlign w:val="center"/>
            <w:hideMark/>
          </w:tcPr>
          <w:p w14:paraId="6CA8BCEA"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2. Novčani izdaci za zaposlene</w:t>
            </w:r>
          </w:p>
        </w:tc>
        <w:tc>
          <w:tcPr>
            <w:tcW w:w="1492" w:type="dxa"/>
            <w:shd w:val="clear" w:color="auto" w:fill="auto"/>
            <w:noWrap/>
            <w:vAlign w:val="center"/>
            <w:hideMark/>
          </w:tcPr>
          <w:p w14:paraId="206459B1" w14:textId="0C54D74B"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-1.166.796,45</w:t>
            </w:r>
          </w:p>
        </w:tc>
        <w:tc>
          <w:tcPr>
            <w:tcW w:w="1776" w:type="dxa"/>
            <w:shd w:val="clear" w:color="auto" w:fill="auto"/>
            <w:noWrap/>
            <w:vAlign w:val="center"/>
            <w:hideMark/>
          </w:tcPr>
          <w:p w14:paraId="44D1985E" w14:textId="3C0EBBA7"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-1.417.928,32</w:t>
            </w:r>
          </w:p>
        </w:tc>
      </w:tr>
      <w:tr w:rsidR="00B40668" w:rsidRPr="001070C7" w14:paraId="3D9ABB43" w14:textId="77777777" w:rsidTr="00116AE2">
        <w:trPr>
          <w:trHeight w:val="281"/>
        </w:trPr>
        <w:tc>
          <w:tcPr>
            <w:tcW w:w="6091" w:type="dxa"/>
            <w:shd w:val="clear" w:color="auto" w:fill="auto"/>
            <w:vAlign w:val="center"/>
            <w:hideMark/>
          </w:tcPr>
          <w:p w14:paraId="21748421"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3. Novčani izdaci za osiguranje za naknade šteta</w:t>
            </w:r>
          </w:p>
        </w:tc>
        <w:tc>
          <w:tcPr>
            <w:tcW w:w="1492" w:type="dxa"/>
            <w:shd w:val="clear" w:color="auto" w:fill="auto"/>
            <w:noWrap/>
            <w:vAlign w:val="center"/>
            <w:hideMark/>
          </w:tcPr>
          <w:p w14:paraId="0DFD9772" w14:textId="24BF7485"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-120.704,11</w:t>
            </w:r>
          </w:p>
        </w:tc>
        <w:tc>
          <w:tcPr>
            <w:tcW w:w="1776" w:type="dxa"/>
            <w:shd w:val="clear" w:color="auto" w:fill="auto"/>
            <w:noWrap/>
            <w:vAlign w:val="center"/>
            <w:hideMark/>
          </w:tcPr>
          <w:p w14:paraId="54A79F65" w14:textId="0FF56AFC"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-123.881,79</w:t>
            </w:r>
          </w:p>
        </w:tc>
      </w:tr>
      <w:tr w:rsidR="00B40668" w:rsidRPr="001070C7" w14:paraId="29EA70C6" w14:textId="77777777" w:rsidTr="00116AE2">
        <w:trPr>
          <w:trHeight w:val="281"/>
        </w:trPr>
        <w:tc>
          <w:tcPr>
            <w:tcW w:w="6091" w:type="dxa"/>
            <w:shd w:val="clear" w:color="auto" w:fill="auto"/>
            <w:vAlign w:val="center"/>
            <w:hideMark/>
          </w:tcPr>
          <w:p w14:paraId="740EBD72"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4. Novčani izdaci za kamate</w:t>
            </w:r>
          </w:p>
        </w:tc>
        <w:tc>
          <w:tcPr>
            <w:tcW w:w="1492" w:type="dxa"/>
            <w:shd w:val="clear" w:color="auto" w:fill="auto"/>
            <w:noWrap/>
            <w:vAlign w:val="center"/>
            <w:hideMark/>
          </w:tcPr>
          <w:p w14:paraId="7486C2E2" w14:textId="4A2F881F"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-115.452,59</w:t>
            </w:r>
          </w:p>
        </w:tc>
        <w:tc>
          <w:tcPr>
            <w:tcW w:w="1776" w:type="dxa"/>
            <w:shd w:val="clear" w:color="auto" w:fill="auto"/>
            <w:noWrap/>
            <w:vAlign w:val="center"/>
            <w:hideMark/>
          </w:tcPr>
          <w:p w14:paraId="70EF5DB2" w14:textId="5AC2C24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-124.873,13</w:t>
            </w:r>
          </w:p>
        </w:tc>
      </w:tr>
      <w:tr w:rsidR="00B40668" w:rsidRPr="001070C7" w14:paraId="697DF60D" w14:textId="77777777" w:rsidTr="00116AE2">
        <w:trPr>
          <w:trHeight w:val="281"/>
        </w:trPr>
        <w:tc>
          <w:tcPr>
            <w:tcW w:w="6091" w:type="dxa"/>
            <w:shd w:val="clear" w:color="auto" w:fill="auto"/>
            <w:vAlign w:val="center"/>
            <w:hideMark/>
          </w:tcPr>
          <w:p w14:paraId="21F52031"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5. Plaćeni porez na dobit</w:t>
            </w:r>
          </w:p>
        </w:tc>
        <w:tc>
          <w:tcPr>
            <w:tcW w:w="1492" w:type="dxa"/>
            <w:shd w:val="clear" w:color="auto" w:fill="auto"/>
            <w:noWrap/>
            <w:vAlign w:val="center"/>
            <w:hideMark/>
          </w:tcPr>
          <w:p w14:paraId="53E0BD7C" w14:textId="5F1A20F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-118.788,55</w:t>
            </w:r>
          </w:p>
        </w:tc>
        <w:tc>
          <w:tcPr>
            <w:tcW w:w="1776" w:type="dxa"/>
            <w:shd w:val="clear" w:color="auto" w:fill="auto"/>
            <w:noWrap/>
            <w:vAlign w:val="center"/>
            <w:hideMark/>
          </w:tcPr>
          <w:p w14:paraId="6FD21509" w14:textId="5B000AC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-29.038,40</w:t>
            </w:r>
          </w:p>
        </w:tc>
      </w:tr>
      <w:tr w:rsidR="00B40668" w:rsidRPr="001070C7" w14:paraId="4C82D7C9" w14:textId="77777777" w:rsidTr="00116AE2">
        <w:trPr>
          <w:trHeight w:val="281"/>
        </w:trPr>
        <w:tc>
          <w:tcPr>
            <w:tcW w:w="6091" w:type="dxa"/>
            <w:shd w:val="clear" w:color="auto" w:fill="auto"/>
            <w:vAlign w:val="center"/>
            <w:hideMark/>
          </w:tcPr>
          <w:p w14:paraId="20552D43"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6. Ostali novčani  izdaci od poslovnih aktivnosti</w:t>
            </w:r>
          </w:p>
        </w:tc>
        <w:tc>
          <w:tcPr>
            <w:tcW w:w="1492" w:type="dxa"/>
            <w:shd w:val="clear" w:color="auto" w:fill="auto"/>
            <w:noWrap/>
            <w:vAlign w:val="center"/>
            <w:hideMark/>
          </w:tcPr>
          <w:p w14:paraId="7EB62353" w14:textId="61E5F407"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-2.262.510,50</w:t>
            </w:r>
          </w:p>
        </w:tc>
        <w:tc>
          <w:tcPr>
            <w:tcW w:w="1776" w:type="dxa"/>
            <w:shd w:val="clear" w:color="auto" w:fill="auto"/>
            <w:noWrap/>
            <w:vAlign w:val="center"/>
            <w:hideMark/>
          </w:tcPr>
          <w:p w14:paraId="2C762C00" w14:textId="2E589F23"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-2.191.622,98</w:t>
            </w:r>
          </w:p>
        </w:tc>
      </w:tr>
      <w:tr w:rsidR="00E544C5" w:rsidRPr="00E544C5" w14:paraId="35E443F8" w14:textId="77777777" w:rsidTr="00116AE2">
        <w:trPr>
          <w:trHeight w:val="281"/>
        </w:trPr>
        <w:tc>
          <w:tcPr>
            <w:tcW w:w="6091" w:type="dxa"/>
            <w:shd w:val="clear" w:color="auto" w:fill="auto"/>
            <w:vAlign w:val="center"/>
            <w:hideMark/>
          </w:tcPr>
          <w:p w14:paraId="529D276A" w14:textId="77777777" w:rsidR="00E544C5" w:rsidRPr="001070C7" w:rsidRDefault="00E544C5" w:rsidP="00E544C5">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II. Ukupno novčani izdaci od poslovnih aktivnosti </w:t>
            </w:r>
          </w:p>
        </w:tc>
        <w:tc>
          <w:tcPr>
            <w:tcW w:w="1492" w:type="dxa"/>
            <w:shd w:val="clear" w:color="auto" w:fill="auto"/>
            <w:noWrap/>
            <w:vAlign w:val="center"/>
            <w:hideMark/>
          </w:tcPr>
          <w:p w14:paraId="71FDEED6" w14:textId="0FA78602" w:rsidR="00E544C5" w:rsidRPr="00B40668" w:rsidRDefault="00E544C5" w:rsidP="00E544C5">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-11.038.455,09</w:t>
            </w:r>
          </w:p>
        </w:tc>
        <w:tc>
          <w:tcPr>
            <w:tcW w:w="1776" w:type="dxa"/>
            <w:shd w:val="clear" w:color="auto" w:fill="auto"/>
            <w:noWrap/>
            <w:vAlign w:val="center"/>
            <w:hideMark/>
          </w:tcPr>
          <w:p w14:paraId="35C08612" w14:textId="6BD3B194" w:rsidR="00E544C5" w:rsidRPr="00E544C5" w:rsidRDefault="00E544C5" w:rsidP="00E544C5">
            <w:pPr>
              <w:spacing w:after="0" w:line="240" w:lineRule="auto"/>
              <w:jc w:val="right"/>
              <w:rPr>
                <w:rFonts w:ascii="Calibri" w:eastAsia="Times New Roman" w:hAnsi="Calibri" w:cs="Calibri"/>
                <w:b/>
                <w:bCs/>
                <w:sz w:val="18"/>
                <w:szCs w:val="18"/>
                <w:lang w:eastAsia="hr-HR"/>
              </w:rPr>
            </w:pPr>
            <w:r w:rsidRPr="00E544C5">
              <w:rPr>
                <w:rFonts w:ascii="Calibri" w:hAnsi="Calibri" w:cs="Calibri"/>
                <w:b/>
                <w:bCs/>
                <w:sz w:val="18"/>
                <w:szCs w:val="18"/>
              </w:rPr>
              <w:t>-12.250.575,28</w:t>
            </w:r>
          </w:p>
        </w:tc>
      </w:tr>
      <w:tr w:rsidR="00E544C5" w:rsidRPr="001070C7" w14:paraId="5830AE1F" w14:textId="77777777" w:rsidTr="00116AE2">
        <w:trPr>
          <w:trHeight w:val="517"/>
        </w:trPr>
        <w:tc>
          <w:tcPr>
            <w:tcW w:w="6091" w:type="dxa"/>
            <w:shd w:val="clear" w:color="auto" w:fill="auto"/>
            <w:vAlign w:val="center"/>
            <w:hideMark/>
          </w:tcPr>
          <w:p w14:paraId="11105C5C" w14:textId="77777777" w:rsidR="00E544C5" w:rsidRPr="001070C7" w:rsidRDefault="00E544C5" w:rsidP="00E544C5">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A) NETO NOVČANI TOKOVI OD POSLOVNIH AKTIVNOSTI </w:t>
            </w:r>
          </w:p>
        </w:tc>
        <w:tc>
          <w:tcPr>
            <w:tcW w:w="1492" w:type="dxa"/>
            <w:shd w:val="clear" w:color="auto" w:fill="auto"/>
            <w:noWrap/>
            <w:vAlign w:val="center"/>
            <w:hideMark/>
          </w:tcPr>
          <w:p w14:paraId="3BB3F20A" w14:textId="0CA062FD" w:rsidR="00E544C5" w:rsidRPr="00B40668" w:rsidRDefault="00E544C5" w:rsidP="00E544C5">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798.059,86</w:t>
            </w:r>
          </w:p>
        </w:tc>
        <w:tc>
          <w:tcPr>
            <w:tcW w:w="1776" w:type="dxa"/>
            <w:shd w:val="clear" w:color="auto" w:fill="auto"/>
            <w:noWrap/>
            <w:vAlign w:val="center"/>
            <w:hideMark/>
          </w:tcPr>
          <w:p w14:paraId="01594174" w14:textId="2ECFCD31" w:rsidR="00E544C5" w:rsidRPr="00E544C5" w:rsidRDefault="00E544C5" w:rsidP="00E544C5">
            <w:pPr>
              <w:spacing w:after="0" w:line="240" w:lineRule="auto"/>
              <w:jc w:val="right"/>
              <w:rPr>
                <w:rFonts w:ascii="Calibri" w:eastAsia="Times New Roman" w:hAnsi="Calibri" w:cs="Calibri"/>
                <w:b/>
                <w:bCs/>
                <w:sz w:val="18"/>
                <w:szCs w:val="18"/>
                <w:lang w:eastAsia="hr-HR"/>
              </w:rPr>
            </w:pPr>
            <w:r w:rsidRPr="00E544C5">
              <w:rPr>
                <w:rFonts w:ascii="Calibri" w:hAnsi="Calibri" w:cs="Calibri"/>
                <w:b/>
                <w:bCs/>
                <w:sz w:val="18"/>
                <w:szCs w:val="18"/>
              </w:rPr>
              <w:t>904.600,97</w:t>
            </w:r>
          </w:p>
        </w:tc>
      </w:tr>
      <w:tr w:rsidR="001070C7" w:rsidRPr="001070C7" w14:paraId="0950AAF5" w14:textId="77777777" w:rsidTr="00116AE2">
        <w:trPr>
          <w:trHeight w:val="281"/>
        </w:trPr>
        <w:tc>
          <w:tcPr>
            <w:tcW w:w="9359" w:type="dxa"/>
            <w:gridSpan w:val="3"/>
            <w:shd w:val="clear" w:color="auto" w:fill="F2F2F2" w:themeFill="background1" w:themeFillShade="F2"/>
            <w:noWrap/>
            <w:vAlign w:val="center"/>
            <w:hideMark/>
          </w:tcPr>
          <w:p w14:paraId="5E94B0D4" w14:textId="77777777" w:rsidR="001070C7" w:rsidRPr="001070C7" w:rsidRDefault="001070C7" w:rsidP="001070C7">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Novčani tokovi od investicijskih aktivnosti</w:t>
            </w:r>
          </w:p>
        </w:tc>
      </w:tr>
      <w:tr w:rsidR="00B40668" w:rsidRPr="001070C7" w14:paraId="2B0E87DE" w14:textId="77777777" w:rsidTr="00116AE2">
        <w:trPr>
          <w:trHeight w:val="281"/>
        </w:trPr>
        <w:tc>
          <w:tcPr>
            <w:tcW w:w="6091" w:type="dxa"/>
            <w:shd w:val="clear" w:color="auto" w:fill="auto"/>
            <w:vAlign w:val="center"/>
            <w:hideMark/>
          </w:tcPr>
          <w:p w14:paraId="76BB28BB" w14:textId="7F729ADE"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1. Novčani primici od prodaje dugotrajne materijalne i nematerijalne</w:t>
            </w:r>
            <w:r>
              <w:rPr>
                <w:rFonts w:eastAsia="Times New Roman" w:cstheme="minorHAnsi"/>
                <w:sz w:val="18"/>
                <w:szCs w:val="18"/>
                <w:lang w:eastAsia="hr-HR"/>
              </w:rPr>
              <w:t xml:space="preserve"> </w:t>
            </w:r>
            <w:r w:rsidRPr="001070C7">
              <w:rPr>
                <w:rFonts w:eastAsia="Times New Roman" w:cstheme="minorHAnsi"/>
                <w:sz w:val="18"/>
                <w:szCs w:val="18"/>
                <w:lang w:eastAsia="hr-HR"/>
              </w:rPr>
              <w:t>imovine</w:t>
            </w:r>
          </w:p>
        </w:tc>
        <w:tc>
          <w:tcPr>
            <w:tcW w:w="1492" w:type="dxa"/>
            <w:shd w:val="clear" w:color="auto" w:fill="auto"/>
            <w:noWrap/>
            <w:vAlign w:val="center"/>
            <w:hideMark/>
          </w:tcPr>
          <w:p w14:paraId="051682D3" w14:textId="1B7DA7E7"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4BA599EA" w14:textId="746DBE8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21750258" w14:textId="77777777" w:rsidTr="00116AE2">
        <w:trPr>
          <w:trHeight w:val="281"/>
        </w:trPr>
        <w:tc>
          <w:tcPr>
            <w:tcW w:w="6091" w:type="dxa"/>
            <w:shd w:val="clear" w:color="auto" w:fill="auto"/>
            <w:vAlign w:val="center"/>
            <w:hideMark/>
          </w:tcPr>
          <w:p w14:paraId="677F0BAA"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2. Novčani primici od prodaje financijskih instrumenata</w:t>
            </w:r>
          </w:p>
        </w:tc>
        <w:tc>
          <w:tcPr>
            <w:tcW w:w="1492" w:type="dxa"/>
            <w:shd w:val="clear" w:color="auto" w:fill="auto"/>
            <w:noWrap/>
            <w:vAlign w:val="center"/>
            <w:hideMark/>
          </w:tcPr>
          <w:p w14:paraId="0FEF658F" w14:textId="35E2747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6E17C888" w14:textId="2D69DD17"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2CE5F0BF" w14:textId="77777777" w:rsidTr="00116AE2">
        <w:trPr>
          <w:trHeight w:val="281"/>
        </w:trPr>
        <w:tc>
          <w:tcPr>
            <w:tcW w:w="6091" w:type="dxa"/>
            <w:shd w:val="clear" w:color="auto" w:fill="auto"/>
            <w:vAlign w:val="center"/>
            <w:hideMark/>
          </w:tcPr>
          <w:p w14:paraId="20E7A40A"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3. Novčani primici od kamata</w:t>
            </w:r>
          </w:p>
        </w:tc>
        <w:tc>
          <w:tcPr>
            <w:tcW w:w="1492" w:type="dxa"/>
            <w:shd w:val="clear" w:color="auto" w:fill="auto"/>
            <w:noWrap/>
            <w:vAlign w:val="center"/>
            <w:hideMark/>
          </w:tcPr>
          <w:p w14:paraId="718CE4B4" w14:textId="0DDA58F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37.971,57</w:t>
            </w:r>
          </w:p>
        </w:tc>
        <w:tc>
          <w:tcPr>
            <w:tcW w:w="1776" w:type="dxa"/>
            <w:shd w:val="clear" w:color="auto" w:fill="auto"/>
            <w:noWrap/>
            <w:vAlign w:val="center"/>
            <w:hideMark/>
          </w:tcPr>
          <w:p w14:paraId="452EBBC3" w14:textId="39CC78CE"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29.222,79</w:t>
            </w:r>
          </w:p>
        </w:tc>
      </w:tr>
      <w:tr w:rsidR="00B40668" w:rsidRPr="001070C7" w14:paraId="558A8E5C" w14:textId="77777777" w:rsidTr="00116AE2">
        <w:trPr>
          <w:trHeight w:val="281"/>
        </w:trPr>
        <w:tc>
          <w:tcPr>
            <w:tcW w:w="6091" w:type="dxa"/>
            <w:shd w:val="clear" w:color="auto" w:fill="auto"/>
            <w:vAlign w:val="center"/>
            <w:hideMark/>
          </w:tcPr>
          <w:p w14:paraId="0C519F1D"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4. Novčani primici od dividendi</w:t>
            </w:r>
          </w:p>
        </w:tc>
        <w:tc>
          <w:tcPr>
            <w:tcW w:w="1492" w:type="dxa"/>
            <w:shd w:val="clear" w:color="auto" w:fill="auto"/>
            <w:noWrap/>
            <w:vAlign w:val="center"/>
            <w:hideMark/>
          </w:tcPr>
          <w:p w14:paraId="3251D934" w14:textId="521F5530"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0906662D" w14:textId="72FD2A38"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6197C48B" w14:textId="77777777" w:rsidTr="00116AE2">
        <w:trPr>
          <w:trHeight w:val="281"/>
        </w:trPr>
        <w:tc>
          <w:tcPr>
            <w:tcW w:w="6091" w:type="dxa"/>
            <w:shd w:val="clear" w:color="auto" w:fill="auto"/>
            <w:vAlign w:val="center"/>
            <w:hideMark/>
          </w:tcPr>
          <w:p w14:paraId="3F843A3C"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5. Novčani primici s osnove povrata danih zajmova i štednih uloga</w:t>
            </w:r>
          </w:p>
        </w:tc>
        <w:tc>
          <w:tcPr>
            <w:tcW w:w="1492" w:type="dxa"/>
            <w:shd w:val="clear" w:color="auto" w:fill="auto"/>
            <w:noWrap/>
            <w:vAlign w:val="center"/>
            <w:hideMark/>
          </w:tcPr>
          <w:p w14:paraId="4EBAEF54" w14:textId="255EDC6B"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747C5A0E" w14:textId="403BC342"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0D0CA51C" w14:textId="77777777" w:rsidTr="00116AE2">
        <w:trPr>
          <w:trHeight w:val="281"/>
        </w:trPr>
        <w:tc>
          <w:tcPr>
            <w:tcW w:w="6091" w:type="dxa"/>
            <w:shd w:val="clear" w:color="auto" w:fill="auto"/>
            <w:vAlign w:val="center"/>
            <w:hideMark/>
          </w:tcPr>
          <w:p w14:paraId="165BF346"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6. Ostali novčani primici od investicijskih aktivnosti</w:t>
            </w:r>
          </w:p>
        </w:tc>
        <w:tc>
          <w:tcPr>
            <w:tcW w:w="1492" w:type="dxa"/>
            <w:shd w:val="clear" w:color="auto" w:fill="auto"/>
            <w:noWrap/>
            <w:vAlign w:val="center"/>
            <w:hideMark/>
          </w:tcPr>
          <w:p w14:paraId="609071AF" w14:textId="5C57737F"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940.555,01</w:t>
            </w:r>
          </w:p>
        </w:tc>
        <w:tc>
          <w:tcPr>
            <w:tcW w:w="1776" w:type="dxa"/>
            <w:shd w:val="clear" w:color="auto" w:fill="auto"/>
            <w:noWrap/>
            <w:vAlign w:val="center"/>
            <w:hideMark/>
          </w:tcPr>
          <w:p w14:paraId="20663BB0" w14:textId="0DFF9908"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3F28F115" w14:textId="77777777" w:rsidTr="00116AE2">
        <w:trPr>
          <w:trHeight w:val="281"/>
        </w:trPr>
        <w:tc>
          <w:tcPr>
            <w:tcW w:w="6091" w:type="dxa"/>
            <w:shd w:val="clear" w:color="auto" w:fill="auto"/>
            <w:vAlign w:val="center"/>
            <w:hideMark/>
          </w:tcPr>
          <w:p w14:paraId="3926D24D"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II. Ukupno novčani primici od investicijskih aktivnosti </w:t>
            </w:r>
          </w:p>
        </w:tc>
        <w:tc>
          <w:tcPr>
            <w:tcW w:w="1492" w:type="dxa"/>
            <w:shd w:val="clear" w:color="auto" w:fill="auto"/>
            <w:noWrap/>
            <w:vAlign w:val="center"/>
            <w:hideMark/>
          </w:tcPr>
          <w:p w14:paraId="215EB77B" w14:textId="58632B19" w:rsidR="00B40668" w:rsidRPr="00B40668" w:rsidRDefault="00B40668" w:rsidP="00B40668">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978.526,58</w:t>
            </w:r>
          </w:p>
        </w:tc>
        <w:tc>
          <w:tcPr>
            <w:tcW w:w="1776" w:type="dxa"/>
            <w:shd w:val="clear" w:color="auto" w:fill="auto"/>
            <w:noWrap/>
            <w:vAlign w:val="center"/>
            <w:hideMark/>
          </w:tcPr>
          <w:p w14:paraId="49B1A58D" w14:textId="1C5CBCA1" w:rsidR="00B40668" w:rsidRPr="00B40668" w:rsidRDefault="00B40668" w:rsidP="00B40668">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29.222,79</w:t>
            </w:r>
          </w:p>
        </w:tc>
      </w:tr>
      <w:tr w:rsidR="00B40668" w:rsidRPr="001070C7" w14:paraId="6DCFD58E" w14:textId="77777777" w:rsidTr="00116AE2">
        <w:trPr>
          <w:trHeight w:val="281"/>
        </w:trPr>
        <w:tc>
          <w:tcPr>
            <w:tcW w:w="6091" w:type="dxa"/>
            <w:shd w:val="clear" w:color="auto" w:fill="auto"/>
            <w:vAlign w:val="center"/>
            <w:hideMark/>
          </w:tcPr>
          <w:p w14:paraId="20B58AD2"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1. Novčani izdaci za kupnju dugotrajne materijalne i nematerijalne imovine</w:t>
            </w:r>
          </w:p>
        </w:tc>
        <w:tc>
          <w:tcPr>
            <w:tcW w:w="1492" w:type="dxa"/>
            <w:shd w:val="clear" w:color="auto" w:fill="auto"/>
            <w:noWrap/>
            <w:vAlign w:val="center"/>
            <w:hideMark/>
          </w:tcPr>
          <w:p w14:paraId="6F9B6C1C" w14:textId="6E469AFC"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-1.666.486,48</w:t>
            </w:r>
          </w:p>
        </w:tc>
        <w:tc>
          <w:tcPr>
            <w:tcW w:w="1776" w:type="dxa"/>
            <w:shd w:val="clear" w:color="auto" w:fill="auto"/>
            <w:noWrap/>
            <w:vAlign w:val="center"/>
            <w:hideMark/>
          </w:tcPr>
          <w:p w14:paraId="388F5580" w14:textId="4DEEFED1" w:rsidR="00B40668" w:rsidRPr="00B40668" w:rsidRDefault="00E544C5" w:rsidP="00B40668">
            <w:pPr>
              <w:spacing w:after="0" w:line="240" w:lineRule="auto"/>
              <w:jc w:val="right"/>
              <w:rPr>
                <w:rFonts w:ascii="Calibri" w:eastAsia="Times New Roman" w:hAnsi="Calibri" w:cs="Calibri"/>
                <w:sz w:val="18"/>
                <w:szCs w:val="18"/>
                <w:lang w:eastAsia="hr-HR"/>
              </w:rPr>
            </w:pPr>
            <w:r w:rsidRPr="00E544C5">
              <w:rPr>
                <w:rFonts w:ascii="Calibri" w:hAnsi="Calibri" w:cs="Calibri"/>
                <w:sz w:val="18"/>
                <w:szCs w:val="18"/>
              </w:rPr>
              <w:t>-701.142,18</w:t>
            </w:r>
          </w:p>
        </w:tc>
      </w:tr>
      <w:tr w:rsidR="00B40668" w:rsidRPr="001070C7" w14:paraId="73028A17" w14:textId="77777777" w:rsidTr="00116AE2">
        <w:trPr>
          <w:trHeight w:val="281"/>
        </w:trPr>
        <w:tc>
          <w:tcPr>
            <w:tcW w:w="6091" w:type="dxa"/>
            <w:shd w:val="clear" w:color="auto" w:fill="auto"/>
            <w:vAlign w:val="center"/>
            <w:hideMark/>
          </w:tcPr>
          <w:p w14:paraId="5940A26B"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2. Novčani izdaci za stjecanje financijskih instrumenata</w:t>
            </w:r>
          </w:p>
        </w:tc>
        <w:tc>
          <w:tcPr>
            <w:tcW w:w="1492" w:type="dxa"/>
            <w:shd w:val="clear" w:color="auto" w:fill="auto"/>
            <w:noWrap/>
            <w:vAlign w:val="center"/>
            <w:hideMark/>
          </w:tcPr>
          <w:p w14:paraId="1FA3CA33" w14:textId="6317206F"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6990CC82" w14:textId="16385A94"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694971D2" w14:textId="77777777" w:rsidTr="00116AE2">
        <w:trPr>
          <w:trHeight w:val="281"/>
        </w:trPr>
        <w:tc>
          <w:tcPr>
            <w:tcW w:w="6091" w:type="dxa"/>
            <w:shd w:val="clear" w:color="auto" w:fill="auto"/>
            <w:vAlign w:val="center"/>
            <w:hideMark/>
          </w:tcPr>
          <w:p w14:paraId="43787FA7" w14:textId="372E314C"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3. Novčani izdaci s osnove danih zajmova i štednih uloga</w:t>
            </w:r>
          </w:p>
        </w:tc>
        <w:tc>
          <w:tcPr>
            <w:tcW w:w="1492" w:type="dxa"/>
            <w:shd w:val="clear" w:color="auto" w:fill="auto"/>
            <w:noWrap/>
            <w:vAlign w:val="center"/>
            <w:hideMark/>
          </w:tcPr>
          <w:p w14:paraId="00C607B5" w14:textId="57375EED"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48225CA8" w14:textId="28FBE281"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71B2F79C" w14:textId="77777777" w:rsidTr="00116AE2">
        <w:trPr>
          <w:trHeight w:val="281"/>
        </w:trPr>
        <w:tc>
          <w:tcPr>
            <w:tcW w:w="6091" w:type="dxa"/>
            <w:shd w:val="clear" w:color="auto" w:fill="auto"/>
            <w:vAlign w:val="center"/>
            <w:hideMark/>
          </w:tcPr>
          <w:p w14:paraId="41A073F5"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4. Stjecanje ovisnog društva, umanjeno za stečeni novac</w:t>
            </w:r>
          </w:p>
        </w:tc>
        <w:tc>
          <w:tcPr>
            <w:tcW w:w="1492" w:type="dxa"/>
            <w:shd w:val="clear" w:color="auto" w:fill="auto"/>
            <w:noWrap/>
            <w:vAlign w:val="center"/>
            <w:hideMark/>
          </w:tcPr>
          <w:p w14:paraId="438D62B5" w14:textId="7C038451"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22109864" w14:textId="1F25AA77"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B40668" w:rsidRPr="001070C7" w14:paraId="04423C80" w14:textId="77777777" w:rsidTr="00116AE2">
        <w:trPr>
          <w:trHeight w:val="281"/>
        </w:trPr>
        <w:tc>
          <w:tcPr>
            <w:tcW w:w="6091" w:type="dxa"/>
            <w:shd w:val="clear" w:color="auto" w:fill="auto"/>
            <w:vAlign w:val="center"/>
            <w:hideMark/>
          </w:tcPr>
          <w:p w14:paraId="79D22038"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t xml:space="preserve"> 5. Ostali novčani izdaci od investicijskih aktivnosti</w:t>
            </w:r>
          </w:p>
        </w:tc>
        <w:tc>
          <w:tcPr>
            <w:tcW w:w="1492" w:type="dxa"/>
            <w:shd w:val="clear" w:color="auto" w:fill="auto"/>
            <w:noWrap/>
            <w:vAlign w:val="center"/>
            <w:hideMark/>
          </w:tcPr>
          <w:p w14:paraId="0D2AEAA0" w14:textId="191615D0"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c>
          <w:tcPr>
            <w:tcW w:w="1776" w:type="dxa"/>
            <w:shd w:val="clear" w:color="auto" w:fill="auto"/>
            <w:noWrap/>
            <w:vAlign w:val="center"/>
            <w:hideMark/>
          </w:tcPr>
          <w:p w14:paraId="4277AD5A" w14:textId="2A2BEE93" w:rsidR="00B40668" w:rsidRPr="00B40668" w:rsidRDefault="00B40668" w:rsidP="00B40668">
            <w:pPr>
              <w:spacing w:after="0" w:line="240" w:lineRule="auto"/>
              <w:jc w:val="right"/>
              <w:rPr>
                <w:rFonts w:ascii="Calibri" w:eastAsia="Times New Roman" w:hAnsi="Calibri" w:cs="Calibri"/>
                <w:sz w:val="18"/>
                <w:szCs w:val="18"/>
                <w:lang w:eastAsia="hr-HR"/>
              </w:rPr>
            </w:pPr>
            <w:r w:rsidRPr="00B40668">
              <w:rPr>
                <w:rFonts w:ascii="Calibri" w:hAnsi="Calibri" w:cs="Calibri"/>
                <w:sz w:val="18"/>
                <w:szCs w:val="18"/>
              </w:rPr>
              <w:t> </w:t>
            </w:r>
          </w:p>
        </w:tc>
      </w:tr>
      <w:tr w:rsidR="00E544C5" w:rsidRPr="001070C7" w14:paraId="43D48720" w14:textId="77777777" w:rsidTr="00116AE2">
        <w:trPr>
          <w:trHeight w:val="281"/>
        </w:trPr>
        <w:tc>
          <w:tcPr>
            <w:tcW w:w="6091" w:type="dxa"/>
            <w:shd w:val="clear" w:color="auto" w:fill="auto"/>
            <w:vAlign w:val="center"/>
            <w:hideMark/>
          </w:tcPr>
          <w:p w14:paraId="7C17B611" w14:textId="77777777" w:rsidR="00E544C5" w:rsidRPr="001070C7" w:rsidRDefault="00E544C5" w:rsidP="00E544C5">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III. Ukupno novčani izdaci od investicijskih aktivnosti </w:t>
            </w:r>
          </w:p>
        </w:tc>
        <w:tc>
          <w:tcPr>
            <w:tcW w:w="1492" w:type="dxa"/>
            <w:shd w:val="clear" w:color="auto" w:fill="auto"/>
            <w:noWrap/>
            <w:vAlign w:val="center"/>
            <w:hideMark/>
          </w:tcPr>
          <w:p w14:paraId="34B09387" w14:textId="3DC3E094" w:rsidR="00E544C5" w:rsidRPr="00B40668" w:rsidRDefault="00E544C5" w:rsidP="00E544C5">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-1.666.486,48</w:t>
            </w:r>
          </w:p>
        </w:tc>
        <w:tc>
          <w:tcPr>
            <w:tcW w:w="1776" w:type="dxa"/>
            <w:shd w:val="clear" w:color="auto" w:fill="auto"/>
            <w:noWrap/>
            <w:vAlign w:val="center"/>
            <w:hideMark/>
          </w:tcPr>
          <w:p w14:paraId="75186480" w14:textId="4230AA0F" w:rsidR="00E544C5" w:rsidRPr="00E544C5" w:rsidRDefault="00E544C5" w:rsidP="00E544C5">
            <w:pPr>
              <w:spacing w:after="0" w:line="240" w:lineRule="auto"/>
              <w:jc w:val="right"/>
              <w:rPr>
                <w:rFonts w:ascii="Calibri" w:eastAsia="Times New Roman" w:hAnsi="Calibri" w:cs="Calibri"/>
                <w:b/>
                <w:bCs/>
                <w:sz w:val="18"/>
                <w:szCs w:val="18"/>
                <w:lang w:eastAsia="hr-HR"/>
              </w:rPr>
            </w:pPr>
            <w:r w:rsidRPr="00E544C5">
              <w:rPr>
                <w:rFonts w:ascii="Calibri" w:hAnsi="Calibri" w:cs="Calibri"/>
                <w:b/>
                <w:bCs/>
                <w:sz w:val="18"/>
                <w:szCs w:val="18"/>
              </w:rPr>
              <w:t>-701.142,18</w:t>
            </w:r>
          </w:p>
        </w:tc>
      </w:tr>
      <w:tr w:rsidR="00E544C5" w:rsidRPr="001070C7" w14:paraId="1F93B2E8" w14:textId="77777777" w:rsidTr="00116AE2">
        <w:trPr>
          <w:trHeight w:val="281"/>
        </w:trPr>
        <w:tc>
          <w:tcPr>
            <w:tcW w:w="6091" w:type="dxa"/>
            <w:shd w:val="clear" w:color="auto" w:fill="auto"/>
            <w:vAlign w:val="center"/>
            <w:hideMark/>
          </w:tcPr>
          <w:p w14:paraId="4B509D95" w14:textId="77777777" w:rsidR="00E544C5" w:rsidRPr="001070C7" w:rsidRDefault="00E544C5" w:rsidP="00E544C5">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B) NETO NOVČANI TOKOVI OD INVESTICIJSKIH AKTIVNOSTI </w:t>
            </w:r>
          </w:p>
        </w:tc>
        <w:tc>
          <w:tcPr>
            <w:tcW w:w="1492" w:type="dxa"/>
            <w:shd w:val="clear" w:color="auto" w:fill="auto"/>
            <w:noWrap/>
            <w:vAlign w:val="center"/>
            <w:hideMark/>
          </w:tcPr>
          <w:p w14:paraId="6EBA377D" w14:textId="6CA33FBF" w:rsidR="00E544C5" w:rsidRPr="00B40668" w:rsidRDefault="00E544C5" w:rsidP="00E544C5">
            <w:pPr>
              <w:spacing w:after="0" w:line="240" w:lineRule="auto"/>
              <w:jc w:val="right"/>
              <w:rPr>
                <w:rFonts w:ascii="Calibri" w:eastAsia="Times New Roman" w:hAnsi="Calibri" w:cs="Calibri"/>
                <w:b/>
                <w:bCs/>
                <w:sz w:val="18"/>
                <w:szCs w:val="18"/>
                <w:lang w:eastAsia="hr-HR"/>
              </w:rPr>
            </w:pPr>
            <w:r w:rsidRPr="00B40668">
              <w:rPr>
                <w:rFonts w:ascii="Calibri" w:hAnsi="Calibri" w:cs="Calibri"/>
                <w:b/>
                <w:bCs/>
                <w:sz w:val="18"/>
                <w:szCs w:val="18"/>
              </w:rPr>
              <w:t>-687.959,90</w:t>
            </w:r>
          </w:p>
        </w:tc>
        <w:tc>
          <w:tcPr>
            <w:tcW w:w="1776" w:type="dxa"/>
            <w:shd w:val="clear" w:color="auto" w:fill="auto"/>
            <w:noWrap/>
            <w:vAlign w:val="center"/>
            <w:hideMark/>
          </w:tcPr>
          <w:p w14:paraId="78EFB8DB" w14:textId="6A6307A5" w:rsidR="00E544C5" w:rsidRPr="00E544C5" w:rsidRDefault="00E544C5" w:rsidP="00E544C5">
            <w:pPr>
              <w:spacing w:after="0" w:line="240" w:lineRule="auto"/>
              <w:jc w:val="right"/>
              <w:rPr>
                <w:rFonts w:ascii="Calibri" w:eastAsia="Times New Roman" w:hAnsi="Calibri" w:cs="Calibri"/>
                <w:b/>
                <w:bCs/>
                <w:sz w:val="18"/>
                <w:szCs w:val="18"/>
                <w:lang w:eastAsia="hr-HR"/>
              </w:rPr>
            </w:pPr>
            <w:r w:rsidRPr="00E544C5">
              <w:rPr>
                <w:rFonts w:ascii="Calibri" w:hAnsi="Calibri" w:cs="Calibri"/>
                <w:b/>
                <w:bCs/>
                <w:sz w:val="18"/>
                <w:szCs w:val="18"/>
              </w:rPr>
              <w:t>-671.919,39</w:t>
            </w:r>
          </w:p>
        </w:tc>
      </w:tr>
      <w:tr w:rsidR="001070C7" w:rsidRPr="001070C7" w14:paraId="2A282483" w14:textId="77777777" w:rsidTr="00116AE2">
        <w:trPr>
          <w:trHeight w:val="281"/>
        </w:trPr>
        <w:tc>
          <w:tcPr>
            <w:tcW w:w="9359" w:type="dxa"/>
            <w:gridSpan w:val="3"/>
            <w:shd w:val="clear" w:color="auto" w:fill="F2F2F2" w:themeFill="background1" w:themeFillShade="F2"/>
            <w:noWrap/>
            <w:vAlign w:val="center"/>
            <w:hideMark/>
          </w:tcPr>
          <w:p w14:paraId="00431FD0" w14:textId="77777777" w:rsidR="001070C7" w:rsidRPr="001070C7" w:rsidRDefault="001070C7" w:rsidP="001070C7">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Novčani tokovi od financijskih aktivnosti</w:t>
            </w:r>
          </w:p>
        </w:tc>
      </w:tr>
      <w:tr w:rsidR="00B40668" w:rsidRPr="001070C7" w14:paraId="76954D0B" w14:textId="77777777" w:rsidTr="00116AE2">
        <w:trPr>
          <w:trHeight w:val="281"/>
        </w:trPr>
        <w:tc>
          <w:tcPr>
            <w:tcW w:w="6091" w:type="dxa"/>
            <w:shd w:val="clear" w:color="auto" w:fill="auto"/>
            <w:vAlign w:val="center"/>
            <w:hideMark/>
          </w:tcPr>
          <w:p w14:paraId="610D8709"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1. Novčani primici od povećanja temeljnog (upisanog) kapitala</w:t>
            </w:r>
          </w:p>
        </w:tc>
        <w:tc>
          <w:tcPr>
            <w:tcW w:w="1492" w:type="dxa"/>
            <w:shd w:val="clear" w:color="auto" w:fill="auto"/>
            <w:noWrap/>
            <w:vAlign w:val="center"/>
            <w:hideMark/>
          </w:tcPr>
          <w:p w14:paraId="5F025D80" w14:textId="202003EE"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78C9F3A7" w14:textId="43991976"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3B4AC397" w14:textId="77777777" w:rsidTr="00116AE2">
        <w:trPr>
          <w:trHeight w:val="57"/>
        </w:trPr>
        <w:tc>
          <w:tcPr>
            <w:tcW w:w="6091" w:type="dxa"/>
            <w:shd w:val="clear" w:color="auto" w:fill="auto"/>
            <w:hideMark/>
          </w:tcPr>
          <w:p w14:paraId="58B9971B" w14:textId="026C471E"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2. Novčani primici od izdavanja vlasničkih i dužničkih financijskih inst</w:t>
            </w:r>
            <w:r>
              <w:rPr>
                <w:rFonts w:eastAsia="Times New Roman" w:cstheme="minorHAnsi"/>
                <w:sz w:val="18"/>
                <w:szCs w:val="18"/>
                <w:lang w:eastAsia="hr-HR"/>
              </w:rPr>
              <w:t>r.</w:t>
            </w:r>
          </w:p>
        </w:tc>
        <w:tc>
          <w:tcPr>
            <w:tcW w:w="1492" w:type="dxa"/>
            <w:shd w:val="clear" w:color="auto" w:fill="auto"/>
            <w:noWrap/>
            <w:vAlign w:val="center"/>
            <w:hideMark/>
          </w:tcPr>
          <w:p w14:paraId="62E6C73D" w14:textId="3E6102B4"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4A766698" w14:textId="77BAAB28"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7E42C632" w14:textId="77777777" w:rsidTr="00116AE2">
        <w:trPr>
          <w:trHeight w:val="281"/>
        </w:trPr>
        <w:tc>
          <w:tcPr>
            <w:tcW w:w="6091" w:type="dxa"/>
            <w:shd w:val="clear" w:color="auto" w:fill="auto"/>
            <w:vAlign w:val="center"/>
            <w:hideMark/>
          </w:tcPr>
          <w:p w14:paraId="3E3E40B0"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3. Novčani primici od glavnice kredita, pozajmica i drugih posudbi</w:t>
            </w:r>
          </w:p>
        </w:tc>
        <w:tc>
          <w:tcPr>
            <w:tcW w:w="1492" w:type="dxa"/>
            <w:shd w:val="clear" w:color="auto" w:fill="auto"/>
            <w:noWrap/>
            <w:vAlign w:val="center"/>
            <w:hideMark/>
          </w:tcPr>
          <w:p w14:paraId="754468B1" w14:textId="26BE27A3"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121.032,82</w:t>
            </w:r>
          </w:p>
        </w:tc>
        <w:tc>
          <w:tcPr>
            <w:tcW w:w="1776" w:type="dxa"/>
            <w:shd w:val="clear" w:color="auto" w:fill="auto"/>
            <w:noWrap/>
            <w:vAlign w:val="center"/>
            <w:hideMark/>
          </w:tcPr>
          <w:p w14:paraId="5C713673" w14:textId="62DD2710"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125.461,93</w:t>
            </w:r>
          </w:p>
        </w:tc>
      </w:tr>
      <w:tr w:rsidR="00B40668" w:rsidRPr="001070C7" w14:paraId="662AFBFB" w14:textId="77777777" w:rsidTr="00116AE2">
        <w:trPr>
          <w:trHeight w:val="281"/>
        </w:trPr>
        <w:tc>
          <w:tcPr>
            <w:tcW w:w="6091" w:type="dxa"/>
            <w:shd w:val="clear" w:color="auto" w:fill="auto"/>
            <w:vAlign w:val="center"/>
            <w:hideMark/>
          </w:tcPr>
          <w:p w14:paraId="62BA65FF"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4. Ostali novčani primici od financijskih aktivnosti</w:t>
            </w:r>
          </w:p>
        </w:tc>
        <w:tc>
          <w:tcPr>
            <w:tcW w:w="1492" w:type="dxa"/>
            <w:shd w:val="clear" w:color="auto" w:fill="auto"/>
            <w:noWrap/>
            <w:vAlign w:val="center"/>
            <w:hideMark/>
          </w:tcPr>
          <w:p w14:paraId="23E7CEF7" w14:textId="35ED8700"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0EFB9FB8" w14:textId="406F295C"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41A128F6" w14:textId="77777777" w:rsidTr="00116AE2">
        <w:trPr>
          <w:trHeight w:val="281"/>
        </w:trPr>
        <w:tc>
          <w:tcPr>
            <w:tcW w:w="6091" w:type="dxa"/>
            <w:shd w:val="clear" w:color="auto" w:fill="auto"/>
            <w:vAlign w:val="center"/>
            <w:hideMark/>
          </w:tcPr>
          <w:p w14:paraId="1A11B77C"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IV. Ukupno novčani primici od financijskih aktivnosti </w:t>
            </w:r>
          </w:p>
        </w:tc>
        <w:tc>
          <w:tcPr>
            <w:tcW w:w="1492" w:type="dxa"/>
            <w:shd w:val="clear" w:color="auto" w:fill="auto"/>
            <w:noWrap/>
            <w:vAlign w:val="center"/>
            <w:hideMark/>
          </w:tcPr>
          <w:p w14:paraId="34B8C7B8" w14:textId="289BF757"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121.032,82</w:t>
            </w:r>
          </w:p>
        </w:tc>
        <w:tc>
          <w:tcPr>
            <w:tcW w:w="1776" w:type="dxa"/>
            <w:shd w:val="clear" w:color="auto" w:fill="auto"/>
            <w:noWrap/>
            <w:vAlign w:val="center"/>
            <w:hideMark/>
          </w:tcPr>
          <w:p w14:paraId="2FD2B61C" w14:textId="18EDF0C8"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125.461,93</w:t>
            </w:r>
          </w:p>
        </w:tc>
      </w:tr>
      <w:tr w:rsidR="00B40668" w:rsidRPr="001070C7" w14:paraId="39E308FB" w14:textId="77777777" w:rsidTr="00116AE2">
        <w:trPr>
          <w:trHeight w:val="410"/>
        </w:trPr>
        <w:tc>
          <w:tcPr>
            <w:tcW w:w="6091" w:type="dxa"/>
            <w:shd w:val="clear" w:color="auto" w:fill="auto"/>
            <w:vAlign w:val="center"/>
            <w:hideMark/>
          </w:tcPr>
          <w:p w14:paraId="5EAD4892"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1. Novčani izdaci za otplatu glavnice kredita, pozajmica i drugih</w:t>
            </w:r>
            <w:r w:rsidRPr="001070C7">
              <w:rPr>
                <w:rFonts w:eastAsia="Times New Roman" w:cstheme="minorHAnsi"/>
                <w:sz w:val="18"/>
                <w:szCs w:val="18"/>
                <w:lang w:eastAsia="hr-HR"/>
              </w:rPr>
              <w:br/>
              <w:t xml:space="preserve">         posudbi i dužničkih financijskih instrumenata</w:t>
            </w:r>
          </w:p>
        </w:tc>
        <w:tc>
          <w:tcPr>
            <w:tcW w:w="1492" w:type="dxa"/>
            <w:shd w:val="clear" w:color="auto" w:fill="auto"/>
            <w:noWrap/>
            <w:vAlign w:val="center"/>
            <w:hideMark/>
          </w:tcPr>
          <w:p w14:paraId="38C5F5C3" w14:textId="1FC502DE"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-206.529,82</w:t>
            </w:r>
          </w:p>
        </w:tc>
        <w:tc>
          <w:tcPr>
            <w:tcW w:w="1776" w:type="dxa"/>
            <w:shd w:val="clear" w:color="auto" w:fill="auto"/>
            <w:noWrap/>
            <w:vAlign w:val="center"/>
            <w:hideMark/>
          </w:tcPr>
          <w:p w14:paraId="1D7202D3" w14:textId="33F616AC"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-206.529,82</w:t>
            </w:r>
          </w:p>
        </w:tc>
      </w:tr>
      <w:tr w:rsidR="00B40668" w:rsidRPr="001070C7" w14:paraId="52CF2725" w14:textId="77777777" w:rsidTr="00116AE2">
        <w:trPr>
          <w:trHeight w:val="281"/>
        </w:trPr>
        <w:tc>
          <w:tcPr>
            <w:tcW w:w="6091" w:type="dxa"/>
            <w:shd w:val="clear" w:color="auto" w:fill="auto"/>
            <w:vAlign w:val="center"/>
            <w:hideMark/>
          </w:tcPr>
          <w:p w14:paraId="55DC6517"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2. Novčani izdaci za isplatu dividendi</w:t>
            </w:r>
          </w:p>
        </w:tc>
        <w:tc>
          <w:tcPr>
            <w:tcW w:w="1492" w:type="dxa"/>
            <w:shd w:val="clear" w:color="auto" w:fill="auto"/>
            <w:noWrap/>
            <w:vAlign w:val="center"/>
            <w:hideMark/>
          </w:tcPr>
          <w:p w14:paraId="031F1061" w14:textId="16068278"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59C417BA" w14:textId="1AF1B875"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13D677AA" w14:textId="77777777" w:rsidTr="00116AE2">
        <w:trPr>
          <w:trHeight w:val="281"/>
        </w:trPr>
        <w:tc>
          <w:tcPr>
            <w:tcW w:w="6091" w:type="dxa"/>
            <w:shd w:val="clear" w:color="auto" w:fill="auto"/>
            <w:vAlign w:val="center"/>
            <w:hideMark/>
          </w:tcPr>
          <w:p w14:paraId="701D887C"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3. Novčani izdaci za financijski najam </w:t>
            </w:r>
          </w:p>
        </w:tc>
        <w:tc>
          <w:tcPr>
            <w:tcW w:w="1492" w:type="dxa"/>
            <w:shd w:val="clear" w:color="auto" w:fill="auto"/>
            <w:noWrap/>
            <w:vAlign w:val="center"/>
            <w:hideMark/>
          </w:tcPr>
          <w:p w14:paraId="3809F947" w14:textId="5854A18D"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-24.612,90</w:t>
            </w:r>
          </w:p>
        </w:tc>
        <w:tc>
          <w:tcPr>
            <w:tcW w:w="1776" w:type="dxa"/>
            <w:shd w:val="clear" w:color="auto" w:fill="auto"/>
            <w:noWrap/>
            <w:vAlign w:val="center"/>
            <w:hideMark/>
          </w:tcPr>
          <w:p w14:paraId="71ACF8EC" w14:textId="76ADE755"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-151.613,67</w:t>
            </w:r>
          </w:p>
        </w:tc>
      </w:tr>
      <w:tr w:rsidR="00B40668" w:rsidRPr="001070C7" w14:paraId="70EA2186" w14:textId="77777777" w:rsidTr="00116AE2">
        <w:trPr>
          <w:trHeight w:val="281"/>
        </w:trPr>
        <w:tc>
          <w:tcPr>
            <w:tcW w:w="6091" w:type="dxa"/>
            <w:shd w:val="clear" w:color="auto" w:fill="auto"/>
            <w:hideMark/>
          </w:tcPr>
          <w:p w14:paraId="25B96709" w14:textId="553563A4"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4. Novčani izdaci za otkup vlastitih dionica i smanjenje temeljnog kapitala</w:t>
            </w:r>
          </w:p>
        </w:tc>
        <w:tc>
          <w:tcPr>
            <w:tcW w:w="1492" w:type="dxa"/>
            <w:shd w:val="clear" w:color="auto" w:fill="auto"/>
            <w:noWrap/>
            <w:vAlign w:val="center"/>
            <w:hideMark/>
          </w:tcPr>
          <w:p w14:paraId="54B29989" w14:textId="31D1D0B0"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62B911BB" w14:textId="7E4F52EB"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209BD974" w14:textId="77777777" w:rsidTr="00116AE2">
        <w:trPr>
          <w:trHeight w:val="281"/>
        </w:trPr>
        <w:tc>
          <w:tcPr>
            <w:tcW w:w="6091" w:type="dxa"/>
            <w:shd w:val="clear" w:color="auto" w:fill="auto"/>
            <w:vAlign w:val="center"/>
            <w:hideMark/>
          </w:tcPr>
          <w:p w14:paraId="611515C7" w14:textId="77777777" w:rsidR="00B40668" w:rsidRPr="001070C7" w:rsidRDefault="00B40668" w:rsidP="00B40668">
            <w:pPr>
              <w:spacing w:after="0" w:line="240" w:lineRule="auto"/>
              <w:rPr>
                <w:rFonts w:eastAsia="Times New Roman" w:cstheme="minorHAnsi"/>
                <w:sz w:val="18"/>
                <w:szCs w:val="18"/>
                <w:lang w:eastAsia="hr-HR"/>
              </w:rPr>
            </w:pPr>
            <w:r w:rsidRPr="001070C7">
              <w:rPr>
                <w:rFonts w:eastAsia="Times New Roman" w:cstheme="minorHAnsi"/>
                <w:sz w:val="18"/>
                <w:szCs w:val="18"/>
                <w:lang w:eastAsia="hr-HR"/>
              </w:rPr>
              <w:t xml:space="preserve">     5. Ostali novčani izdaci od financijskih aktivnosti</w:t>
            </w:r>
          </w:p>
        </w:tc>
        <w:tc>
          <w:tcPr>
            <w:tcW w:w="1492" w:type="dxa"/>
            <w:shd w:val="clear" w:color="auto" w:fill="auto"/>
            <w:noWrap/>
            <w:vAlign w:val="center"/>
            <w:hideMark/>
          </w:tcPr>
          <w:p w14:paraId="00F15621" w14:textId="0F2084E1"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4581D381" w14:textId="3B17C671"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270F3233" w14:textId="77777777" w:rsidTr="00116AE2">
        <w:trPr>
          <w:trHeight w:val="281"/>
        </w:trPr>
        <w:tc>
          <w:tcPr>
            <w:tcW w:w="6091" w:type="dxa"/>
            <w:shd w:val="clear" w:color="auto" w:fill="auto"/>
            <w:vAlign w:val="center"/>
            <w:hideMark/>
          </w:tcPr>
          <w:p w14:paraId="15F1F110"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V. Ukupno novčani izdaci od financijskih aktivnosti </w:t>
            </w:r>
          </w:p>
        </w:tc>
        <w:tc>
          <w:tcPr>
            <w:tcW w:w="1492" w:type="dxa"/>
            <w:shd w:val="clear" w:color="auto" w:fill="auto"/>
            <w:noWrap/>
            <w:vAlign w:val="center"/>
            <w:hideMark/>
          </w:tcPr>
          <w:p w14:paraId="7DB9B5F2" w14:textId="0A3C0086"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-231.142,72</w:t>
            </w:r>
          </w:p>
        </w:tc>
        <w:tc>
          <w:tcPr>
            <w:tcW w:w="1776" w:type="dxa"/>
            <w:shd w:val="clear" w:color="auto" w:fill="auto"/>
            <w:noWrap/>
            <w:vAlign w:val="center"/>
            <w:hideMark/>
          </w:tcPr>
          <w:p w14:paraId="5885FB86" w14:textId="2C0ED271"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-358.143,49</w:t>
            </w:r>
          </w:p>
        </w:tc>
      </w:tr>
      <w:tr w:rsidR="00B40668" w:rsidRPr="001070C7" w14:paraId="29141D20" w14:textId="77777777" w:rsidTr="00116AE2">
        <w:trPr>
          <w:trHeight w:val="281"/>
        </w:trPr>
        <w:tc>
          <w:tcPr>
            <w:tcW w:w="6091" w:type="dxa"/>
            <w:shd w:val="clear" w:color="auto" w:fill="auto"/>
            <w:vAlign w:val="center"/>
            <w:hideMark/>
          </w:tcPr>
          <w:p w14:paraId="0D05A54C"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C) NETO NOVČANI TOKOVI OD FINANCIJSKIH AKTIVNOSTI </w:t>
            </w:r>
          </w:p>
        </w:tc>
        <w:tc>
          <w:tcPr>
            <w:tcW w:w="1492" w:type="dxa"/>
            <w:shd w:val="clear" w:color="auto" w:fill="auto"/>
            <w:noWrap/>
            <w:vAlign w:val="center"/>
            <w:hideMark/>
          </w:tcPr>
          <w:p w14:paraId="2CA31520" w14:textId="152FDF98"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-110.109,90</w:t>
            </w:r>
          </w:p>
        </w:tc>
        <w:tc>
          <w:tcPr>
            <w:tcW w:w="1776" w:type="dxa"/>
            <w:shd w:val="clear" w:color="auto" w:fill="auto"/>
            <w:noWrap/>
            <w:vAlign w:val="center"/>
            <w:hideMark/>
          </w:tcPr>
          <w:p w14:paraId="076E2F2A" w14:textId="1562F2B8"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-232.681,56</w:t>
            </w:r>
          </w:p>
        </w:tc>
      </w:tr>
      <w:tr w:rsidR="00B40668" w:rsidRPr="001070C7" w14:paraId="61D94D45" w14:textId="77777777" w:rsidTr="00116AE2">
        <w:trPr>
          <w:trHeight w:val="281"/>
        </w:trPr>
        <w:tc>
          <w:tcPr>
            <w:tcW w:w="6091" w:type="dxa"/>
            <w:shd w:val="clear" w:color="auto" w:fill="auto"/>
            <w:vAlign w:val="center"/>
            <w:hideMark/>
          </w:tcPr>
          <w:p w14:paraId="03AE1751" w14:textId="77777777" w:rsidR="00B40668" w:rsidRPr="001070C7" w:rsidRDefault="00B40668" w:rsidP="00B40668">
            <w:pPr>
              <w:spacing w:after="0" w:line="240" w:lineRule="auto"/>
              <w:ind w:firstLineChars="100" w:firstLine="180"/>
              <w:rPr>
                <w:rFonts w:eastAsia="Times New Roman" w:cstheme="minorHAnsi"/>
                <w:sz w:val="18"/>
                <w:szCs w:val="18"/>
                <w:lang w:eastAsia="hr-HR"/>
              </w:rPr>
            </w:pPr>
            <w:r w:rsidRPr="001070C7">
              <w:rPr>
                <w:rFonts w:eastAsia="Times New Roman" w:cstheme="minorHAnsi"/>
                <w:sz w:val="18"/>
                <w:szCs w:val="18"/>
                <w:lang w:eastAsia="hr-HR"/>
              </w:rPr>
              <w:lastRenderedPageBreak/>
              <w:t xml:space="preserve">  1. Nerealizirane tečajne razlike po novcu i novčanim ekvivalentima</w:t>
            </w:r>
          </w:p>
        </w:tc>
        <w:tc>
          <w:tcPr>
            <w:tcW w:w="1492" w:type="dxa"/>
            <w:shd w:val="clear" w:color="auto" w:fill="auto"/>
            <w:noWrap/>
            <w:vAlign w:val="center"/>
            <w:hideMark/>
          </w:tcPr>
          <w:p w14:paraId="48C124DD" w14:textId="5B022E3B"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c>
          <w:tcPr>
            <w:tcW w:w="1776" w:type="dxa"/>
            <w:shd w:val="clear" w:color="auto" w:fill="auto"/>
            <w:noWrap/>
            <w:vAlign w:val="center"/>
            <w:hideMark/>
          </w:tcPr>
          <w:p w14:paraId="34B01318" w14:textId="11010B08"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 </w:t>
            </w:r>
          </w:p>
        </w:tc>
      </w:tr>
      <w:tr w:rsidR="00B40668" w:rsidRPr="001070C7" w14:paraId="1824FCEE" w14:textId="77777777" w:rsidTr="00116AE2">
        <w:trPr>
          <w:trHeight w:val="281"/>
        </w:trPr>
        <w:tc>
          <w:tcPr>
            <w:tcW w:w="6091" w:type="dxa"/>
            <w:shd w:val="clear" w:color="auto" w:fill="auto"/>
            <w:hideMark/>
          </w:tcPr>
          <w:p w14:paraId="687629D4"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D) NETO POVEĆANJE ILI SMANJENJE NOVČANIH TOKOVA</w:t>
            </w:r>
          </w:p>
        </w:tc>
        <w:tc>
          <w:tcPr>
            <w:tcW w:w="1492" w:type="dxa"/>
            <w:shd w:val="clear" w:color="auto" w:fill="auto"/>
            <w:noWrap/>
            <w:vAlign w:val="center"/>
            <w:hideMark/>
          </w:tcPr>
          <w:p w14:paraId="182F9B16" w14:textId="529BB984"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-9,94</w:t>
            </w:r>
          </w:p>
        </w:tc>
        <w:tc>
          <w:tcPr>
            <w:tcW w:w="1776" w:type="dxa"/>
            <w:shd w:val="clear" w:color="auto" w:fill="auto"/>
            <w:noWrap/>
            <w:vAlign w:val="center"/>
            <w:hideMark/>
          </w:tcPr>
          <w:p w14:paraId="755D5223" w14:textId="28D07AE7"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0,00</w:t>
            </w:r>
          </w:p>
        </w:tc>
      </w:tr>
      <w:tr w:rsidR="00B40668" w:rsidRPr="001070C7" w14:paraId="36CCD8CB" w14:textId="77777777" w:rsidTr="00116AE2">
        <w:trPr>
          <w:trHeight w:val="281"/>
        </w:trPr>
        <w:tc>
          <w:tcPr>
            <w:tcW w:w="6091" w:type="dxa"/>
            <w:shd w:val="clear" w:color="auto" w:fill="auto"/>
            <w:vAlign w:val="center"/>
            <w:hideMark/>
          </w:tcPr>
          <w:p w14:paraId="5E0805CF"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E) NOVAC I NOVČANI EKVIVALENTI NA POČETKU RAZDOBLJA</w:t>
            </w:r>
          </w:p>
        </w:tc>
        <w:tc>
          <w:tcPr>
            <w:tcW w:w="1492" w:type="dxa"/>
            <w:shd w:val="clear" w:color="auto" w:fill="auto"/>
            <w:noWrap/>
            <w:vAlign w:val="center"/>
            <w:hideMark/>
          </w:tcPr>
          <w:p w14:paraId="74D3BDBF" w14:textId="004A4661"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9,94</w:t>
            </w:r>
          </w:p>
        </w:tc>
        <w:tc>
          <w:tcPr>
            <w:tcW w:w="1776" w:type="dxa"/>
            <w:shd w:val="clear" w:color="auto" w:fill="auto"/>
            <w:noWrap/>
            <w:vAlign w:val="center"/>
            <w:hideMark/>
          </w:tcPr>
          <w:p w14:paraId="7A2349A3" w14:textId="4A7AEE91" w:rsidR="00B40668" w:rsidRPr="00B40668" w:rsidRDefault="00B40668" w:rsidP="00B40668">
            <w:pPr>
              <w:spacing w:after="0" w:line="240" w:lineRule="auto"/>
              <w:jc w:val="right"/>
              <w:rPr>
                <w:rFonts w:eastAsia="Times New Roman" w:cstheme="minorHAnsi"/>
                <w:sz w:val="18"/>
                <w:szCs w:val="18"/>
                <w:lang w:eastAsia="hr-HR"/>
              </w:rPr>
            </w:pPr>
            <w:r w:rsidRPr="00B40668">
              <w:rPr>
                <w:rFonts w:cstheme="minorHAnsi"/>
                <w:sz w:val="18"/>
                <w:szCs w:val="18"/>
              </w:rPr>
              <w:t>0,00</w:t>
            </w:r>
          </w:p>
        </w:tc>
      </w:tr>
      <w:tr w:rsidR="00B40668" w:rsidRPr="00B40668" w14:paraId="067BDD10" w14:textId="77777777" w:rsidTr="00116AE2">
        <w:trPr>
          <w:trHeight w:val="281"/>
        </w:trPr>
        <w:tc>
          <w:tcPr>
            <w:tcW w:w="6091" w:type="dxa"/>
            <w:shd w:val="clear" w:color="auto" w:fill="auto"/>
            <w:vAlign w:val="center"/>
            <w:hideMark/>
          </w:tcPr>
          <w:p w14:paraId="6BA5B0D8" w14:textId="77777777" w:rsidR="00B40668" w:rsidRPr="001070C7" w:rsidRDefault="00B40668" w:rsidP="00B40668">
            <w:pPr>
              <w:spacing w:after="0" w:line="240" w:lineRule="auto"/>
              <w:rPr>
                <w:rFonts w:eastAsia="Times New Roman" w:cstheme="minorHAnsi"/>
                <w:b/>
                <w:bCs/>
                <w:sz w:val="18"/>
                <w:szCs w:val="18"/>
                <w:lang w:eastAsia="hr-HR"/>
              </w:rPr>
            </w:pPr>
            <w:r w:rsidRPr="001070C7">
              <w:rPr>
                <w:rFonts w:eastAsia="Times New Roman" w:cstheme="minorHAnsi"/>
                <w:b/>
                <w:bCs/>
                <w:sz w:val="18"/>
                <w:szCs w:val="18"/>
                <w:lang w:eastAsia="hr-HR"/>
              </w:rPr>
              <w:t xml:space="preserve">F) NOVAC I NOVČANI EKVIVALENTI NA KRAJU RAZDOBLJA </w:t>
            </w:r>
          </w:p>
        </w:tc>
        <w:tc>
          <w:tcPr>
            <w:tcW w:w="1492" w:type="dxa"/>
            <w:shd w:val="clear" w:color="auto" w:fill="auto"/>
            <w:noWrap/>
            <w:vAlign w:val="center"/>
            <w:hideMark/>
          </w:tcPr>
          <w:p w14:paraId="4E7E4B26" w14:textId="65790BEB"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0,00</w:t>
            </w:r>
          </w:p>
        </w:tc>
        <w:tc>
          <w:tcPr>
            <w:tcW w:w="1776" w:type="dxa"/>
            <w:shd w:val="clear" w:color="auto" w:fill="auto"/>
            <w:noWrap/>
            <w:vAlign w:val="center"/>
            <w:hideMark/>
          </w:tcPr>
          <w:p w14:paraId="5E15D43C" w14:textId="5F3C16A1" w:rsidR="00B40668" w:rsidRPr="00B40668" w:rsidRDefault="00B40668" w:rsidP="00B40668">
            <w:pPr>
              <w:spacing w:after="0" w:line="240" w:lineRule="auto"/>
              <w:jc w:val="right"/>
              <w:rPr>
                <w:rFonts w:eastAsia="Times New Roman" w:cstheme="minorHAnsi"/>
                <w:b/>
                <w:bCs/>
                <w:sz w:val="18"/>
                <w:szCs w:val="18"/>
                <w:lang w:eastAsia="hr-HR"/>
              </w:rPr>
            </w:pPr>
            <w:r w:rsidRPr="00B40668">
              <w:rPr>
                <w:rFonts w:cstheme="minorHAnsi"/>
                <w:b/>
                <w:bCs/>
                <w:sz w:val="18"/>
                <w:szCs w:val="18"/>
              </w:rPr>
              <w:t>0,00</w:t>
            </w:r>
          </w:p>
        </w:tc>
      </w:tr>
    </w:tbl>
    <w:p w14:paraId="7C9355CA" w14:textId="77777777" w:rsidR="004C7A46" w:rsidRDefault="004C7A46" w:rsidP="00194C13">
      <w:pPr>
        <w:pStyle w:val="NoSpacing"/>
        <w:spacing w:line="360" w:lineRule="auto"/>
        <w:jc w:val="both"/>
        <w:rPr>
          <w:rFonts w:cstheme="minorHAnsi"/>
        </w:rPr>
      </w:pPr>
    </w:p>
    <w:p w14:paraId="7DEC8683" w14:textId="4289B3F7" w:rsidR="004C7A46" w:rsidRPr="006124CB" w:rsidRDefault="005B35D7" w:rsidP="00C233DC">
      <w:pPr>
        <w:pStyle w:val="NoSpacing"/>
        <w:spacing w:before="240" w:after="240" w:line="360" w:lineRule="auto"/>
        <w:jc w:val="both"/>
        <w:rPr>
          <w:rFonts w:cstheme="minorHAnsi"/>
        </w:rPr>
      </w:pPr>
      <w:r>
        <w:rPr>
          <w:rFonts w:cstheme="minorHAnsi"/>
        </w:rPr>
        <w:t>Ostvaren je p</w:t>
      </w:r>
      <w:r w:rsidR="004C7A46" w:rsidRPr="006124CB">
        <w:rPr>
          <w:rFonts w:cstheme="minorHAnsi"/>
        </w:rPr>
        <w:t>ozitivan novčani tok</w:t>
      </w:r>
      <w:r>
        <w:rPr>
          <w:rFonts w:cstheme="minorHAnsi"/>
        </w:rPr>
        <w:t xml:space="preserve"> </w:t>
      </w:r>
      <w:r w:rsidR="004C7A46" w:rsidRPr="006124CB">
        <w:rPr>
          <w:rFonts w:cstheme="minorHAnsi"/>
        </w:rPr>
        <w:t xml:space="preserve">iz poslovnih aktivnosti u iznosu od </w:t>
      </w:r>
      <w:r w:rsidR="00FC6C3A">
        <w:rPr>
          <w:rFonts w:cstheme="minorHAnsi"/>
        </w:rPr>
        <w:t>904.601</w:t>
      </w:r>
      <w:r w:rsidR="00584974">
        <w:rPr>
          <w:rFonts w:cstheme="minorHAnsi"/>
        </w:rPr>
        <w:t xml:space="preserve"> eura</w:t>
      </w:r>
      <w:r w:rsidR="004C7A46" w:rsidRPr="006124CB">
        <w:rPr>
          <w:rFonts w:cstheme="minorHAnsi"/>
        </w:rPr>
        <w:t xml:space="preserve"> te </w:t>
      </w:r>
      <w:r w:rsidR="00112B1B">
        <w:rPr>
          <w:rFonts w:cstheme="minorHAnsi"/>
        </w:rPr>
        <w:t>je u odnosu na 202</w:t>
      </w:r>
      <w:r w:rsidR="005D54B1">
        <w:rPr>
          <w:rFonts w:cstheme="minorHAnsi"/>
        </w:rPr>
        <w:t>3</w:t>
      </w:r>
      <w:r w:rsidR="00112B1B">
        <w:rPr>
          <w:rFonts w:cstheme="minorHAnsi"/>
        </w:rPr>
        <w:t>. god</w:t>
      </w:r>
      <w:r w:rsidR="0026517D">
        <w:rPr>
          <w:rFonts w:cstheme="minorHAnsi"/>
        </w:rPr>
        <w:t>in</w:t>
      </w:r>
      <w:r w:rsidR="00112B1B">
        <w:rPr>
          <w:rFonts w:cstheme="minorHAnsi"/>
        </w:rPr>
        <w:t xml:space="preserve">u </w:t>
      </w:r>
      <w:r>
        <w:rPr>
          <w:rFonts w:cstheme="minorHAnsi"/>
        </w:rPr>
        <w:t>povećan</w:t>
      </w:r>
      <w:r w:rsidR="00112B1B">
        <w:rPr>
          <w:rFonts w:cstheme="minorHAnsi"/>
        </w:rPr>
        <w:t xml:space="preserve"> </w:t>
      </w:r>
      <w:r>
        <w:rPr>
          <w:rFonts w:cstheme="minorHAnsi"/>
        </w:rPr>
        <w:t>po</w:t>
      </w:r>
      <w:r w:rsidR="00112B1B">
        <w:rPr>
          <w:rFonts w:cstheme="minorHAnsi"/>
        </w:rPr>
        <w:t xml:space="preserve">najviše zbog povećanja </w:t>
      </w:r>
      <w:r>
        <w:rPr>
          <w:rFonts w:cstheme="minorHAnsi"/>
        </w:rPr>
        <w:t>novčanih primitka od kupaca</w:t>
      </w:r>
      <w:r w:rsidR="00112B1B">
        <w:rPr>
          <w:rFonts w:cstheme="minorHAnsi"/>
        </w:rPr>
        <w:t xml:space="preserve">. </w:t>
      </w:r>
      <w:r w:rsidR="004C7A46" w:rsidRPr="006124CB">
        <w:rPr>
          <w:rFonts w:cstheme="minorHAnsi"/>
        </w:rPr>
        <w:t xml:space="preserve">Novčani tok od poslovnih aktivnosti u dijelu primitaka od kupaca i novčani izdaci dobavljačima </w:t>
      </w:r>
      <w:r w:rsidR="00057387">
        <w:rPr>
          <w:rFonts w:cstheme="minorHAnsi"/>
        </w:rPr>
        <w:t>v</w:t>
      </w:r>
      <w:r w:rsidR="004C7A46" w:rsidRPr="006124CB">
        <w:rPr>
          <w:rFonts w:cstheme="minorHAnsi"/>
        </w:rPr>
        <w:t xml:space="preserve">eći </w:t>
      </w:r>
      <w:r w:rsidR="00057387">
        <w:rPr>
          <w:rFonts w:cstheme="minorHAnsi"/>
        </w:rPr>
        <w:t xml:space="preserve">su </w:t>
      </w:r>
      <w:r w:rsidR="004C7A46" w:rsidRPr="006124CB">
        <w:rPr>
          <w:rFonts w:cstheme="minorHAnsi"/>
        </w:rPr>
        <w:t>u odnosu na isto razdoblje 202</w:t>
      </w:r>
      <w:r>
        <w:rPr>
          <w:rFonts w:cstheme="minorHAnsi"/>
        </w:rPr>
        <w:t>3</w:t>
      </w:r>
      <w:r w:rsidR="004C7A46" w:rsidRPr="006124CB">
        <w:rPr>
          <w:rFonts w:cstheme="minorHAnsi"/>
        </w:rPr>
        <w:t xml:space="preserve">. godine. </w:t>
      </w:r>
    </w:p>
    <w:p w14:paraId="0CBB4F09" w14:textId="6F302207" w:rsidR="00B04E96" w:rsidRPr="00F92A0B" w:rsidRDefault="00B04E96" w:rsidP="00840E6B">
      <w:pPr>
        <w:pStyle w:val="NoSpacing"/>
        <w:spacing w:before="240" w:after="240" w:line="360" w:lineRule="auto"/>
        <w:jc w:val="both"/>
        <w:rPr>
          <w:rFonts w:cstheme="minorHAnsi"/>
        </w:rPr>
      </w:pPr>
      <w:r w:rsidRPr="00F92A0B">
        <w:rPr>
          <w:rFonts w:cstheme="minorHAnsi"/>
        </w:rPr>
        <w:t xml:space="preserve">Neto novčani tok od investicijskih </w:t>
      </w:r>
      <w:r w:rsidRPr="00224E04">
        <w:rPr>
          <w:rFonts w:cstheme="minorHAnsi"/>
        </w:rPr>
        <w:t>aktivnosti je</w:t>
      </w:r>
      <w:r w:rsidR="007F2E67" w:rsidRPr="00224E04">
        <w:rPr>
          <w:rFonts w:cstheme="minorHAnsi"/>
        </w:rPr>
        <w:t xml:space="preserve"> negativan</w:t>
      </w:r>
      <w:r w:rsidRPr="00224E04">
        <w:rPr>
          <w:rFonts w:cstheme="minorHAnsi"/>
        </w:rPr>
        <w:t xml:space="preserve"> i iznosi </w:t>
      </w:r>
      <w:r w:rsidR="00FC6C3A">
        <w:rPr>
          <w:rFonts w:cstheme="minorHAnsi"/>
        </w:rPr>
        <w:t>671.919</w:t>
      </w:r>
      <w:r w:rsidR="00224E04" w:rsidRPr="00224E04">
        <w:rPr>
          <w:rFonts w:cstheme="minorHAnsi"/>
        </w:rPr>
        <w:t xml:space="preserve"> </w:t>
      </w:r>
      <w:r w:rsidR="005211E6" w:rsidRPr="00224E04">
        <w:rPr>
          <w:rFonts w:cstheme="minorHAnsi"/>
        </w:rPr>
        <w:t xml:space="preserve">eura </w:t>
      </w:r>
      <w:r w:rsidR="00E62239" w:rsidRPr="00224E04">
        <w:rPr>
          <w:rFonts w:cstheme="minorHAnsi"/>
        </w:rPr>
        <w:t xml:space="preserve">te je </w:t>
      </w:r>
      <w:r w:rsidR="00FC6C3A">
        <w:rPr>
          <w:rFonts w:cstheme="minorHAnsi"/>
        </w:rPr>
        <w:t>smanjen</w:t>
      </w:r>
      <w:r w:rsidR="001F612F" w:rsidRPr="00224E04">
        <w:rPr>
          <w:rFonts w:cstheme="minorHAnsi"/>
        </w:rPr>
        <w:t xml:space="preserve"> </w:t>
      </w:r>
      <w:r w:rsidR="00E62239" w:rsidRPr="00224E04">
        <w:rPr>
          <w:rFonts w:cstheme="minorHAnsi"/>
        </w:rPr>
        <w:t>u odnosu</w:t>
      </w:r>
      <w:r w:rsidR="00E62239" w:rsidRPr="00F92A0B">
        <w:rPr>
          <w:rFonts w:cstheme="minorHAnsi"/>
        </w:rPr>
        <w:t xml:space="preserve"> na 20</w:t>
      </w:r>
      <w:r w:rsidR="001F612F" w:rsidRPr="00F92A0B">
        <w:rPr>
          <w:rFonts w:cstheme="minorHAnsi"/>
        </w:rPr>
        <w:t>2</w:t>
      </w:r>
      <w:r w:rsidR="00224E04">
        <w:rPr>
          <w:rFonts w:cstheme="minorHAnsi"/>
        </w:rPr>
        <w:t>3</w:t>
      </w:r>
      <w:r w:rsidR="00E62239" w:rsidRPr="00F92A0B">
        <w:rPr>
          <w:rFonts w:cstheme="minorHAnsi"/>
        </w:rPr>
        <w:t>. godinu.</w:t>
      </w:r>
      <w:r w:rsidRPr="00F92A0B">
        <w:rPr>
          <w:rFonts w:cstheme="minorHAnsi"/>
        </w:rPr>
        <w:t xml:space="preserve"> </w:t>
      </w:r>
      <w:r w:rsidR="0032261F" w:rsidRPr="00F92A0B">
        <w:rPr>
          <w:rFonts w:cstheme="minorHAnsi"/>
        </w:rPr>
        <w:t>Novčani</w:t>
      </w:r>
      <w:r w:rsidR="00E62239" w:rsidRPr="00F92A0B">
        <w:rPr>
          <w:rFonts w:cstheme="minorHAnsi"/>
        </w:rPr>
        <w:t xml:space="preserve"> primici </w:t>
      </w:r>
      <w:r w:rsidR="00224E04">
        <w:rPr>
          <w:rFonts w:cstheme="minorHAnsi"/>
        </w:rPr>
        <w:t xml:space="preserve">u cijelosti </w:t>
      </w:r>
      <w:r w:rsidR="005915BA">
        <w:rPr>
          <w:rFonts w:cstheme="minorHAnsi"/>
        </w:rPr>
        <w:t xml:space="preserve">se </w:t>
      </w:r>
      <w:r w:rsidR="00224E04">
        <w:rPr>
          <w:rFonts w:cstheme="minorHAnsi"/>
        </w:rPr>
        <w:t>odnose na primitke od kamata</w:t>
      </w:r>
      <w:r w:rsidR="00326FB3">
        <w:rPr>
          <w:rFonts w:cstheme="minorHAnsi"/>
        </w:rPr>
        <w:t xml:space="preserve"> dok se novčani izdaci </w:t>
      </w:r>
      <w:r w:rsidR="00E62239" w:rsidRPr="00F92A0B">
        <w:rPr>
          <w:rFonts w:cstheme="minorHAnsi"/>
        </w:rPr>
        <w:t xml:space="preserve">odnose na </w:t>
      </w:r>
      <w:r w:rsidR="00326FB3" w:rsidRPr="00326FB3">
        <w:rPr>
          <w:rFonts w:cstheme="minorHAnsi"/>
        </w:rPr>
        <w:t>kupnju dugotrajne materijalne i nematerijalne imovine</w:t>
      </w:r>
      <w:r w:rsidR="00326FB3">
        <w:rPr>
          <w:rFonts w:cstheme="minorHAnsi"/>
        </w:rPr>
        <w:t xml:space="preserve">. </w:t>
      </w:r>
    </w:p>
    <w:p w14:paraId="40746F2C" w14:textId="0F78E38D" w:rsidR="00C8532E" w:rsidRPr="002E54A6" w:rsidRDefault="00B04E96" w:rsidP="00840E6B">
      <w:pPr>
        <w:pStyle w:val="NoSpacing"/>
        <w:spacing w:before="240" w:after="240" w:line="360" w:lineRule="auto"/>
        <w:jc w:val="both"/>
        <w:rPr>
          <w:rFonts w:cstheme="minorHAnsi"/>
          <w:color w:val="FF0000"/>
        </w:rPr>
      </w:pPr>
      <w:r w:rsidRPr="007210B1">
        <w:rPr>
          <w:rFonts w:cstheme="minorHAnsi"/>
        </w:rPr>
        <w:t xml:space="preserve">Neto novčani tok od financijskih aktivnosti je </w:t>
      </w:r>
      <w:r w:rsidR="005809BE" w:rsidRPr="007210B1">
        <w:rPr>
          <w:rFonts w:cstheme="minorHAnsi"/>
        </w:rPr>
        <w:t>negativan</w:t>
      </w:r>
      <w:r w:rsidRPr="007210B1">
        <w:rPr>
          <w:rFonts w:cstheme="minorHAnsi"/>
        </w:rPr>
        <w:t xml:space="preserve"> i iznosi </w:t>
      </w:r>
      <w:r w:rsidR="00D2260D">
        <w:rPr>
          <w:rFonts w:cstheme="minorHAnsi"/>
        </w:rPr>
        <w:t>232.682</w:t>
      </w:r>
      <w:r w:rsidR="00A030F3">
        <w:rPr>
          <w:rFonts w:cstheme="minorHAnsi"/>
        </w:rPr>
        <w:t xml:space="preserve"> eura</w:t>
      </w:r>
      <w:r w:rsidRPr="007210B1">
        <w:rPr>
          <w:rFonts w:cstheme="minorHAnsi"/>
        </w:rPr>
        <w:t>.</w:t>
      </w:r>
      <w:r w:rsidR="009177AF" w:rsidRPr="007210B1">
        <w:rPr>
          <w:rFonts w:cstheme="minorHAnsi"/>
        </w:rPr>
        <w:t xml:space="preserve"> </w:t>
      </w:r>
      <w:r w:rsidR="0032261F" w:rsidRPr="007210B1">
        <w:rPr>
          <w:rFonts w:cstheme="minorHAnsi"/>
        </w:rPr>
        <w:t xml:space="preserve">Novčani </w:t>
      </w:r>
      <w:r w:rsidR="001F584E" w:rsidRPr="007210B1">
        <w:rPr>
          <w:rFonts w:cstheme="minorHAnsi"/>
        </w:rPr>
        <w:t xml:space="preserve">tok </w:t>
      </w:r>
      <w:r w:rsidR="0032261F" w:rsidRPr="007210B1">
        <w:rPr>
          <w:rFonts w:cstheme="minorHAnsi"/>
        </w:rPr>
        <w:t xml:space="preserve">od financijskih aktivnosti odnosi se na primljene kredite </w:t>
      </w:r>
      <w:r w:rsidR="007210B1">
        <w:rPr>
          <w:rFonts w:cstheme="minorHAnsi"/>
        </w:rPr>
        <w:t xml:space="preserve">i leasing </w:t>
      </w:r>
      <w:r w:rsidR="0032261F" w:rsidRPr="007210B1">
        <w:rPr>
          <w:rFonts w:cstheme="minorHAnsi"/>
        </w:rPr>
        <w:t>te povrat istih u 20</w:t>
      </w:r>
      <w:r w:rsidR="009177AF" w:rsidRPr="007210B1">
        <w:rPr>
          <w:rFonts w:cstheme="minorHAnsi"/>
        </w:rPr>
        <w:t>2</w:t>
      </w:r>
      <w:r w:rsidR="00326FB3">
        <w:rPr>
          <w:rFonts w:cstheme="minorHAnsi"/>
        </w:rPr>
        <w:t>4</w:t>
      </w:r>
      <w:r w:rsidR="0032261F" w:rsidRPr="007210B1">
        <w:rPr>
          <w:rFonts w:cstheme="minorHAnsi"/>
        </w:rPr>
        <w:t>. godini.</w:t>
      </w:r>
    </w:p>
    <w:p w14:paraId="32FB1452" w14:textId="580AAB94" w:rsidR="00C22881" w:rsidRPr="001C59D5" w:rsidRDefault="008F63B8" w:rsidP="00840E6B">
      <w:pPr>
        <w:pStyle w:val="NoSpacing"/>
        <w:spacing w:before="120" w:after="120" w:line="360" w:lineRule="auto"/>
        <w:jc w:val="both"/>
        <w:rPr>
          <w:rFonts w:cstheme="minorHAnsi"/>
        </w:rPr>
      </w:pPr>
      <w:r w:rsidRPr="008F63B8">
        <w:rPr>
          <w:rFonts w:cstheme="minorHAnsi"/>
        </w:rPr>
        <w:t>U razdoblju od 01.01.20</w:t>
      </w:r>
      <w:r w:rsidR="00192674">
        <w:rPr>
          <w:rFonts w:cstheme="minorHAnsi"/>
        </w:rPr>
        <w:t>2</w:t>
      </w:r>
      <w:r w:rsidR="0098077B">
        <w:rPr>
          <w:rFonts w:cstheme="minorHAnsi"/>
        </w:rPr>
        <w:t>4</w:t>
      </w:r>
      <w:r w:rsidRPr="008F63B8">
        <w:rPr>
          <w:rFonts w:cstheme="minorHAnsi"/>
        </w:rPr>
        <w:t>.</w:t>
      </w:r>
      <w:r w:rsidR="0098077B">
        <w:rPr>
          <w:rFonts w:cstheme="minorHAnsi"/>
        </w:rPr>
        <w:t xml:space="preserve"> godine</w:t>
      </w:r>
      <w:r w:rsidRPr="008F63B8">
        <w:rPr>
          <w:rFonts w:cstheme="minorHAnsi"/>
        </w:rPr>
        <w:t xml:space="preserve"> do 31.12.202</w:t>
      </w:r>
      <w:r w:rsidR="0098077B">
        <w:rPr>
          <w:rFonts w:cstheme="minorHAnsi"/>
        </w:rPr>
        <w:t>4. godine,</w:t>
      </w:r>
      <w:r w:rsidRPr="008F63B8">
        <w:rPr>
          <w:rFonts w:cstheme="minorHAnsi"/>
        </w:rPr>
        <w:t xml:space="preserve"> </w:t>
      </w:r>
      <w:r w:rsidR="0098077B">
        <w:rPr>
          <w:rFonts w:cstheme="minorHAnsi"/>
        </w:rPr>
        <w:t>novčani tok Društva jednak je nuli, dok je u istom razdoblju</w:t>
      </w:r>
      <w:r w:rsidR="001A5456">
        <w:rPr>
          <w:rFonts w:cstheme="minorHAnsi"/>
        </w:rPr>
        <w:t xml:space="preserve"> 2023. godine </w:t>
      </w:r>
      <w:r w:rsidRPr="008F63B8">
        <w:rPr>
          <w:rFonts w:cstheme="minorHAnsi"/>
        </w:rPr>
        <w:t xml:space="preserve">Društvo  ostvarilo negativan novčani tok u  iznosu od </w:t>
      </w:r>
      <w:r w:rsidR="00965C8F">
        <w:rPr>
          <w:rFonts w:cstheme="minorHAnsi"/>
        </w:rPr>
        <w:t>10 eura</w:t>
      </w:r>
      <w:r w:rsidR="001A5456">
        <w:rPr>
          <w:rFonts w:cstheme="minorHAnsi"/>
        </w:rPr>
        <w:t xml:space="preserve">. </w:t>
      </w:r>
    </w:p>
    <w:p w14:paraId="5696F8FA" w14:textId="33C00296" w:rsidR="00772B43" w:rsidRPr="001C59D5" w:rsidRDefault="00772B43" w:rsidP="00C8532E">
      <w:pPr>
        <w:spacing w:line="276" w:lineRule="auto"/>
        <w:jc w:val="both"/>
        <w:rPr>
          <w:rFonts w:cstheme="minorHAnsi"/>
        </w:rPr>
      </w:pPr>
      <w:r w:rsidRPr="001C59D5">
        <w:rPr>
          <w:rFonts w:cstheme="minorHAnsi"/>
        </w:rPr>
        <w:br w:type="page"/>
      </w:r>
    </w:p>
    <w:p w14:paraId="734B14C5" w14:textId="2B8CE356" w:rsidR="004C7CF5" w:rsidRPr="00961375" w:rsidRDefault="00D515BD" w:rsidP="00961375">
      <w:pPr>
        <w:pStyle w:val="Heading2"/>
        <w:spacing w:before="240" w:after="240"/>
        <w:rPr>
          <w:rFonts w:asciiTheme="minorHAnsi" w:hAnsiTheme="minorHAnsi" w:cstheme="minorHAnsi"/>
          <w:szCs w:val="24"/>
        </w:rPr>
      </w:pPr>
      <w:bookmarkStart w:id="27" w:name="_Toc200094272"/>
      <w:r>
        <w:rPr>
          <w:rFonts w:asciiTheme="minorHAnsi" w:hAnsiTheme="minorHAnsi" w:cstheme="minorHAnsi"/>
          <w:szCs w:val="24"/>
        </w:rPr>
        <w:lastRenderedPageBreak/>
        <w:t>4</w:t>
      </w:r>
      <w:r w:rsidR="004C038D" w:rsidRPr="00D73AB7">
        <w:rPr>
          <w:rFonts w:asciiTheme="minorHAnsi" w:hAnsiTheme="minorHAnsi" w:cstheme="minorHAnsi"/>
          <w:szCs w:val="24"/>
        </w:rPr>
        <w:t>. IZVJEŠĆE O PROM</w:t>
      </w:r>
      <w:r w:rsidR="0041221B" w:rsidRPr="00D73AB7">
        <w:rPr>
          <w:rFonts w:asciiTheme="minorHAnsi" w:hAnsiTheme="minorHAnsi" w:cstheme="minorHAnsi"/>
          <w:szCs w:val="24"/>
        </w:rPr>
        <w:t>JENAMA KAPITALA</w:t>
      </w:r>
      <w:bookmarkEnd w:id="27"/>
    </w:p>
    <w:p w14:paraId="6DEAD03A" w14:textId="6E16FFF0" w:rsidR="00411A4D" w:rsidRPr="008E604D" w:rsidRDefault="00FD756E" w:rsidP="00961375">
      <w:pPr>
        <w:spacing w:before="240" w:after="240" w:line="360" w:lineRule="auto"/>
        <w:jc w:val="both"/>
      </w:pPr>
      <w:r w:rsidRPr="008E604D">
        <w:t xml:space="preserve">Izvještaj o svim promjenama glavnice obavezno </w:t>
      </w:r>
      <w:r w:rsidR="002F69D6">
        <w:t xml:space="preserve">je </w:t>
      </w:r>
      <w:r w:rsidRPr="008E604D">
        <w:t>izvješće koje ima za cilj pokazati promjene u kapitalu Društva koje su nastale između dva datuma bilance.</w:t>
      </w:r>
    </w:p>
    <w:p w14:paraId="78EAB178" w14:textId="5FE9F9F0" w:rsidR="005746BD" w:rsidRPr="00840E6B" w:rsidRDefault="005746BD" w:rsidP="00840E6B">
      <w:pPr>
        <w:pStyle w:val="Caption"/>
        <w:keepNext/>
        <w:spacing w:after="240"/>
        <w:rPr>
          <w:rFonts w:asciiTheme="minorHAnsi" w:hAnsiTheme="minorHAnsi" w:cstheme="minorHAnsi"/>
          <w:sz w:val="22"/>
          <w:szCs w:val="22"/>
        </w:rPr>
      </w:pPr>
      <w:bookmarkStart w:id="28" w:name="_Toc200366444"/>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6</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Promjena kapitala</w:t>
      </w:r>
      <w:bookmarkEnd w:id="28"/>
    </w:p>
    <w:tbl>
      <w:tblPr>
        <w:tblW w:w="99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354"/>
        <w:gridCol w:w="1108"/>
        <w:gridCol w:w="951"/>
        <w:gridCol w:w="1172"/>
        <w:gridCol w:w="1079"/>
        <w:gridCol w:w="1184"/>
        <w:gridCol w:w="1079"/>
      </w:tblGrid>
      <w:tr w:rsidR="00C62A1A" w:rsidRPr="00FB561C" w14:paraId="19F64D4A" w14:textId="77777777" w:rsidTr="00116AE2">
        <w:trPr>
          <w:trHeight w:val="1245"/>
        </w:trPr>
        <w:tc>
          <w:tcPr>
            <w:tcW w:w="3354" w:type="dxa"/>
            <w:tcBorders>
              <w:top w:val="single" w:sz="4" w:space="0" w:color="auto"/>
              <w:bottom w:val="single" w:sz="4" w:space="0" w:color="auto"/>
            </w:tcBorders>
            <w:shd w:val="clear" w:color="auto" w:fill="auto"/>
            <w:vAlign w:val="center"/>
            <w:hideMark/>
          </w:tcPr>
          <w:p w14:paraId="2EB5FD52" w14:textId="77777777" w:rsidR="00FB561C" w:rsidRPr="00FB561C" w:rsidRDefault="00FB561C" w:rsidP="00E05ECA">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Opis pozicije</w:t>
            </w:r>
          </w:p>
        </w:tc>
        <w:tc>
          <w:tcPr>
            <w:tcW w:w="1108" w:type="dxa"/>
            <w:tcBorders>
              <w:top w:val="single" w:sz="4" w:space="0" w:color="auto"/>
              <w:bottom w:val="single" w:sz="4" w:space="0" w:color="auto"/>
            </w:tcBorders>
            <w:shd w:val="clear" w:color="auto" w:fill="auto"/>
            <w:vAlign w:val="center"/>
            <w:hideMark/>
          </w:tcPr>
          <w:p w14:paraId="16C40C2E" w14:textId="77777777" w:rsidR="00FB561C" w:rsidRPr="00FB561C" w:rsidRDefault="00FB561C" w:rsidP="00FB561C">
            <w:pPr>
              <w:spacing w:after="0" w:line="240" w:lineRule="auto"/>
              <w:jc w:val="center"/>
              <w:rPr>
                <w:rFonts w:eastAsia="Times New Roman" w:cstheme="minorHAnsi"/>
                <w:b/>
                <w:bCs/>
                <w:sz w:val="18"/>
                <w:szCs w:val="18"/>
                <w:lang w:eastAsia="hr-HR"/>
              </w:rPr>
            </w:pPr>
            <w:r w:rsidRPr="00FB561C">
              <w:rPr>
                <w:rFonts w:eastAsia="Times New Roman" w:cstheme="minorHAnsi"/>
                <w:b/>
                <w:bCs/>
                <w:sz w:val="18"/>
                <w:szCs w:val="18"/>
                <w:lang w:eastAsia="hr-HR"/>
              </w:rPr>
              <w:t>Temeljni (upisani) kapital</w:t>
            </w:r>
          </w:p>
        </w:tc>
        <w:tc>
          <w:tcPr>
            <w:tcW w:w="951" w:type="dxa"/>
            <w:tcBorders>
              <w:top w:val="single" w:sz="4" w:space="0" w:color="auto"/>
              <w:bottom w:val="single" w:sz="4" w:space="0" w:color="auto"/>
            </w:tcBorders>
            <w:shd w:val="clear" w:color="auto" w:fill="auto"/>
            <w:vAlign w:val="center"/>
            <w:hideMark/>
          </w:tcPr>
          <w:p w14:paraId="7A140EEF" w14:textId="77777777" w:rsidR="00FB561C" w:rsidRPr="00FB561C" w:rsidRDefault="00FB561C" w:rsidP="00FB561C">
            <w:pPr>
              <w:spacing w:after="0" w:line="240" w:lineRule="auto"/>
              <w:jc w:val="center"/>
              <w:rPr>
                <w:rFonts w:eastAsia="Times New Roman" w:cstheme="minorHAnsi"/>
                <w:b/>
                <w:bCs/>
                <w:sz w:val="18"/>
                <w:szCs w:val="18"/>
                <w:lang w:eastAsia="hr-HR"/>
              </w:rPr>
            </w:pPr>
            <w:r w:rsidRPr="00FB561C">
              <w:rPr>
                <w:rFonts w:eastAsia="Times New Roman" w:cstheme="minorHAnsi"/>
                <w:b/>
                <w:bCs/>
                <w:sz w:val="18"/>
                <w:szCs w:val="18"/>
                <w:lang w:eastAsia="hr-HR"/>
              </w:rPr>
              <w:t>Kapitalne rezerve</w:t>
            </w:r>
          </w:p>
        </w:tc>
        <w:tc>
          <w:tcPr>
            <w:tcW w:w="1172" w:type="dxa"/>
            <w:tcBorders>
              <w:top w:val="single" w:sz="4" w:space="0" w:color="auto"/>
              <w:bottom w:val="single" w:sz="4" w:space="0" w:color="auto"/>
            </w:tcBorders>
            <w:shd w:val="clear" w:color="auto" w:fill="auto"/>
            <w:vAlign w:val="center"/>
            <w:hideMark/>
          </w:tcPr>
          <w:p w14:paraId="6E8DD8F0" w14:textId="77777777" w:rsidR="00FB561C" w:rsidRPr="00FB561C" w:rsidRDefault="00FB561C" w:rsidP="00FB561C">
            <w:pPr>
              <w:spacing w:after="0" w:line="240" w:lineRule="auto"/>
              <w:jc w:val="center"/>
              <w:rPr>
                <w:rFonts w:eastAsia="Times New Roman" w:cstheme="minorHAnsi"/>
                <w:b/>
                <w:bCs/>
                <w:sz w:val="18"/>
                <w:szCs w:val="18"/>
                <w:lang w:eastAsia="hr-HR"/>
              </w:rPr>
            </w:pPr>
            <w:r w:rsidRPr="00FB561C">
              <w:rPr>
                <w:rFonts w:eastAsia="Times New Roman" w:cstheme="minorHAnsi"/>
                <w:b/>
                <w:bCs/>
                <w:sz w:val="18"/>
                <w:szCs w:val="18"/>
                <w:lang w:eastAsia="hr-HR"/>
              </w:rPr>
              <w:t>Zadržana dobit / preneseni gubitak</w:t>
            </w:r>
          </w:p>
        </w:tc>
        <w:tc>
          <w:tcPr>
            <w:tcW w:w="1079" w:type="dxa"/>
            <w:tcBorders>
              <w:top w:val="single" w:sz="4" w:space="0" w:color="auto"/>
              <w:bottom w:val="single" w:sz="4" w:space="0" w:color="auto"/>
            </w:tcBorders>
            <w:shd w:val="clear" w:color="auto" w:fill="auto"/>
            <w:vAlign w:val="center"/>
            <w:hideMark/>
          </w:tcPr>
          <w:p w14:paraId="52C8619A" w14:textId="77777777" w:rsidR="00FB561C" w:rsidRPr="00FB561C" w:rsidRDefault="00FB561C" w:rsidP="00FB561C">
            <w:pPr>
              <w:spacing w:after="0" w:line="240" w:lineRule="auto"/>
              <w:jc w:val="center"/>
              <w:rPr>
                <w:rFonts w:eastAsia="Times New Roman" w:cstheme="minorHAnsi"/>
                <w:b/>
                <w:bCs/>
                <w:sz w:val="18"/>
                <w:szCs w:val="18"/>
                <w:lang w:eastAsia="hr-HR"/>
              </w:rPr>
            </w:pPr>
            <w:r w:rsidRPr="00FB561C">
              <w:rPr>
                <w:rFonts w:eastAsia="Times New Roman" w:cstheme="minorHAnsi"/>
                <w:b/>
                <w:bCs/>
                <w:sz w:val="18"/>
                <w:szCs w:val="18"/>
                <w:lang w:eastAsia="hr-HR"/>
              </w:rPr>
              <w:t>Dobit / gubitak poslovne godine</w:t>
            </w:r>
          </w:p>
        </w:tc>
        <w:tc>
          <w:tcPr>
            <w:tcW w:w="1184" w:type="dxa"/>
            <w:tcBorders>
              <w:top w:val="single" w:sz="4" w:space="0" w:color="auto"/>
              <w:bottom w:val="single" w:sz="4" w:space="0" w:color="auto"/>
            </w:tcBorders>
            <w:shd w:val="clear" w:color="auto" w:fill="auto"/>
            <w:vAlign w:val="center"/>
            <w:hideMark/>
          </w:tcPr>
          <w:p w14:paraId="6C5538DE" w14:textId="77777777" w:rsidR="00FB561C" w:rsidRPr="00FB561C" w:rsidRDefault="00FB561C" w:rsidP="00FB561C">
            <w:pPr>
              <w:spacing w:after="0" w:line="240" w:lineRule="auto"/>
              <w:jc w:val="center"/>
              <w:rPr>
                <w:rFonts w:eastAsia="Times New Roman" w:cstheme="minorHAnsi"/>
                <w:b/>
                <w:bCs/>
                <w:sz w:val="18"/>
                <w:szCs w:val="18"/>
                <w:lang w:eastAsia="hr-HR"/>
              </w:rPr>
            </w:pPr>
            <w:r w:rsidRPr="00FB561C">
              <w:rPr>
                <w:rFonts w:eastAsia="Times New Roman" w:cstheme="minorHAnsi"/>
                <w:b/>
                <w:bCs/>
                <w:sz w:val="18"/>
                <w:szCs w:val="18"/>
                <w:lang w:eastAsia="hr-HR"/>
              </w:rPr>
              <w:t>Ukupno raspodjeljivo imateljima kapitala matice</w:t>
            </w:r>
          </w:p>
        </w:tc>
        <w:tc>
          <w:tcPr>
            <w:tcW w:w="1079" w:type="dxa"/>
            <w:tcBorders>
              <w:top w:val="single" w:sz="4" w:space="0" w:color="auto"/>
              <w:bottom w:val="single" w:sz="4" w:space="0" w:color="auto"/>
            </w:tcBorders>
            <w:shd w:val="clear" w:color="auto" w:fill="auto"/>
            <w:vAlign w:val="center"/>
            <w:hideMark/>
          </w:tcPr>
          <w:p w14:paraId="1C739A61" w14:textId="77777777" w:rsidR="00FB561C" w:rsidRPr="00FB561C" w:rsidRDefault="00FB561C" w:rsidP="00FB561C">
            <w:pPr>
              <w:spacing w:after="0" w:line="240" w:lineRule="auto"/>
              <w:jc w:val="center"/>
              <w:rPr>
                <w:rFonts w:eastAsia="Times New Roman" w:cstheme="minorHAnsi"/>
                <w:b/>
                <w:bCs/>
                <w:sz w:val="18"/>
                <w:szCs w:val="18"/>
                <w:lang w:eastAsia="hr-HR"/>
              </w:rPr>
            </w:pPr>
            <w:r w:rsidRPr="00FB561C">
              <w:rPr>
                <w:rFonts w:eastAsia="Times New Roman" w:cstheme="minorHAnsi"/>
                <w:b/>
                <w:bCs/>
                <w:sz w:val="18"/>
                <w:szCs w:val="18"/>
                <w:lang w:eastAsia="hr-HR"/>
              </w:rPr>
              <w:t>Ukupno kapital i rezerve</w:t>
            </w:r>
          </w:p>
        </w:tc>
      </w:tr>
      <w:tr w:rsidR="00FB561C" w:rsidRPr="00FB561C" w14:paraId="265E18F3" w14:textId="77777777" w:rsidTr="00116AE2">
        <w:trPr>
          <w:trHeight w:val="291"/>
        </w:trPr>
        <w:tc>
          <w:tcPr>
            <w:tcW w:w="9927" w:type="dxa"/>
            <w:gridSpan w:val="7"/>
            <w:tcBorders>
              <w:top w:val="single" w:sz="4" w:space="0" w:color="auto"/>
            </w:tcBorders>
            <w:shd w:val="clear" w:color="auto" w:fill="auto"/>
            <w:noWrap/>
            <w:vAlign w:val="center"/>
            <w:hideMark/>
          </w:tcPr>
          <w:p w14:paraId="18FFBF64" w14:textId="77777777" w:rsidR="00FB561C" w:rsidRPr="00FB561C" w:rsidRDefault="00FB561C" w:rsidP="00FB561C">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Prethodno razdoblje</w:t>
            </w:r>
          </w:p>
        </w:tc>
      </w:tr>
      <w:tr w:rsidR="008D4BA4" w:rsidRPr="00FB561C" w14:paraId="199AB3BA" w14:textId="77777777" w:rsidTr="00116AE2">
        <w:trPr>
          <w:trHeight w:val="274"/>
        </w:trPr>
        <w:tc>
          <w:tcPr>
            <w:tcW w:w="3354" w:type="dxa"/>
            <w:shd w:val="clear" w:color="auto" w:fill="auto"/>
            <w:vAlign w:val="bottom"/>
            <w:hideMark/>
          </w:tcPr>
          <w:p w14:paraId="02EFEFE8" w14:textId="1E75E4DF" w:rsidR="008D4BA4" w:rsidRPr="00FB561C" w:rsidRDefault="008D4BA4" w:rsidP="008D4BA4">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Stanje na prvi dan prethodnog razdoblja</w:t>
            </w:r>
          </w:p>
        </w:tc>
        <w:tc>
          <w:tcPr>
            <w:tcW w:w="1108" w:type="dxa"/>
            <w:shd w:val="clear" w:color="auto" w:fill="auto"/>
            <w:noWrap/>
            <w:vAlign w:val="bottom"/>
            <w:hideMark/>
          </w:tcPr>
          <w:p w14:paraId="49D351A6" w14:textId="5062B328"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6.962.307</w:t>
            </w:r>
          </w:p>
        </w:tc>
        <w:tc>
          <w:tcPr>
            <w:tcW w:w="951" w:type="dxa"/>
            <w:shd w:val="clear" w:color="auto" w:fill="auto"/>
            <w:noWrap/>
            <w:vAlign w:val="bottom"/>
            <w:hideMark/>
          </w:tcPr>
          <w:p w14:paraId="4AF03A41" w14:textId="447E1EA2"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616.813</w:t>
            </w:r>
          </w:p>
        </w:tc>
        <w:tc>
          <w:tcPr>
            <w:tcW w:w="1172" w:type="dxa"/>
            <w:shd w:val="clear" w:color="auto" w:fill="auto"/>
            <w:noWrap/>
            <w:vAlign w:val="bottom"/>
            <w:hideMark/>
          </w:tcPr>
          <w:p w14:paraId="7CF79E22" w14:textId="4D6AE09B"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158.578</w:t>
            </w:r>
          </w:p>
        </w:tc>
        <w:tc>
          <w:tcPr>
            <w:tcW w:w="1079" w:type="dxa"/>
            <w:shd w:val="clear" w:color="auto" w:fill="auto"/>
            <w:noWrap/>
            <w:vAlign w:val="bottom"/>
            <w:hideMark/>
          </w:tcPr>
          <w:p w14:paraId="427A8C57" w14:textId="2555461D"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768.678</w:t>
            </w:r>
          </w:p>
        </w:tc>
        <w:tc>
          <w:tcPr>
            <w:tcW w:w="1184" w:type="dxa"/>
            <w:shd w:val="clear" w:color="auto" w:fill="auto"/>
            <w:noWrap/>
            <w:vAlign w:val="bottom"/>
            <w:hideMark/>
          </w:tcPr>
          <w:p w14:paraId="7266C789" w14:textId="783B04A7"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8.506.376</w:t>
            </w:r>
          </w:p>
        </w:tc>
        <w:tc>
          <w:tcPr>
            <w:tcW w:w="1079" w:type="dxa"/>
            <w:shd w:val="clear" w:color="auto" w:fill="auto"/>
            <w:noWrap/>
            <w:vAlign w:val="bottom"/>
            <w:hideMark/>
          </w:tcPr>
          <w:p w14:paraId="358CDFCD" w14:textId="648232F3" w:rsidR="008D4BA4" w:rsidRPr="008D4BA4" w:rsidRDefault="008D4BA4" w:rsidP="008D4BA4">
            <w:pPr>
              <w:pStyle w:val="NoSpacing"/>
            </w:pPr>
            <w:r w:rsidRPr="008D4BA4">
              <w:rPr>
                <w:rFonts w:ascii="Calibri" w:hAnsi="Calibri" w:cs="Calibri"/>
                <w:b/>
                <w:bCs/>
                <w:sz w:val="18"/>
                <w:szCs w:val="18"/>
              </w:rPr>
              <w:t>8.506.376</w:t>
            </w:r>
          </w:p>
          <w:p w14:paraId="6C01BC1E" w14:textId="1EAB22BA" w:rsidR="008D4BA4" w:rsidRPr="008D4BA4" w:rsidRDefault="008D4BA4" w:rsidP="008D4BA4">
            <w:pPr>
              <w:spacing w:after="0" w:line="240" w:lineRule="auto"/>
              <w:rPr>
                <w:rFonts w:eastAsia="Times New Roman" w:cstheme="minorHAnsi"/>
                <w:b/>
                <w:bCs/>
                <w:sz w:val="18"/>
                <w:szCs w:val="18"/>
                <w:lang w:eastAsia="hr-HR"/>
              </w:rPr>
            </w:pPr>
          </w:p>
        </w:tc>
      </w:tr>
      <w:tr w:rsidR="00C62A1A" w:rsidRPr="00FB561C" w14:paraId="7FA40BD9" w14:textId="77777777" w:rsidTr="00116AE2">
        <w:trPr>
          <w:trHeight w:val="274"/>
        </w:trPr>
        <w:tc>
          <w:tcPr>
            <w:tcW w:w="3354" w:type="dxa"/>
            <w:shd w:val="clear" w:color="auto" w:fill="auto"/>
            <w:vAlign w:val="bottom"/>
            <w:hideMark/>
          </w:tcPr>
          <w:p w14:paraId="5EED9E8A" w14:textId="1FAF7E52" w:rsidR="00FB561C" w:rsidRPr="00FB561C" w:rsidRDefault="00FB561C"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Promjene računovodstvenih politika</w:t>
            </w:r>
          </w:p>
        </w:tc>
        <w:tc>
          <w:tcPr>
            <w:tcW w:w="1108" w:type="dxa"/>
            <w:shd w:val="clear" w:color="auto" w:fill="auto"/>
            <w:noWrap/>
            <w:vAlign w:val="bottom"/>
            <w:hideMark/>
          </w:tcPr>
          <w:p w14:paraId="5CE80845" w14:textId="63297A1A" w:rsidR="00FB561C" w:rsidRPr="008D4BA4" w:rsidRDefault="00FB561C"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4C922DBC" w14:textId="493E2451" w:rsidR="00FB561C" w:rsidRPr="008D4BA4" w:rsidRDefault="00FB561C"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1EF16A01" w14:textId="70040E57" w:rsidR="00FB561C" w:rsidRPr="008D4BA4" w:rsidRDefault="00FB561C" w:rsidP="008D4BA4">
            <w:pPr>
              <w:spacing w:after="0" w:line="240" w:lineRule="auto"/>
              <w:jc w:val="center"/>
              <w:rPr>
                <w:rFonts w:eastAsia="Times New Roman" w:cstheme="minorHAnsi"/>
                <w:sz w:val="18"/>
                <w:szCs w:val="18"/>
                <w:lang w:eastAsia="hr-HR"/>
              </w:rPr>
            </w:pPr>
          </w:p>
        </w:tc>
        <w:tc>
          <w:tcPr>
            <w:tcW w:w="1079" w:type="dxa"/>
            <w:shd w:val="clear" w:color="auto" w:fill="auto"/>
            <w:noWrap/>
            <w:vAlign w:val="bottom"/>
            <w:hideMark/>
          </w:tcPr>
          <w:p w14:paraId="2E7C60A3" w14:textId="66A7146B" w:rsidR="00FB561C" w:rsidRPr="008D4BA4" w:rsidRDefault="00FB561C" w:rsidP="008D4BA4">
            <w:pPr>
              <w:spacing w:after="0" w:line="240" w:lineRule="auto"/>
              <w:jc w:val="center"/>
              <w:rPr>
                <w:rFonts w:eastAsia="Times New Roman" w:cstheme="minorHAnsi"/>
                <w:sz w:val="18"/>
                <w:szCs w:val="18"/>
                <w:lang w:eastAsia="hr-HR"/>
              </w:rPr>
            </w:pPr>
          </w:p>
        </w:tc>
        <w:tc>
          <w:tcPr>
            <w:tcW w:w="1184" w:type="dxa"/>
            <w:shd w:val="clear" w:color="auto" w:fill="auto"/>
            <w:noWrap/>
            <w:vAlign w:val="bottom"/>
            <w:hideMark/>
          </w:tcPr>
          <w:p w14:paraId="7494107F"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c>
          <w:tcPr>
            <w:tcW w:w="1079" w:type="dxa"/>
            <w:shd w:val="clear" w:color="auto" w:fill="auto"/>
            <w:noWrap/>
            <w:vAlign w:val="bottom"/>
            <w:hideMark/>
          </w:tcPr>
          <w:p w14:paraId="6F49DCAF"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r>
      <w:tr w:rsidR="00C62A1A" w:rsidRPr="00FB561C" w14:paraId="065C420B" w14:textId="77777777" w:rsidTr="00116AE2">
        <w:trPr>
          <w:trHeight w:val="274"/>
        </w:trPr>
        <w:tc>
          <w:tcPr>
            <w:tcW w:w="3354" w:type="dxa"/>
            <w:shd w:val="clear" w:color="auto" w:fill="auto"/>
            <w:vAlign w:val="bottom"/>
            <w:hideMark/>
          </w:tcPr>
          <w:p w14:paraId="536781C9" w14:textId="60B52092" w:rsidR="00FB561C" w:rsidRPr="00FB561C" w:rsidRDefault="00FB561C"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Ispravak pogreški</w:t>
            </w:r>
          </w:p>
        </w:tc>
        <w:tc>
          <w:tcPr>
            <w:tcW w:w="1108" w:type="dxa"/>
            <w:shd w:val="clear" w:color="auto" w:fill="auto"/>
            <w:noWrap/>
            <w:vAlign w:val="bottom"/>
            <w:hideMark/>
          </w:tcPr>
          <w:p w14:paraId="44EAE2E5" w14:textId="32C72D9B" w:rsidR="00FB561C" w:rsidRPr="008D4BA4" w:rsidRDefault="00FB561C"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020F5418" w14:textId="1E2D59E5" w:rsidR="00FB561C" w:rsidRPr="008D4BA4" w:rsidRDefault="00FB561C"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2119DB96" w14:textId="4CDE5DB6" w:rsidR="00FB561C" w:rsidRPr="008D4BA4" w:rsidRDefault="00FB561C" w:rsidP="008D4BA4">
            <w:pPr>
              <w:spacing w:after="0" w:line="240" w:lineRule="auto"/>
              <w:jc w:val="center"/>
              <w:rPr>
                <w:rFonts w:eastAsia="Times New Roman" w:cstheme="minorHAnsi"/>
                <w:sz w:val="18"/>
                <w:szCs w:val="18"/>
                <w:lang w:eastAsia="hr-HR"/>
              </w:rPr>
            </w:pPr>
          </w:p>
        </w:tc>
        <w:tc>
          <w:tcPr>
            <w:tcW w:w="1079" w:type="dxa"/>
            <w:shd w:val="clear" w:color="auto" w:fill="auto"/>
            <w:noWrap/>
            <w:vAlign w:val="bottom"/>
            <w:hideMark/>
          </w:tcPr>
          <w:p w14:paraId="7809CC2D" w14:textId="09BDFFD0" w:rsidR="00FB561C" w:rsidRPr="008D4BA4" w:rsidRDefault="00FB561C" w:rsidP="008D4BA4">
            <w:pPr>
              <w:spacing w:after="0" w:line="240" w:lineRule="auto"/>
              <w:jc w:val="center"/>
              <w:rPr>
                <w:rFonts w:eastAsia="Times New Roman" w:cstheme="minorHAnsi"/>
                <w:sz w:val="18"/>
                <w:szCs w:val="18"/>
                <w:lang w:eastAsia="hr-HR"/>
              </w:rPr>
            </w:pPr>
          </w:p>
        </w:tc>
        <w:tc>
          <w:tcPr>
            <w:tcW w:w="1184" w:type="dxa"/>
            <w:shd w:val="clear" w:color="auto" w:fill="auto"/>
            <w:noWrap/>
            <w:vAlign w:val="bottom"/>
            <w:hideMark/>
          </w:tcPr>
          <w:p w14:paraId="2AEAE484"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c>
          <w:tcPr>
            <w:tcW w:w="1079" w:type="dxa"/>
            <w:shd w:val="clear" w:color="auto" w:fill="auto"/>
            <w:noWrap/>
            <w:vAlign w:val="bottom"/>
            <w:hideMark/>
          </w:tcPr>
          <w:p w14:paraId="104D73B3"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r>
      <w:tr w:rsidR="008D4BA4" w:rsidRPr="00FB561C" w14:paraId="50D0037C" w14:textId="77777777" w:rsidTr="00116AE2">
        <w:trPr>
          <w:trHeight w:val="274"/>
        </w:trPr>
        <w:tc>
          <w:tcPr>
            <w:tcW w:w="3354" w:type="dxa"/>
            <w:shd w:val="clear" w:color="auto" w:fill="auto"/>
            <w:vAlign w:val="bottom"/>
            <w:hideMark/>
          </w:tcPr>
          <w:p w14:paraId="1C5E5353" w14:textId="244FF20E" w:rsidR="008D4BA4" w:rsidRPr="00FB561C" w:rsidRDefault="008D4BA4" w:rsidP="008D4BA4">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 xml:space="preserve">Stanje na prvi dan prethodnog razdoblja </w:t>
            </w:r>
          </w:p>
        </w:tc>
        <w:tc>
          <w:tcPr>
            <w:tcW w:w="1108" w:type="dxa"/>
            <w:shd w:val="clear" w:color="auto" w:fill="auto"/>
            <w:noWrap/>
            <w:vAlign w:val="bottom"/>
            <w:hideMark/>
          </w:tcPr>
          <w:p w14:paraId="69AF5AE3" w14:textId="59A81420"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6.962.307</w:t>
            </w:r>
          </w:p>
        </w:tc>
        <w:tc>
          <w:tcPr>
            <w:tcW w:w="951" w:type="dxa"/>
            <w:shd w:val="clear" w:color="auto" w:fill="auto"/>
            <w:noWrap/>
            <w:vAlign w:val="bottom"/>
            <w:hideMark/>
          </w:tcPr>
          <w:p w14:paraId="073E981A" w14:textId="79A9CA67"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616.813</w:t>
            </w:r>
          </w:p>
        </w:tc>
        <w:tc>
          <w:tcPr>
            <w:tcW w:w="1172" w:type="dxa"/>
            <w:shd w:val="clear" w:color="auto" w:fill="auto"/>
            <w:noWrap/>
            <w:vAlign w:val="bottom"/>
            <w:hideMark/>
          </w:tcPr>
          <w:p w14:paraId="075DC490" w14:textId="34873955"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158.578</w:t>
            </w:r>
          </w:p>
        </w:tc>
        <w:tc>
          <w:tcPr>
            <w:tcW w:w="1079" w:type="dxa"/>
            <w:shd w:val="clear" w:color="auto" w:fill="auto"/>
            <w:noWrap/>
            <w:vAlign w:val="bottom"/>
            <w:hideMark/>
          </w:tcPr>
          <w:p w14:paraId="334A74BF" w14:textId="582138B9"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768.678</w:t>
            </w:r>
          </w:p>
        </w:tc>
        <w:tc>
          <w:tcPr>
            <w:tcW w:w="1184" w:type="dxa"/>
            <w:shd w:val="clear" w:color="auto" w:fill="auto"/>
            <w:noWrap/>
            <w:vAlign w:val="bottom"/>
            <w:hideMark/>
          </w:tcPr>
          <w:p w14:paraId="4A6D9236" w14:textId="028614F2"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8.506.376</w:t>
            </w:r>
          </w:p>
        </w:tc>
        <w:tc>
          <w:tcPr>
            <w:tcW w:w="1079" w:type="dxa"/>
            <w:shd w:val="clear" w:color="auto" w:fill="auto"/>
            <w:noWrap/>
            <w:vAlign w:val="bottom"/>
            <w:hideMark/>
          </w:tcPr>
          <w:p w14:paraId="688EFEC0" w14:textId="741DCD0D"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8.506.376</w:t>
            </w:r>
          </w:p>
        </w:tc>
      </w:tr>
      <w:tr w:rsidR="008D4BA4" w:rsidRPr="00FB561C" w14:paraId="3DCAB9CC" w14:textId="77777777" w:rsidTr="00116AE2">
        <w:trPr>
          <w:trHeight w:val="274"/>
        </w:trPr>
        <w:tc>
          <w:tcPr>
            <w:tcW w:w="3354" w:type="dxa"/>
            <w:shd w:val="clear" w:color="auto" w:fill="auto"/>
            <w:vAlign w:val="bottom"/>
            <w:hideMark/>
          </w:tcPr>
          <w:p w14:paraId="57228FED" w14:textId="094A9808" w:rsidR="008D4BA4" w:rsidRPr="00FB561C" w:rsidRDefault="008D4BA4"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Dobit/gubitak razdoblja</w:t>
            </w:r>
          </w:p>
        </w:tc>
        <w:tc>
          <w:tcPr>
            <w:tcW w:w="1108" w:type="dxa"/>
            <w:shd w:val="clear" w:color="auto" w:fill="auto"/>
            <w:noWrap/>
            <w:vAlign w:val="bottom"/>
            <w:hideMark/>
          </w:tcPr>
          <w:p w14:paraId="63F855CE" w14:textId="590B893B" w:rsidR="008D4BA4" w:rsidRPr="008D4BA4" w:rsidRDefault="008D4BA4"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4900B074" w14:textId="2A9C7EE4" w:rsidR="008D4BA4" w:rsidRPr="008D4BA4" w:rsidRDefault="008D4BA4"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3A7E2C35" w14:textId="59FEDECD" w:rsidR="008D4BA4" w:rsidRPr="008D4BA4" w:rsidRDefault="008D4BA4" w:rsidP="008D4BA4">
            <w:pPr>
              <w:spacing w:after="0" w:line="240" w:lineRule="auto"/>
              <w:jc w:val="center"/>
              <w:rPr>
                <w:rFonts w:eastAsia="Times New Roman" w:cstheme="minorHAnsi"/>
                <w:sz w:val="18"/>
                <w:szCs w:val="18"/>
                <w:lang w:eastAsia="hr-HR"/>
              </w:rPr>
            </w:pPr>
          </w:p>
        </w:tc>
        <w:tc>
          <w:tcPr>
            <w:tcW w:w="1079" w:type="dxa"/>
            <w:shd w:val="clear" w:color="auto" w:fill="auto"/>
            <w:noWrap/>
            <w:vAlign w:val="bottom"/>
            <w:hideMark/>
          </w:tcPr>
          <w:p w14:paraId="1572AD78" w14:textId="39C3EAF6"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297.524</w:t>
            </w:r>
          </w:p>
        </w:tc>
        <w:tc>
          <w:tcPr>
            <w:tcW w:w="1184" w:type="dxa"/>
            <w:shd w:val="clear" w:color="auto" w:fill="auto"/>
            <w:noWrap/>
            <w:vAlign w:val="bottom"/>
            <w:hideMark/>
          </w:tcPr>
          <w:p w14:paraId="6B75A19E" w14:textId="7258D29F"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297.524</w:t>
            </w:r>
          </w:p>
        </w:tc>
        <w:tc>
          <w:tcPr>
            <w:tcW w:w="1079" w:type="dxa"/>
            <w:shd w:val="clear" w:color="auto" w:fill="auto"/>
            <w:noWrap/>
            <w:vAlign w:val="bottom"/>
            <w:hideMark/>
          </w:tcPr>
          <w:p w14:paraId="1AC6201D" w14:textId="42F65B20"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297.524</w:t>
            </w:r>
          </w:p>
        </w:tc>
      </w:tr>
      <w:tr w:rsidR="008D4BA4" w:rsidRPr="00FB561C" w14:paraId="7873A51C" w14:textId="77777777" w:rsidTr="00116AE2">
        <w:trPr>
          <w:trHeight w:val="274"/>
        </w:trPr>
        <w:tc>
          <w:tcPr>
            <w:tcW w:w="3354" w:type="dxa"/>
            <w:shd w:val="clear" w:color="auto" w:fill="auto"/>
            <w:vAlign w:val="bottom"/>
            <w:hideMark/>
          </w:tcPr>
          <w:p w14:paraId="2546A8F8" w14:textId="31A07214" w:rsidR="008D4BA4" w:rsidRPr="00FB561C" w:rsidRDefault="008D4BA4"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Prijenos po godišnjem rasporedu</w:t>
            </w:r>
          </w:p>
        </w:tc>
        <w:tc>
          <w:tcPr>
            <w:tcW w:w="1108" w:type="dxa"/>
            <w:shd w:val="clear" w:color="auto" w:fill="auto"/>
            <w:noWrap/>
            <w:vAlign w:val="bottom"/>
            <w:hideMark/>
          </w:tcPr>
          <w:p w14:paraId="22CCEE1D" w14:textId="73DAA942" w:rsidR="008D4BA4" w:rsidRPr="008D4BA4" w:rsidRDefault="008D4BA4"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2AD794F8" w14:textId="269C424A" w:rsidR="008D4BA4" w:rsidRPr="008D4BA4" w:rsidRDefault="008D4BA4"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2B7ABE0B" w14:textId="52E5B201"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768.678</w:t>
            </w:r>
          </w:p>
        </w:tc>
        <w:tc>
          <w:tcPr>
            <w:tcW w:w="1079" w:type="dxa"/>
            <w:shd w:val="clear" w:color="auto" w:fill="auto"/>
            <w:noWrap/>
            <w:vAlign w:val="bottom"/>
            <w:hideMark/>
          </w:tcPr>
          <w:p w14:paraId="1ED97E92" w14:textId="5568205F"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-768.678</w:t>
            </w:r>
          </w:p>
        </w:tc>
        <w:tc>
          <w:tcPr>
            <w:tcW w:w="1184" w:type="dxa"/>
            <w:shd w:val="clear" w:color="auto" w:fill="auto"/>
            <w:noWrap/>
            <w:vAlign w:val="bottom"/>
            <w:hideMark/>
          </w:tcPr>
          <w:p w14:paraId="18D960F6" w14:textId="77777777" w:rsidR="008D4BA4" w:rsidRPr="008D4BA4" w:rsidRDefault="008D4BA4"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c>
          <w:tcPr>
            <w:tcW w:w="1079" w:type="dxa"/>
            <w:shd w:val="clear" w:color="auto" w:fill="auto"/>
            <w:noWrap/>
            <w:vAlign w:val="bottom"/>
            <w:hideMark/>
          </w:tcPr>
          <w:p w14:paraId="66698080" w14:textId="77777777" w:rsidR="008D4BA4" w:rsidRPr="008D4BA4" w:rsidRDefault="008D4BA4"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r>
      <w:tr w:rsidR="008D4BA4" w:rsidRPr="00FB561C" w14:paraId="5F32010B" w14:textId="77777777" w:rsidTr="00116AE2">
        <w:trPr>
          <w:trHeight w:val="274"/>
        </w:trPr>
        <w:tc>
          <w:tcPr>
            <w:tcW w:w="3354" w:type="dxa"/>
            <w:shd w:val="clear" w:color="auto" w:fill="auto"/>
            <w:vAlign w:val="bottom"/>
            <w:hideMark/>
          </w:tcPr>
          <w:p w14:paraId="734A9F8F" w14:textId="1A028C4F" w:rsidR="008D4BA4" w:rsidRPr="00FB561C" w:rsidRDefault="008D4BA4" w:rsidP="008D4BA4">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 xml:space="preserve">Stanje na zadnji dan prethodnog razdoblja </w:t>
            </w:r>
          </w:p>
        </w:tc>
        <w:tc>
          <w:tcPr>
            <w:tcW w:w="1108" w:type="dxa"/>
            <w:shd w:val="clear" w:color="auto" w:fill="auto"/>
            <w:noWrap/>
            <w:vAlign w:val="bottom"/>
            <w:hideMark/>
          </w:tcPr>
          <w:p w14:paraId="10D8197A" w14:textId="13D47D90"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6.962.307</w:t>
            </w:r>
          </w:p>
        </w:tc>
        <w:tc>
          <w:tcPr>
            <w:tcW w:w="951" w:type="dxa"/>
            <w:shd w:val="clear" w:color="auto" w:fill="auto"/>
            <w:noWrap/>
            <w:vAlign w:val="bottom"/>
            <w:hideMark/>
          </w:tcPr>
          <w:p w14:paraId="4D561FC8" w14:textId="457E2211"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616.813</w:t>
            </w:r>
          </w:p>
        </w:tc>
        <w:tc>
          <w:tcPr>
            <w:tcW w:w="1172" w:type="dxa"/>
            <w:shd w:val="clear" w:color="auto" w:fill="auto"/>
            <w:noWrap/>
            <w:vAlign w:val="bottom"/>
            <w:hideMark/>
          </w:tcPr>
          <w:p w14:paraId="7C0E19EA" w14:textId="14A24A5B"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927.256</w:t>
            </w:r>
          </w:p>
        </w:tc>
        <w:tc>
          <w:tcPr>
            <w:tcW w:w="1079" w:type="dxa"/>
            <w:shd w:val="clear" w:color="auto" w:fill="auto"/>
            <w:noWrap/>
            <w:vAlign w:val="bottom"/>
            <w:hideMark/>
          </w:tcPr>
          <w:p w14:paraId="4405132E" w14:textId="155C9EC4"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297.524</w:t>
            </w:r>
          </w:p>
        </w:tc>
        <w:tc>
          <w:tcPr>
            <w:tcW w:w="1184" w:type="dxa"/>
            <w:shd w:val="clear" w:color="auto" w:fill="auto"/>
            <w:noWrap/>
            <w:vAlign w:val="bottom"/>
            <w:hideMark/>
          </w:tcPr>
          <w:p w14:paraId="11BD9837" w14:textId="40C71964"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8.803.901</w:t>
            </w:r>
          </w:p>
        </w:tc>
        <w:tc>
          <w:tcPr>
            <w:tcW w:w="1079" w:type="dxa"/>
            <w:shd w:val="clear" w:color="auto" w:fill="auto"/>
            <w:noWrap/>
            <w:vAlign w:val="bottom"/>
            <w:hideMark/>
          </w:tcPr>
          <w:p w14:paraId="31853AEA" w14:textId="1DC4B2DB" w:rsidR="008D4BA4" w:rsidRPr="008D4BA4" w:rsidRDefault="008D4BA4" w:rsidP="008D4BA4">
            <w:pPr>
              <w:pStyle w:val="NoSpacing"/>
              <w:rPr>
                <w:lang w:eastAsia="hr-HR"/>
              </w:rPr>
            </w:pPr>
            <w:r w:rsidRPr="008D4BA4">
              <w:rPr>
                <w:rFonts w:ascii="Calibri" w:hAnsi="Calibri" w:cs="Calibri"/>
                <w:b/>
                <w:bCs/>
                <w:sz w:val="18"/>
                <w:szCs w:val="18"/>
              </w:rPr>
              <w:t>8.803.901</w:t>
            </w:r>
          </w:p>
        </w:tc>
      </w:tr>
      <w:tr w:rsidR="00FB561C" w:rsidRPr="00FB561C" w14:paraId="7E0E7220" w14:textId="77777777" w:rsidTr="00116AE2">
        <w:trPr>
          <w:trHeight w:val="291"/>
        </w:trPr>
        <w:tc>
          <w:tcPr>
            <w:tcW w:w="9927" w:type="dxa"/>
            <w:gridSpan w:val="7"/>
            <w:shd w:val="clear" w:color="auto" w:fill="auto"/>
            <w:noWrap/>
            <w:vAlign w:val="bottom"/>
            <w:hideMark/>
          </w:tcPr>
          <w:p w14:paraId="1C5EDB44" w14:textId="77777777" w:rsidR="00FB561C" w:rsidRPr="00FB561C" w:rsidRDefault="00FB561C" w:rsidP="00697923">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Tekuće razdoblje</w:t>
            </w:r>
          </w:p>
        </w:tc>
      </w:tr>
      <w:tr w:rsidR="008D4BA4" w:rsidRPr="00FB561C" w14:paraId="3185C377" w14:textId="77777777" w:rsidTr="00116AE2">
        <w:trPr>
          <w:trHeight w:val="274"/>
        </w:trPr>
        <w:tc>
          <w:tcPr>
            <w:tcW w:w="3354" w:type="dxa"/>
            <w:shd w:val="clear" w:color="auto" w:fill="auto"/>
            <w:vAlign w:val="bottom"/>
            <w:hideMark/>
          </w:tcPr>
          <w:p w14:paraId="0B3D3F32" w14:textId="665C4E87" w:rsidR="008D4BA4" w:rsidRPr="00FB561C" w:rsidRDefault="008D4BA4" w:rsidP="008D4BA4">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Stanje na prvi dan tekućeg razdoblja</w:t>
            </w:r>
          </w:p>
        </w:tc>
        <w:tc>
          <w:tcPr>
            <w:tcW w:w="1108" w:type="dxa"/>
            <w:shd w:val="clear" w:color="auto" w:fill="auto"/>
            <w:noWrap/>
            <w:vAlign w:val="bottom"/>
            <w:hideMark/>
          </w:tcPr>
          <w:p w14:paraId="47AE2786" w14:textId="3EC891B7"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b/>
                <w:bCs/>
                <w:sz w:val="18"/>
                <w:szCs w:val="18"/>
              </w:rPr>
              <w:t>6.962.307</w:t>
            </w:r>
          </w:p>
        </w:tc>
        <w:tc>
          <w:tcPr>
            <w:tcW w:w="951" w:type="dxa"/>
            <w:shd w:val="clear" w:color="auto" w:fill="auto"/>
            <w:noWrap/>
            <w:vAlign w:val="bottom"/>
            <w:hideMark/>
          </w:tcPr>
          <w:p w14:paraId="7F2F08A8" w14:textId="7F916EDF"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b/>
                <w:bCs/>
                <w:sz w:val="18"/>
                <w:szCs w:val="18"/>
              </w:rPr>
              <w:t>616.813</w:t>
            </w:r>
          </w:p>
        </w:tc>
        <w:tc>
          <w:tcPr>
            <w:tcW w:w="1172" w:type="dxa"/>
            <w:shd w:val="clear" w:color="auto" w:fill="auto"/>
            <w:noWrap/>
            <w:vAlign w:val="bottom"/>
            <w:hideMark/>
          </w:tcPr>
          <w:p w14:paraId="4A6C1216" w14:textId="2337EBAC"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b/>
                <w:bCs/>
                <w:sz w:val="18"/>
                <w:szCs w:val="18"/>
              </w:rPr>
              <w:t>927.256</w:t>
            </w:r>
          </w:p>
        </w:tc>
        <w:tc>
          <w:tcPr>
            <w:tcW w:w="1079" w:type="dxa"/>
            <w:shd w:val="clear" w:color="auto" w:fill="auto"/>
            <w:noWrap/>
            <w:vAlign w:val="bottom"/>
            <w:hideMark/>
          </w:tcPr>
          <w:p w14:paraId="2EFEB5FA" w14:textId="72712812"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b/>
                <w:bCs/>
                <w:sz w:val="18"/>
                <w:szCs w:val="18"/>
              </w:rPr>
              <w:t>297.524</w:t>
            </w:r>
          </w:p>
        </w:tc>
        <w:tc>
          <w:tcPr>
            <w:tcW w:w="1184" w:type="dxa"/>
            <w:shd w:val="clear" w:color="auto" w:fill="auto"/>
            <w:noWrap/>
            <w:vAlign w:val="bottom"/>
            <w:hideMark/>
          </w:tcPr>
          <w:p w14:paraId="7C980571" w14:textId="00C926DD"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8.803.901</w:t>
            </w:r>
          </w:p>
        </w:tc>
        <w:tc>
          <w:tcPr>
            <w:tcW w:w="1079" w:type="dxa"/>
            <w:shd w:val="clear" w:color="auto" w:fill="auto"/>
            <w:noWrap/>
            <w:vAlign w:val="bottom"/>
            <w:hideMark/>
          </w:tcPr>
          <w:p w14:paraId="3A132852" w14:textId="77777777" w:rsidR="008D4BA4" w:rsidRPr="008D4BA4" w:rsidRDefault="008D4BA4" w:rsidP="008D4BA4">
            <w:pPr>
              <w:pStyle w:val="NoSpacing"/>
              <w:jc w:val="center"/>
              <w:rPr>
                <w:b/>
                <w:bCs/>
                <w:sz w:val="18"/>
                <w:szCs w:val="18"/>
              </w:rPr>
            </w:pPr>
            <w:r w:rsidRPr="008D4BA4">
              <w:rPr>
                <w:b/>
                <w:bCs/>
                <w:sz w:val="18"/>
                <w:szCs w:val="18"/>
              </w:rPr>
              <w:t>8.803.901</w:t>
            </w:r>
          </w:p>
          <w:p w14:paraId="6F15C725" w14:textId="168715C7" w:rsidR="008D4BA4" w:rsidRPr="008D4BA4" w:rsidRDefault="008D4BA4" w:rsidP="008D4BA4">
            <w:pPr>
              <w:spacing w:after="0" w:line="240" w:lineRule="auto"/>
              <w:jc w:val="center"/>
              <w:rPr>
                <w:rFonts w:eastAsia="Times New Roman" w:cstheme="minorHAnsi"/>
                <w:b/>
                <w:bCs/>
                <w:sz w:val="18"/>
                <w:szCs w:val="18"/>
                <w:lang w:eastAsia="hr-HR"/>
              </w:rPr>
            </w:pPr>
          </w:p>
        </w:tc>
      </w:tr>
      <w:tr w:rsidR="00C62A1A" w:rsidRPr="00FB561C" w14:paraId="19A560C3" w14:textId="77777777" w:rsidTr="00116AE2">
        <w:trPr>
          <w:trHeight w:val="274"/>
        </w:trPr>
        <w:tc>
          <w:tcPr>
            <w:tcW w:w="3354" w:type="dxa"/>
            <w:shd w:val="clear" w:color="auto" w:fill="auto"/>
            <w:vAlign w:val="bottom"/>
            <w:hideMark/>
          </w:tcPr>
          <w:p w14:paraId="73A86ACB" w14:textId="2EEFA549" w:rsidR="00FB561C" w:rsidRPr="00FB561C" w:rsidRDefault="00FB561C"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Promjene računovodstvenih politika</w:t>
            </w:r>
          </w:p>
        </w:tc>
        <w:tc>
          <w:tcPr>
            <w:tcW w:w="1108" w:type="dxa"/>
            <w:shd w:val="clear" w:color="auto" w:fill="auto"/>
            <w:noWrap/>
            <w:vAlign w:val="bottom"/>
            <w:hideMark/>
          </w:tcPr>
          <w:p w14:paraId="1F15E14A" w14:textId="4EEE4891" w:rsidR="00FB561C" w:rsidRPr="008D4BA4" w:rsidRDefault="00FB561C"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25708AF5" w14:textId="2662C270" w:rsidR="00FB561C" w:rsidRPr="008D4BA4" w:rsidRDefault="00FB561C"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698F9FE2" w14:textId="35C9FB69" w:rsidR="00FB561C" w:rsidRPr="008D4BA4" w:rsidRDefault="00FB561C" w:rsidP="008D4BA4">
            <w:pPr>
              <w:spacing w:after="0" w:line="240" w:lineRule="auto"/>
              <w:jc w:val="center"/>
              <w:rPr>
                <w:rFonts w:eastAsia="Times New Roman" w:cstheme="minorHAnsi"/>
                <w:sz w:val="18"/>
                <w:szCs w:val="18"/>
                <w:lang w:eastAsia="hr-HR"/>
              </w:rPr>
            </w:pPr>
          </w:p>
        </w:tc>
        <w:tc>
          <w:tcPr>
            <w:tcW w:w="1079" w:type="dxa"/>
            <w:shd w:val="clear" w:color="auto" w:fill="auto"/>
            <w:noWrap/>
            <w:vAlign w:val="bottom"/>
            <w:hideMark/>
          </w:tcPr>
          <w:p w14:paraId="45F59ADC" w14:textId="20BEB1E1" w:rsidR="00FB561C" w:rsidRPr="008D4BA4" w:rsidRDefault="00FB561C" w:rsidP="008D4BA4">
            <w:pPr>
              <w:spacing w:after="0" w:line="240" w:lineRule="auto"/>
              <w:jc w:val="center"/>
              <w:rPr>
                <w:rFonts w:eastAsia="Times New Roman" w:cstheme="minorHAnsi"/>
                <w:sz w:val="18"/>
                <w:szCs w:val="18"/>
                <w:lang w:eastAsia="hr-HR"/>
              </w:rPr>
            </w:pPr>
          </w:p>
        </w:tc>
        <w:tc>
          <w:tcPr>
            <w:tcW w:w="1184" w:type="dxa"/>
            <w:shd w:val="clear" w:color="auto" w:fill="auto"/>
            <w:noWrap/>
            <w:vAlign w:val="bottom"/>
            <w:hideMark/>
          </w:tcPr>
          <w:p w14:paraId="7A42CA20"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c>
          <w:tcPr>
            <w:tcW w:w="1079" w:type="dxa"/>
            <w:shd w:val="clear" w:color="auto" w:fill="auto"/>
            <w:noWrap/>
            <w:vAlign w:val="bottom"/>
            <w:hideMark/>
          </w:tcPr>
          <w:p w14:paraId="6F513684"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r>
      <w:tr w:rsidR="00C62A1A" w:rsidRPr="00FB561C" w14:paraId="7AE554DF" w14:textId="77777777" w:rsidTr="00116AE2">
        <w:trPr>
          <w:trHeight w:val="274"/>
        </w:trPr>
        <w:tc>
          <w:tcPr>
            <w:tcW w:w="3354" w:type="dxa"/>
            <w:shd w:val="clear" w:color="auto" w:fill="auto"/>
            <w:vAlign w:val="bottom"/>
            <w:hideMark/>
          </w:tcPr>
          <w:p w14:paraId="787DE796" w14:textId="662A5F82" w:rsidR="00FB561C" w:rsidRPr="00FB561C" w:rsidRDefault="00FB561C"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Ispravak pogreški</w:t>
            </w:r>
          </w:p>
        </w:tc>
        <w:tc>
          <w:tcPr>
            <w:tcW w:w="1108" w:type="dxa"/>
            <w:shd w:val="clear" w:color="auto" w:fill="auto"/>
            <w:noWrap/>
            <w:vAlign w:val="bottom"/>
            <w:hideMark/>
          </w:tcPr>
          <w:p w14:paraId="112A6207" w14:textId="4EBACA32" w:rsidR="00FB561C" w:rsidRPr="008D4BA4" w:rsidRDefault="00FB561C"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21FF55D3" w14:textId="6EEBC89D" w:rsidR="00FB561C" w:rsidRPr="008D4BA4" w:rsidRDefault="00FB561C"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5B8C4ABB" w14:textId="667C10D1" w:rsidR="00FB561C" w:rsidRPr="008D4BA4" w:rsidRDefault="00FB561C" w:rsidP="008D4BA4">
            <w:pPr>
              <w:spacing w:after="0" w:line="240" w:lineRule="auto"/>
              <w:jc w:val="center"/>
              <w:rPr>
                <w:rFonts w:eastAsia="Times New Roman" w:cstheme="minorHAnsi"/>
                <w:sz w:val="18"/>
                <w:szCs w:val="18"/>
                <w:lang w:eastAsia="hr-HR"/>
              </w:rPr>
            </w:pPr>
          </w:p>
        </w:tc>
        <w:tc>
          <w:tcPr>
            <w:tcW w:w="1079" w:type="dxa"/>
            <w:shd w:val="clear" w:color="auto" w:fill="auto"/>
            <w:noWrap/>
            <w:vAlign w:val="bottom"/>
            <w:hideMark/>
          </w:tcPr>
          <w:p w14:paraId="301BC1EC" w14:textId="409DFD6A" w:rsidR="00FB561C" w:rsidRPr="008D4BA4" w:rsidRDefault="00FB561C" w:rsidP="008D4BA4">
            <w:pPr>
              <w:spacing w:after="0" w:line="240" w:lineRule="auto"/>
              <w:jc w:val="center"/>
              <w:rPr>
                <w:rFonts w:eastAsia="Times New Roman" w:cstheme="minorHAnsi"/>
                <w:sz w:val="18"/>
                <w:szCs w:val="18"/>
                <w:lang w:eastAsia="hr-HR"/>
              </w:rPr>
            </w:pPr>
          </w:p>
        </w:tc>
        <w:tc>
          <w:tcPr>
            <w:tcW w:w="1184" w:type="dxa"/>
            <w:shd w:val="clear" w:color="auto" w:fill="auto"/>
            <w:noWrap/>
            <w:vAlign w:val="bottom"/>
            <w:hideMark/>
          </w:tcPr>
          <w:p w14:paraId="33EB5A58"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c>
          <w:tcPr>
            <w:tcW w:w="1079" w:type="dxa"/>
            <w:shd w:val="clear" w:color="auto" w:fill="auto"/>
            <w:noWrap/>
            <w:vAlign w:val="bottom"/>
            <w:hideMark/>
          </w:tcPr>
          <w:p w14:paraId="66F5B31D" w14:textId="77777777" w:rsidR="00FB561C" w:rsidRPr="008D4BA4" w:rsidRDefault="00FB561C"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r>
      <w:tr w:rsidR="008D4BA4" w:rsidRPr="00FB561C" w14:paraId="77CBDD89" w14:textId="77777777" w:rsidTr="00116AE2">
        <w:trPr>
          <w:trHeight w:val="274"/>
        </w:trPr>
        <w:tc>
          <w:tcPr>
            <w:tcW w:w="3354" w:type="dxa"/>
            <w:shd w:val="clear" w:color="auto" w:fill="auto"/>
            <w:vAlign w:val="bottom"/>
            <w:hideMark/>
          </w:tcPr>
          <w:p w14:paraId="4AF5DA15" w14:textId="7DCE2ECA" w:rsidR="008D4BA4" w:rsidRPr="00FB561C" w:rsidRDefault="008D4BA4" w:rsidP="008D4BA4">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 xml:space="preserve">Stanje na prvi dan tekućeg razdoblja </w:t>
            </w:r>
          </w:p>
        </w:tc>
        <w:tc>
          <w:tcPr>
            <w:tcW w:w="1108" w:type="dxa"/>
            <w:shd w:val="clear" w:color="auto" w:fill="auto"/>
            <w:noWrap/>
            <w:vAlign w:val="bottom"/>
            <w:hideMark/>
          </w:tcPr>
          <w:p w14:paraId="54BC4732" w14:textId="516AFC10"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6.962.307</w:t>
            </w:r>
          </w:p>
        </w:tc>
        <w:tc>
          <w:tcPr>
            <w:tcW w:w="951" w:type="dxa"/>
            <w:shd w:val="clear" w:color="auto" w:fill="auto"/>
            <w:noWrap/>
            <w:vAlign w:val="bottom"/>
            <w:hideMark/>
          </w:tcPr>
          <w:p w14:paraId="560434C3" w14:textId="2182A6EB"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616.813</w:t>
            </w:r>
          </w:p>
        </w:tc>
        <w:tc>
          <w:tcPr>
            <w:tcW w:w="1172" w:type="dxa"/>
            <w:shd w:val="clear" w:color="auto" w:fill="auto"/>
            <w:noWrap/>
            <w:vAlign w:val="bottom"/>
            <w:hideMark/>
          </w:tcPr>
          <w:p w14:paraId="7A68F062" w14:textId="20C2E576"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927.256</w:t>
            </w:r>
          </w:p>
        </w:tc>
        <w:tc>
          <w:tcPr>
            <w:tcW w:w="1079" w:type="dxa"/>
            <w:shd w:val="clear" w:color="auto" w:fill="auto"/>
            <w:noWrap/>
            <w:vAlign w:val="bottom"/>
            <w:hideMark/>
          </w:tcPr>
          <w:p w14:paraId="26DACDBF" w14:textId="73FF0C80"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297.524</w:t>
            </w:r>
          </w:p>
        </w:tc>
        <w:tc>
          <w:tcPr>
            <w:tcW w:w="1184" w:type="dxa"/>
            <w:shd w:val="clear" w:color="auto" w:fill="auto"/>
            <w:noWrap/>
            <w:vAlign w:val="bottom"/>
            <w:hideMark/>
          </w:tcPr>
          <w:p w14:paraId="3313F2D4" w14:textId="10026A8E"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8.803.901</w:t>
            </w:r>
          </w:p>
        </w:tc>
        <w:tc>
          <w:tcPr>
            <w:tcW w:w="1079" w:type="dxa"/>
            <w:shd w:val="clear" w:color="auto" w:fill="auto"/>
            <w:noWrap/>
            <w:vAlign w:val="bottom"/>
            <w:hideMark/>
          </w:tcPr>
          <w:p w14:paraId="1F576BB6" w14:textId="23F8AEB6"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8.803.901</w:t>
            </w:r>
          </w:p>
        </w:tc>
      </w:tr>
      <w:tr w:rsidR="008D4BA4" w:rsidRPr="00FB561C" w14:paraId="4415CAE1" w14:textId="77777777" w:rsidTr="00116AE2">
        <w:trPr>
          <w:trHeight w:val="274"/>
        </w:trPr>
        <w:tc>
          <w:tcPr>
            <w:tcW w:w="3354" w:type="dxa"/>
            <w:shd w:val="clear" w:color="auto" w:fill="auto"/>
            <w:vAlign w:val="bottom"/>
            <w:hideMark/>
          </w:tcPr>
          <w:p w14:paraId="62FEC85A" w14:textId="284EA21B" w:rsidR="008D4BA4" w:rsidRPr="00FB561C" w:rsidRDefault="008D4BA4"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Dobit/gubitak razdoblja</w:t>
            </w:r>
          </w:p>
        </w:tc>
        <w:tc>
          <w:tcPr>
            <w:tcW w:w="1108" w:type="dxa"/>
            <w:shd w:val="clear" w:color="auto" w:fill="auto"/>
            <w:noWrap/>
            <w:vAlign w:val="bottom"/>
            <w:hideMark/>
          </w:tcPr>
          <w:p w14:paraId="63592100" w14:textId="080F9D09" w:rsidR="008D4BA4" w:rsidRPr="008D4BA4" w:rsidRDefault="008D4BA4"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6D53E3F3" w14:textId="5A08075C" w:rsidR="008D4BA4" w:rsidRPr="008D4BA4" w:rsidRDefault="008D4BA4"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465CD125" w14:textId="32A2EA9A" w:rsidR="008D4BA4" w:rsidRPr="008D4BA4" w:rsidRDefault="008D4BA4" w:rsidP="008D4BA4">
            <w:pPr>
              <w:spacing w:after="0" w:line="240" w:lineRule="auto"/>
              <w:jc w:val="center"/>
              <w:rPr>
                <w:rFonts w:eastAsia="Times New Roman" w:cstheme="minorHAnsi"/>
                <w:sz w:val="18"/>
                <w:szCs w:val="18"/>
                <w:lang w:eastAsia="hr-HR"/>
              </w:rPr>
            </w:pPr>
          </w:p>
        </w:tc>
        <w:tc>
          <w:tcPr>
            <w:tcW w:w="1079" w:type="dxa"/>
            <w:shd w:val="clear" w:color="auto" w:fill="auto"/>
            <w:noWrap/>
            <w:vAlign w:val="bottom"/>
            <w:hideMark/>
          </w:tcPr>
          <w:p w14:paraId="71D0599F" w14:textId="28B01B3C"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41.143</w:t>
            </w:r>
          </w:p>
        </w:tc>
        <w:tc>
          <w:tcPr>
            <w:tcW w:w="1184" w:type="dxa"/>
            <w:shd w:val="clear" w:color="auto" w:fill="auto"/>
            <w:noWrap/>
            <w:vAlign w:val="bottom"/>
            <w:hideMark/>
          </w:tcPr>
          <w:p w14:paraId="610B1927" w14:textId="4A1319D2"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41.143</w:t>
            </w:r>
          </w:p>
        </w:tc>
        <w:tc>
          <w:tcPr>
            <w:tcW w:w="1079" w:type="dxa"/>
            <w:shd w:val="clear" w:color="auto" w:fill="auto"/>
            <w:noWrap/>
            <w:vAlign w:val="bottom"/>
            <w:hideMark/>
          </w:tcPr>
          <w:p w14:paraId="01D0D8B2" w14:textId="150735D6"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41.143</w:t>
            </w:r>
          </w:p>
        </w:tc>
      </w:tr>
      <w:tr w:rsidR="008D4BA4" w:rsidRPr="00FB561C" w14:paraId="7051A044" w14:textId="77777777" w:rsidTr="00116AE2">
        <w:trPr>
          <w:trHeight w:val="274"/>
        </w:trPr>
        <w:tc>
          <w:tcPr>
            <w:tcW w:w="3354" w:type="dxa"/>
            <w:shd w:val="clear" w:color="auto" w:fill="auto"/>
            <w:vAlign w:val="bottom"/>
            <w:hideMark/>
          </w:tcPr>
          <w:p w14:paraId="1314E5A5" w14:textId="3A35B74D" w:rsidR="008D4BA4" w:rsidRPr="00FB561C" w:rsidRDefault="008D4BA4" w:rsidP="008D4BA4">
            <w:pPr>
              <w:spacing w:after="0" w:line="240" w:lineRule="auto"/>
              <w:rPr>
                <w:rFonts w:eastAsia="Times New Roman" w:cstheme="minorHAnsi"/>
                <w:sz w:val="18"/>
                <w:szCs w:val="18"/>
                <w:lang w:eastAsia="hr-HR"/>
              </w:rPr>
            </w:pPr>
            <w:r w:rsidRPr="00FB561C">
              <w:rPr>
                <w:rFonts w:eastAsia="Times New Roman" w:cstheme="minorHAnsi"/>
                <w:sz w:val="18"/>
                <w:szCs w:val="18"/>
                <w:lang w:eastAsia="hr-HR"/>
              </w:rPr>
              <w:t>Prijenosi po godišnjem rasporedu</w:t>
            </w:r>
          </w:p>
        </w:tc>
        <w:tc>
          <w:tcPr>
            <w:tcW w:w="1108" w:type="dxa"/>
            <w:shd w:val="clear" w:color="auto" w:fill="auto"/>
            <w:noWrap/>
            <w:vAlign w:val="bottom"/>
            <w:hideMark/>
          </w:tcPr>
          <w:p w14:paraId="23BAB57F" w14:textId="3DED37D5" w:rsidR="008D4BA4" w:rsidRPr="008D4BA4" w:rsidRDefault="008D4BA4" w:rsidP="008D4BA4">
            <w:pPr>
              <w:spacing w:after="0" w:line="240" w:lineRule="auto"/>
              <w:jc w:val="center"/>
              <w:rPr>
                <w:rFonts w:eastAsia="Times New Roman" w:cstheme="minorHAnsi"/>
                <w:sz w:val="18"/>
                <w:szCs w:val="18"/>
                <w:lang w:eastAsia="hr-HR"/>
              </w:rPr>
            </w:pPr>
          </w:p>
        </w:tc>
        <w:tc>
          <w:tcPr>
            <w:tcW w:w="951" w:type="dxa"/>
            <w:shd w:val="clear" w:color="auto" w:fill="auto"/>
            <w:noWrap/>
            <w:vAlign w:val="bottom"/>
            <w:hideMark/>
          </w:tcPr>
          <w:p w14:paraId="4CD198B6" w14:textId="5083B966" w:rsidR="008D4BA4" w:rsidRPr="008D4BA4" w:rsidRDefault="008D4BA4" w:rsidP="008D4BA4">
            <w:pPr>
              <w:spacing w:after="0" w:line="240" w:lineRule="auto"/>
              <w:jc w:val="center"/>
              <w:rPr>
                <w:rFonts w:eastAsia="Times New Roman" w:cstheme="minorHAnsi"/>
                <w:sz w:val="18"/>
                <w:szCs w:val="18"/>
                <w:lang w:eastAsia="hr-HR"/>
              </w:rPr>
            </w:pPr>
          </w:p>
        </w:tc>
        <w:tc>
          <w:tcPr>
            <w:tcW w:w="1172" w:type="dxa"/>
            <w:shd w:val="clear" w:color="auto" w:fill="auto"/>
            <w:noWrap/>
            <w:vAlign w:val="bottom"/>
            <w:hideMark/>
          </w:tcPr>
          <w:p w14:paraId="1FDC5436" w14:textId="2EAB12BE"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297.524</w:t>
            </w:r>
          </w:p>
        </w:tc>
        <w:tc>
          <w:tcPr>
            <w:tcW w:w="1079" w:type="dxa"/>
            <w:shd w:val="clear" w:color="auto" w:fill="auto"/>
            <w:noWrap/>
            <w:vAlign w:val="bottom"/>
            <w:hideMark/>
          </w:tcPr>
          <w:p w14:paraId="62976A24" w14:textId="79C9DE06" w:rsidR="008D4BA4" w:rsidRPr="008D4BA4" w:rsidRDefault="008D4BA4" w:rsidP="008D4BA4">
            <w:pPr>
              <w:spacing w:after="0" w:line="240" w:lineRule="auto"/>
              <w:jc w:val="center"/>
              <w:rPr>
                <w:rFonts w:eastAsia="Times New Roman" w:cstheme="minorHAnsi"/>
                <w:sz w:val="18"/>
                <w:szCs w:val="18"/>
                <w:lang w:eastAsia="hr-HR"/>
              </w:rPr>
            </w:pPr>
            <w:r w:rsidRPr="008D4BA4">
              <w:rPr>
                <w:rFonts w:ascii="Calibri" w:hAnsi="Calibri" w:cs="Calibri"/>
                <w:sz w:val="18"/>
                <w:szCs w:val="18"/>
              </w:rPr>
              <w:t>-297.524</w:t>
            </w:r>
          </w:p>
        </w:tc>
        <w:tc>
          <w:tcPr>
            <w:tcW w:w="1184" w:type="dxa"/>
            <w:shd w:val="clear" w:color="auto" w:fill="auto"/>
            <w:noWrap/>
            <w:vAlign w:val="bottom"/>
            <w:hideMark/>
          </w:tcPr>
          <w:p w14:paraId="65CFCEB4" w14:textId="77777777" w:rsidR="008D4BA4" w:rsidRPr="008D4BA4" w:rsidRDefault="008D4BA4"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c>
          <w:tcPr>
            <w:tcW w:w="1079" w:type="dxa"/>
            <w:shd w:val="clear" w:color="auto" w:fill="auto"/>
            <w:noWrap/>
            <w:vAlign w:val="bottom"/>
            <w:hideMark/>
          </w:tcPr>
          <w:p w14:paraId="7039B13F" w14:textId="77777777" w:rsidR="008D4BA4" w:rsidRPr="008D4BA4" w:rsidRDefault="008D4BA4" w:rsidP="008D4BA4">
            <w:pPr>
              <w:spacing w:after="0" w:line="240" w:lineRule="auto"/>
              <w:jc w:val="center"/>
              <w:rPr>
                <w:rFonts w:eastAsia="Times New Roman" w:cstheme="minorHAnsi"/>
                <w:sz w:val="18"/>
                <w:szCs w:val="18"/>
                <w:lang w:eastAsia="hr-HR"/>
              </w:rPr>
            </w:pPr>
            <w:r w:rsidRPr="008D4BA4">
              <w:rPr>
                <w:rFonts w:eastAsia="Times New Roman" w:cstheme="minorHAnsi"/>
                <w:sz w:val="18"/>
                <w:szCs w:val="18"/>
                <w:lang w:eastAsia="hr-HR"/>
              </w:rPr>
              <w:t>0</w:t>
            </w:r>
          </w:p>
        </w:tc>
      </w:tr>
      <w:tr w:rsidR="008D4BA4" w:rsidRPr="00FB561C" w14:paraId="713E4A82" w14:textId="77777777" w:rsidTr="00116AE2">
        <w:trPr>
          <w:trHeight w:val="274"/>
        </w:trPr>
        <w:tc>
          <w:tcPr>
            <w:tcW w:w="3354" w:type="dxa"/>
            <w:shd w:val="clear" w:color="auto" w:fill="auto"/>
            <w:vAlign w:val="bottom"/>
            <w:hideMark/>
          </w:tcPr>
          <w:p w14:paraId="147852C9" w14:textId="6AE75A05" w:rsidR="008D4BA4" w:rsidRPr="00FB561C" w:rsidRDefault="008D4BA4" w:rsidP="008D4BA4">
            <w:pPr>
              <w:spacing w:after="0" w:line="240" w:lineRule="auto"/>
              <w:rPr>
                <w:rFonts w:eastAsia="Times New Roman" w:cstheme="minorHAnsi"/>
                <w:b/>
                <w:bCs/>
                <w:sz w:val="18"/>
                <w:szCs w:val="18"/>
                <w:lang w:eastAsia="hr-HR"/>
              </w:rPr>
            </w:pPr>
            <w:r w:rsidRPr="00FB561C">
              <w:rPr>
                <w:rFonts w:eastAsia="Times New Roman" w:cstheme="minorHAnsi"/>
                <w:b/>
                <w:bCs/>
                <w:sz w:val="18"/>
                <w:szCs w:val="18"/>
                <w:lang w:eastAsia="hr-HR"/>
              </w:rPr>
              <w:t xml:space="preserve">Stanje na zadnji dan tekućeg razdoblja </w:t>
            </w:r>
          </w:p>
        </w:tc>
        <w:tc>
          <w:tcPr>
            <w:tcW w:w="1108" w:type="dxa"/>
            <w:shd w:val="clear" w:color="auto" w:fill="auto"/>
            <w:noWrap/>
            <w:vAlign w:val="bottom"/>
            <w:hideMark/>
          </w:tcPr>
          <w:p w14:paraId="670CAC01" w14:textId="2B56E3CA"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6.962.307</w:t>
            </w:r>
          </w:p>
        </w:tc>
        <w:tc>
          <w:tcPr>
            <w:tcW w:w="951" w:type="dxa"/>
            <w:shd w:val="clear" w:color="auto" w:fill="auto"/>
            <w:noWrap/>
            <w:vAlign w:val="bottom"/>
            <w:hideMark/>
          </w:tcPr>
          <w:p w14:paraId="6C2F8B09" w14:textId="6793B81F"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616.813</w:t>
            </w:r>
          </w:p>
        </w:tc>
        <w:tc>
          <w:tcPr>
            <w:tcW w:w="1172" w:type="dxa"/>
            <w:shd w:val="clear" w:color="auto" w:fill="auto"/>
            <w:noWrap/>
            <w:vAlign w:val="bottom"/>
            <w:hideMark/>
          </w:tcPr>
          <w:p w14:paraId="76F5CEF4" w14:textId="3096A2EB"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1.224.781</w:t>
            </w:r>
          </w:p>
        </w:tc>
        <w:tc>
          <w:tcPr>
            <w:tcW w:w="1079" w:type="dxa"/>
            <w:shd w:val="clear" w:color="auto" w:fill="auto"/>
            <w:noWrap/>
            <w:vAlign w:val="bottom"/>
            <w:hideMark/>
          </w:tcPr>
          <w:p w14:paraId="4F115C0D" w14:textId="54EDEAF3"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41.143</w:t>
            </w:r>
          </w:p>
        </w:tc>
        <w:tc>
          <w:tcPr>
            <w:tcW w:w="1184" w:type="dxa"/>
            <w:shd w:val="clear" w:color="auto" w:fill="auto"/>
            <w:noWrap/>
            <w:vAlign w:val="bottom"/>
            <w:hideMark/>
          </w:tcPr>
          <w:p w14:paraId="680550D6" w14:textId="35560D50" w:rsidR="008D4BA4" w:rsidRPr="008D4BA4" w:rsidRDefault="008D4BA4" w:rsidP="008D4BA4">
            <w:pPr>
              <w:spacing w:after="0" w:line="240" w:lineRule="auto"/>
              <w:jc w:val="center"/>
              <w:rPr>
                <w:rFonts w:eastAsia="Times New Roman" w:cstheme="minorHAnsi"/>
                <w:b/>
                <w:bCs/>
                <w:sz w:val="18"/>
                <w:szCs w:val="18"/>
                <w:lang w:eastAsia="hr-HR"/>
              </w:rPr>
            </w:pPr>
            <w:r w:rsidRPr="008D4BA4">
              <w:rPr>
                <w:rFonts w:ascii="Calibri" w:hAnsi="Calibri" w:cs="Calibri"/>
                <w:b/>
                <w:bCs/>
                <w:sz w:val="18"/>
                <w:szCs w:val="18"/>
              </w:rPr>
              <w:t>8.845.044</w:t>
            </w:r>
          </w:p>
        </w:tc>
        <w:tc>
          <w:tcPr>
            <w:tcW w:w="1079" w:type="dxa"/>
            <w:shd w:val="clear" w:color="auto" w:fill="auto"/>
            <w:noWrap/>
            <w:vAlign w:val="bottom"/>
            <w:hideMark/>
          </w:tcPr>
          <w:p w14:paraId="5C6E65BE" w14:textId="77777777" w:rsidR="008D4BA4" w:rsidRPr="008D4BA4" w:rsidRDefault="008D4BA4" w:rsidP="008D4BA4">
            <w:pPr>
              <w:pStyle w:val="NoSpacing"/>
              <w:rPr>
                <w:b/>
                <w:bCs/>
                <w:sz w:val="18"/>
                <w:szCs w:val="18"/>
              </w:rPr>
            </w:pPr>
            <w:r w:rsidRPr="008D4BA4">
              <w:rPr>
                <w:b/>
                <w:bCs/>
                <w:sz w:val="18"/>
                <w:szCs w:val="18"/>
              </w:rPr>
              <w:t>8.845.044</w:t>
            </w:r>
          </w:p>
          <w:p w14:paraId="2EFB1416" w14:textId="0A3A5322" w:rsidR="008D4BA4" w:rsidRPr="008D4BA4" w:rsidRDefault="008D4BA4" w:rsidP="008D4BA4">
            <w:pPr>
              <w:spacing w:after="0" w:line="240" w:lineRule="auto"/>
              <w:jc w:val="center"/>
              <w:rPr>
                <w:rFonts w:eastAsia="Times New Roman" w:cstheme="minorHAnsi"/>
                <w:b/>
                <w:bCs/>
                <w:sz w:val="18"/>
                <w:szCs w:val="18"/>
                <w:lang w:eastAsia="hr-HR"/>
              </w:rPr>
            </w:pPr>
          </w:p>
        </w:tc>
      </w:tr>
    </w:tbl>
    <w:p w14:paraId="044F445C" w14:textId="1C211E1E" w:rsidR="009E022A" w:rsidRPr="002E54A6" w:rsidRDefault="009E022A" w:rsidP="00D35E40">
      <w:pPr>
        <w:spacing w:line="240" w:lineRule="auto"/>
        <w:jc w:val="both"/>
        <w:rPr>
          <w:color w:val="FF0000"/>
        </w:rPr>
      </w:pPr>
    </w:p>
    <w:p w14:paraId="118D4FF2" w14:textId="77777777" w:rsidR="00961375" w:rsidRPr="00961375" w:rsidRDefault="00961375" w:rsidP="00961375">
      <w:pPr>
        <w:spacing w:before="120" w:after="120" w:line="360" w:lineRule="auto"/>
        <w:jc w:val="both"/>
      </w:pPr>
      <w:r w:rsidRPr="00961375">
        <w:t>Stanje kapitala na dan 31. prosinca 2023. godine, nakon utvrđivanja dobiti razdoblja, iznosilo je 8.803.901 eura. Na dan 31. prosinca 2024. godine, ukupni kapital Društva iznosi 8.845.044 eura, što predstavlja povećanje za 41.143 eura u odnosu na prethodno razdoblje. Povećanje se odnosi na ostvarenu dobit tekuće godine, koja je iskazana na poziciji dobiti razdoblja.</w:t>
      </w:r>
    </w:p>
    <w:p w14:paraId="6C76352E" w14:textId="644D1492" w:rsidR="00961375" w:rsidRPr="00961375" w:rsidRDefault="00961375" w:rsidP="00961375">
      <w:pPr>
        <w:spacing w:before="120" w:after="120" w:line="360" w:lineRule="auto"/>
        <w:jc w:val="both"/>
      </w:pPr>
      <w:r w:rsidRPr="00961375">
        <w:t>Temeljni (upisani) kapital na dan 31. prosinca 2024. godine iznosi 6.962.307 eura te je nepromijenjen u odnosu na prethodnu godinu.</w:t>
      </w:r>
      <w:r>
        <w:t xml:space="preserve"> </w:t>
      </w:r>
      <w:r w:rsidRPr="00961375">
        <w:t>Kapitalne rezerve iskazane su u iznosu od 616.813 eura i također su nepromijenjene u odnosu na stanje na dan 31. prosinca 2023. godine.</w:t>
      </w:r>
    </w:p>
    <w:p w14:paraId="52BBCBB3" w14:textId="001FB2E5" w:rsidR="00961375" w:rsidRDefault="00961375" w:rsidP="00961375">
      <w:pPr>
        <w:spacing w:before="120" w:after="120" w:line="360" w:lineRule="auto"/>
        <w:jc w:val="both"/>
      </w:pPr>
      <w:r w:rsidRPr="00961375">
        <w:t>Na poziciji zadržane dobiti iskazan je iznos od 1.224.781 eura, koji je povećan u odnosu na prethodno razdoblje zbog uključenja dobiti ostvarene u 2023. godini, u iznosu od 297.524 eura, temeljem godišnjeg rasporeda.</w:t>
      </w:r>
    </w:p>
    <w:p w14:paraId="2EFD36FC" w14:textId="27958A1C" w:rsidR="00961375" w:rsidRPr="00961375" w:rsidRDefault="00961375" w:rsidP="00961375">
      <w:pPr>
        <w:spacing w:before="120" w:after="120" w:line="360" w:lineRule="auto"/>
        <w:jc w:val="both"/>
      </w:pPr>
      <w:r>
        <w:t>D</w:t>
      </w:r>
      <w:r w:rsidRPr="00961375">
        <w:t>obit tekuće godine</w:t>
      </w:r>
      <w:r>
        <w:t xml:space="preserve"> </w:t>
      </w:r>
      <w:r w:rsidRPr="00961375">
        <w:t xml:space="preserve">iskazana je u iznosu od </w:t>
      </w:r>
      <w:r w:rsidRPr="00961375">
        <w:rPr>
          <w:b/>
          <w:bCs/>
        </w:rPr>
        <w:t>41.143 eura</w:t>
      </w:r>
      <w:r w:rsidRPr="00961375">
        <w:t xml:space="preserve"> i pridodana ukupnom kapitalu.</w:t>
      </w:r>
    </w:p>
    <w:p w14:paraId="35995AD6" w14:textId="77777777" w:rsidR="00961375" w:rsidRPr="00961375" w:rsidRDefault="00961375" w:rsidP="00961375">
      <w:pPr>
        <w:spacing w:before="120" w:after="120" w:line="360" w:lineRule="auto"/>
        <w:jc w:val="both"/>
      </w:pPr>
    </w:p>
    <w:p w14:paraId="7FEE9FB0" w14:textId="55CCD0E6" w:rsidR="00530DF3" w:rsidRDefault="00D515BD" w:rsidP="00CF348F">
      <w:pPr>
        <w:pStyle w:val="Heading2"/>
        <w:rPr>
          <w:rFonts w:asciiTheme="minorHAnsi" w:hAnsiTheme="minorHAnsi" w:cstheme="minorHAnsi"/>
          <w:szCs w:val="24"/>
        </w:rPr>
      </w:pPr>
      <w:bookmarkStart w:id="29" w:name="_Toc200094273"/>
      <w:r>
        <w:rPr>
          <w:rFonts w:asciiTheme="minorHAnsi" w:hAnsiTheme="minorHAnsi" w:cstheme="minorHAnsi"/>
          <w:szCs w:val="24"/>
        </w:rPr>
        <w:lastRenderedPageBreak/>
        <w:t>5</w:t>
      </w:r>
      <w:r w:rsidR="004C038D" w:rsidRPr="00B80412">
        <w:rPr>
          <w:rFonts w:asciiTheme="minorHAnsi" w:hAnsiTheme="minorHAnsi" w:cstheme="minorHAnsi"/>
          <w:szCs w:val="24"/>
        </w:rPr>
        <w:t>. FINANCIJSKI POKAZATELJI POSLOVANJA</w:t>
      </w:r>
      <w:bookmarkEnd w:id="29"/>
      <w:r w:rsidR="00FC2EE5" w:rsidRPr="00B80412">
        <w:rPr>
          <w:rFonts w:asciiTheme="minorHAnsi" w:hAnsiTheme="minorHAnsi" w:cstheme="minorHAnsi"/>
          <w:szCs w:val="24"/>
        </w:rPr>
        <w:t xml:space="preserve"> </w:t>
      </w:r>
    </w:p>
    <w:p w14:paraId="59641ABF" w14:textId="77777777" w:rsidR="00CF348F" w:rsidRPr="00CF348F" w:rsidRDefault="00CF348F" w:rsidP="00CF348F"/>
    <w:p w14:paraId="7BE80CC7" w14:textId="1FE484AB" w:rsidR="00121F69" w:rsidRDefault="00121F69" w:rsidP="00121F69">
      <w:pPr>
        <w:spacing w:line="360" w:lineRule="auto"/>
        <w:jc w:val="both"/>
      </w:pPr>
      <w:r w:rsidRPr="001C59D5">
        <w:t>Analiza se vrši putem skupine financijskih pokazatelja kojima se utvrđuje uspješnost i sigurnost poslovanja nakon usporedbe sa standardiziranim veličinama koje se primjenjuju u praksi.</w:t>
      </w:r>
    </w:p>
    <w:p w14:paraId="6BDFF283" w14:textId="44475626" w:rsidR="00336160" w:rsidRPr="0042548A" w:rsidRDefault="00D515BD" w:rsidP="00E9501A">
      <w:pPr>
        <w:pStyle w:val="Heading2"/>
      </w:pPr>
      <w:bookmarkStart w:id="30" w:name="_Toc200094274"/>
      <w:r>
        <w:t>5</w:t>
      </w:r>
      <w:r w:rsidR="00336160" w:rsidRPr="0042548A">
        <w:t>.1. Pokazatelji likvidnosti</w:t>
      </w:r>
      <w:bookmarkEnd w:id="30"/>
    </w:p>
    <w:p w14:paraId="6E3B83F9" w14:textId="587B133F" w:rsidR="00336160" w:rsidRDefault="00336160" w:rsidP="00336160">
      <w:pPr>
        <w:spacing w:before="240" w:line="360" w:lineRule="auto"/>
        <w:jc w:val="both"/>
      </w:pPr>
      <w:r w:rsidRPr="001C59D5">
        <w:t xml:space="preserve">Likvidnost poslovanja predstavlja sposobnost trgovačkog društva za pravodobno namirenje dospjelih kratkoročnih obveza. </w:t>
      </w:r>
      <w:r w:rsidR="00C2422B">
        <w:t xml:space="preserve"> U tablici 7. prikazani su pokazatelji likvidnosti u razdoblju od 20</w:t>
      </w:r>
      <w:r w:rsidR="008956B3">
        <w:t>2</w:t>
      </w:r>
      <w:r w:rsidR="00885CD0">
        <w:t>1</w:t>
      </w:r>
      <w:r w:rsidR="0037109D">
        <w:t xml:space="preserve">. </w:t>
      </w:r>
      <w:r w:rsidR="00C2422B">
        <w:t>do 202</w:t>
      </w:r>
      <w:r w:rsidR="00885CD0">
        <w:t>4</w:t>
      </w:r>
      <w:r w:rsidR="0037109D">
        <w:t>. godine.</w:t>
      </w:r>
    </w:p>
    <w:p w14:paraId="6B543B7B" w14:textId="7AB9D75F" w:rsidR="002476A4" w:rsidRDefault="002476A4" w:rsidP="00336160">
      <w:pPr>
        <w:spacing w:before="240" w:line="360" w:lineRule="auto"/>
        <w:jc w:val="both"/>
      </w:pPr>
      <w:bookmarkStart w:id="31" w:name="_Toc200366445"/>
      <w:r w:rsidRPr="002476A4">
        <w:rPr>
          <w:rFonts w:cstheme="minorHAnsi"/>
          <w:b/>
          <w:bCs/>
        </w:rPr>
        <w:t xml:space="preserve">Tablica </w:t>
      </w:r>
      <w:r w:rsidRPr="002476A4">
        <w:rPr>
          <w:rFonts w:eastAsia="Times New Roman" w:cstheme="minorHAnsi"/>
          <w:b/>
          <w:bCs/>
        </w:rPr>
        <w:fldChar w:fldCharType="begin"/>
      </w:r>
      <w:r w:rsidRPr="002476A4">
        <w:rPr>
          <w:rFonts w:cstheme="minorHAnsi"/>
          <w:b/>
          <w:bCs/>
        </w:rPr>
        <w:instrText xml:space="preserve"> SEQ Tablica \* ARABIC </w:instrText>
      </w:r>
      <w:r w:rsidRPr="002476A4">
        <w:rPr>
          <w:rFonts w:eastAsia="Times New Roman" w:cstheme="minorHAnsi"/>
          <w:b/>
          <w:bCs/>
        </w:rPr>
        <w:fldChar w:fldCharType="separate"/>
      </w:r>
      <w:r w:rsidR="00A1075A">
        <w:rPr>
          <w:rFonts w:cstheme="minorHAnsi"/>
          <w:b/>
          <w:bCs/>
          <w:noProof/>
        </w:rPr>
        <w:t>7</w:t>
      </w:r>
      <w:r w:rsidRPr="002476A4">
        <w:rPr>
          <w:rFonts w:eastAsia="Times New Roman" w:cstheme="minorHAnsi"/>
          <w:b/>
          <w:bCs/>
        </w:rPr>
        <w:fldChar w:fldCharType="end"/>
      </w:r>
      <w:r w:rsidRPr="002476A4">
        <w:rPr>
          <w:rFonts w:cstheme="minorHAnsi"/>
          <w:b/>
          <w:bCs/>
        </w:rPr>
        <w:t>.</w:t>
      </w:r>
      <w:r w:rsidRPr="002476A4">
        <w:rPr>
          <w:rFonts w:cstheme="minorHAnsi"/>
        </w:rPr>
        <w:t xml:space="preserve"> Pokazatelji likvidnosti</w:t>
      </w:r>
      <w:bookmarkEnd w:id="31"/>
    </w:p>
    <w:tbl>
      <w:tblPr>
        <w:tblW w:w="975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81"/>
        <w:gridCol w:w="1036"/>
        <w:gridCol w:w="1036"/>
        <w:gridCol w:w="886"/>
        <w:gridCol w:w="886"/>
        <w:gridCol w:w="1156"/>
        <w:gridCol w:w="3072"/>
      </w:tblGrid>
      <w:tr w:rsidR="00885CD0" w:rsidRPr="008956B3" w14:paraId="39D655FE" w14:textId="77777777" w:rsidTr="005C54EA">
        <w:trPr>
          <w:trHeight w:val="405"/>
        </w:trPr>
        <w:tc>
          <w:tcPr>
            <w:tcW w:w="1681" w:type="dxa"/>
            <w:tcBorders>
              <w:top w:val="single" w:sz="4" w:space="0" w:color="auto"/>
              <w:bottom w:val="single" w:sz="4" w:space="0" w:color="auto"/>
            </w:tcBorders>
            <w:shd w:val="clear" w:color="auto" w:fill="auto"/>
            <w:noWrap/>
            <w:vAlign w:val="center"/>
            <w:hideMark/>
          </w:tcPr>
          <w:p w14:paraId="14A256F7" w14:textId="77777777" w:rsidR="00885CD0" w:rsidRPr="008956B3" w:rsidRDefault="00885CD0" w:rsidP="00885CD0">
            <w:pPr>
              <w:spacing w:after="0" w:line="240" w:lineRule="auto"/>
              <w:rPr>
                <w:rFonts w:eastAsia="Times New Roman" w:cstheme="minorHAnsi"/>
                <w:b/>
                <w:bCs/>
                <w:sz w:val="18"/>
                <w:szCs w:val="18"/>
                <w:lang w:eastAsia="hr-HR"/>
              </w:rPr>
            </w:pPr>
            <w:r w:rsidRPr="008956B3">
              <w:rPr>
                <w:rFonts w:eastAsia="Times New Roman" w:cstheme="minorHAnsi"/>
                <w:b/>
                <w:bCs/>
                <w:sz w:val="18"/>
                <w:szCs w:val="18"/>
                <w:lang w:eastAsia="hr-HR"/>
              </w:rPr>
              <w:t>Opis</w:t>
            </w:r>
          </w:p>
        </w:tc>
        <w:tc>
          <w:tcPr>
            <w:tcW w:w="1036" w:type="dxa"/>
            <w:tcBorders>
              <w:top w:val="single" w:sz="4" w:space="0" w:color="auto"/>
              <w:bottom w:val="single" w:sz="4" w:space="0" w:color="auto"/>
            </w:tcBorders>
            <w:shd w:val="clear" w:color="auto" w:fill="auto"/>
            <w:noWrap/>
            <w:vAlign w:val="center"/>
            <w:hideMark/>
          </w:tcPr>
          <w:p w14:paraId="66536A64" w14:textId="0DFC2D97"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b/>
                <w:bCs/>
                <w:sz w:val="18"/>
                <w:szCs w:val="18"/>
                <w:lang w:eastAsia="hr-HR"/>
              </w:rPr>
              <w:t>2021</w:t>
            </w:r>
          </w:p>
        </w:tc>
        <w:tc>
          <w:tcPr>
            <w:tcW w:w="1036" w:type="dxa"/>
            <w:tcBorders>
              <w:top w:val="single" w:sz="4" w:space="0" w:color="auto"/>
              <w:bottom w:val="single" w:sz="4" w:space="0" w:color="auto"/>
            </w:tcBorders>
            <w:shd w:val="clear" w:color="auto" w:fill="auto"/>
            <w:noWrap/>
            <w:vAlign w:val="center"/>
            <w:hideMark/>
          </w:tcPr>
          <w:p w14:paraId="29255C11" w14:textId="7387E60D"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b/>
                <w:bCs/>
                <w:sz w:val="18"/>
                <w:szCs w:val="18"/>
                <w:lang w:eastAsia="hr-HR"/>
              </w:rPr>
              <w:t>2022</w:t>
            </w:r>
          </w:p>
        </w:tc>
        <w:tc>
          <w:tcPr>
            <w:tcW w:w="886" w:type="dxa"/>
            <w:tcBorders>
              <w:top w:val="single" w:sz="4" w:space="0" w:color="auto"/>
              <w:bottom w:val="single" w:sz="4" w:space="0" w:color="auto"/>
            </w:tcBorders>
            <w:shd w:val="clear" w:color="auto" w:fill="auto"/>
            <w:noWrap/>
            <w:vAlign w:val="center"/>
            <w:hideMark/>
          </w:tcPr>
          <w:p w14:paraId="1949B492" w14:textId="4D002AC7"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b/>
                <w:bCs/>
                <w:sz w:val="18"/>
                <w:szCs w:val="18"/>
                <w:lang w:eastAsia="hr-HR"/>
              </w:rPr>
              <w:t>2023</w:t>
            </w:r>
          </w:p>
        </w:tc>
        <w:tc>
          <w:tcPr>
            <w:tcW w:w="886" w:type="dxa"/>
            <w:tcBorders>
              <w:top w:val="single" w:sz="4" w:space="0" w:color="auto"/>
              <w:bottom w:val="single" w:sz="4" w:space="0" w:color="auto"/>
            </w:tcBorders>
            <w:vAlign w:val="center"/>
          </w:tcPr>
          <w:p w14:paraId="4A8F834F" w14:textId="2D527E3F"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b/>
                <w:bCs/>
                <w:sz w:val="18"/>
                <w:szCs w:val="18"/>
                <w:lang w:eastAsia="hr-HR"/>
              </w:rPr>
              <w:t>202</w:t>
            </w:r>
            <w:r>
              <w:rPr>
                <w:rFonts w:eastAsia="Times New Roman" w:cstheme="minorHAnsi"/>
                <w:b/>
                <w:bCs/>
                <w:sz w:val="18"/>
                <w:szCs w:val="18"/>
                <w:lang w:eastAsia="hr-HR"/>
              </w:rPr>
              <w:t>4</w:t>
            </w:r>
          </w:p>
        </w:tc>
        <w:tc>
          <w:tcPr>
            <w:tcW w:w="1156" w:type="dxa"/>
            <w:tcBorders>
              <w:top w:val="single" w:sz="4" w:space="0" w:color="auto"/>
              <w:bottom w:val="single" w:sz="4" w:space="0" w:color="auto"/>
            </w:tcBorders>
            <w:shd w:val="clear" w:color="auto" w:fill="auto"/>
            <w:vAlign w:val="center"/>
            <w:hideMark/>
          </w:tcPr>
          <w:p w14:paraId="3BA107F3" w14:textId="133DF292" w:rsidR="00885CD0" w:rsidRPr="008956B3" w:rsidRDefault="00885CD0" w:rsidP="00885CD0">
            <w:pPr>
              <w:spacing w:after="0" w:line="240" w:lineRule="auto"/>
              <w:rPr>
                <w:rFonts w:eastAsia="Times New Roman" w:cstheme="minorHAnsi"/>
                <w:b/>
                <w:bCs/>
                <w:sz w:val="18"/>
                <w:szCs w:val="18"/>
                <w:lang w:eastAsia="hr-HR"/>
              </w:rPr>
            </w:pPr>
            <w:r w:rsidRPr="008956B3">
              <w:rPr>
                <w:rFonts w:eastAsia="Times New Roman" w:cstheme="minorHAnsi"/>
                <w:b/>
                <w:bCs/>
                <w:sz w:val="18"/>
                <w:szCs w:val="18"/>
                <w:lang w:eastAsia="hr-HR"/>
              </w:rPr>
              <w:t>Referentna vrijednost</w:t>
            </w:r>
          </w:p>
        </w:tc>
        <w:tc>
          <w:tcPr>
            <w:tcW w:w="3072" w:type="dxa"/>
            <w:tcBorders>
              <w:top w:val="single" w:sz="4" w:space="0" w:color="auto"/>
              <w:bottom w:val="single" w:sz="4" w:space="0" w:color="auto"/>
            </w:tcBorders>
            <w:shd w:val="clear" w:color="auto" w:fill="auto"/>
            <w:vAlign w:val="center"/>
            <w:hideMark/>
          </w:tcPr>
          <w:p w14:paraId="2BBAD6FC" w14:textId="77777777" w:rsidR="00885CD0" w:rsidRPr="008956B3" w:rsidRDefault="00885CD0" w:rsidP="00885CD0">
            <w:pPr>
              <w:spacing w:after="0" w:line="240" w:lineRule="auto"/>
              <w:rPr>
                <w:rFonts w:eastAsia="Times New Roman" w:cstheme="minorHAnsi"/>
                <w:b/>
                <w:bCs/>
                <w:sz w:val="18"/>
                <w:szCs w:val="18"/>
                <w:lang w:eastAsia="hr-HR"/>
              </w:rPr>
            </w:pPr>
            <w:r w:rsidRPr="008956B3">
              <w:rPr>
                <w:rFonts w:eastAsia="Times New Roman" w:cstheme="minorHAnsi"/>
                <w:b/>
                <w:bCs/>
                <w:sz w:val="18"/>
                <w:szCs w:val="18"/>
                <w:lang w:eastAsia="hr-HR"/>
              </w:rPr>
              <w:t>Ocjena stanja</w:t>
            </w:r>
          </w:p>
        </w:tc>
      </w:tr>
      <w:tr w:rsidR="00885CD0" w:rsidRPr="008956B3" w14:paraId="5AB463EC" w14:textId="77777777" w:rsidTr="005C54EA">
        <w:trPr>
          <w:trHeight w:val="567"/>
        </w:trPr>
        <w:tc>
          <w:tcPr>
            <w:tcW w:w="1681" w:type="dxa"/>
            <w:tcBorders>
              <w:top w:val="single" w:sz="4" w:space="0" w:color="auto"/>
            </w:tcBorders>
            <w:shd w:val="clear" w:color="auto" w:fill="auto"/>
            <w:noWrap/>
            <w:vAlign w:val="center"/>
            <w:hideMark/>
          </w:tcPr>
          <w:p w14:paraId="6EADBFF2" w14:textId="77777777" w:rsidR="00885CD0" w:rsidRPr="008956B3" w:rsidRDefault="00885CD0" w:rsidP="00885CD0">
            <w:pPr>
              <w:spacing w:after="0" w:line="240" w:lineRule="auto"/>
              <w:rPr>
                <w:rFonts w:eastAsia="Times New Roman" w:cstheme="minorHAnsi"/>
                <w:b/>
                <w:bCs/>
                <w:sz w:val="18"/>
                <w:szCs w:val="18"/>
                <w:lang w:eastAsia="hr-HR"/>
              </w:rPr>
            </w:pPr>
            <w:r w:rsidRPr="008956B3">
              <w:rPr>
                <w:rFonts w:eastAsia="Times New Roman" w:cstheme="minorHAnsi"/>
                <w:sz w:val="18"/>
                <w:szCs w:val="18"/>
                <w:lang w:eastAsia="hr-HR"/>
              </w:rPr>
              <w:t>Koeficijent tekuće likvidnosti</w:t>
            </w:r>
          </w:p>
        </w:tc>
        <w:tc>
          <w:tcPr>
            <w:tcW w:w="1036" w:type="dxa"/>
            <w:tcBorders>
              <w:top w:val="single" w:sz="4" w:space="0" w:color="auto"/>
            </w:tcBorders>
            <w:shd w:val="clear" w:color="auto" w:fill="auto"/>
            <w:noWrap/>
            <w:vAlign w:val="center"/>
            <w:hideMark/>
          </w:tcPr>
          <w:p w14:paraId="25B8DC49" w14:textId="34C4AE30"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sz w:val="18"/>
                <w:szCs w:val="18"/>
                <w:lang w:eastAsia="hr-HR"/>
              </w:rPr>
              <w:t>0,49</w:t>
            </w:r>
          </w:p>
        </w:tc>
        <w:tc>
          <w:tcPr>
            <w:tcW w:w="1036" w:type="dxa"/>
            <w:tcBorders>
              <w:top w:val="single" w:sz="4" w:space="0" w:color="auto"/>
            </w:tcBorders>
            <w:shd w:val="clear" w:color="auto" w:fill="auto"/>
            <w:noWrap/>
            <w:vAlign w:val="center"/>
            <w:hideMark/>
          </w:tcPr>
          <w:p w14:paraId="3FE7A9FF" w14:textId="60936A93"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sz w:val="18"/>
                <w:szCs w:val="18"/>
                <w:lang w:eastAsia="hr-HR"/>
              </w:rPr>
              <w:t>0,90</w:t>
            </w:r>
          </w:p>
        </w:tc>
        <w:tc>
          <w:tcPr>
            <w:tcW w:w="886" w:type="dxa"/>
            <w:tcBorders>
              <w:top w:val="single" w:sz="4" w:space="0" w:color="auto"/>
            </w:tcBorders>
            <w:shd w:val="clear" w:color="auto" w:fill="auto"/>
            <w:noWrap/>
            <w:vAlign w:val="center"/>
            <w:hideMark/>
          </w:tcPr>
          <w:p w14:paraId="35716E6F" w14:textId="65ABF639" w:rsidR="00885CD0" w:rsidRPr="008956B3" w:rsidRDefault="00885CD0" w:rsidP="00885CD0">
            <w:pPr>
              <w:spacing w:after="0" w:line="240" w:lineRule="auto"/>
              <w:jc w:val="center"/>
              <w:rPr>
                <w:rFonts w:eastAsia="Times New Roman" w:cstheme="minorHAnsi"/>
                <w:b/>
                <w:bCs/>
                <w:sz w:val="18"/>
                <w:szCs w:val="18"/>
                <w:lang w:eastAsia="hr-HR"/>
              </w:rPr>
            </w:pPr>
            <w:r>
              <w:rPr>
                <w:rFonts w:eastAsia="Times New Roman" w:cstheme="minorHAnsi"/>
                <w:sz w:val="18"/>
                <w:szCs w:val="18"/>
                <w:lang w:eastAsia="hr-HR"/>
              </w:rPr>
              <w:t>0,96</w:t>
            </w:r>
          </w:p>
        </w:tc>
        <w:tc>
          <w:tcPr>
            <w:tcW w:w="886" w:type="dxa"/>
            <w:tcBorders>
              <w:top w:val="single" w:sz="4" w:space="0" w:color="auto"/>
            </w:tcBorders>
            <w:vAlign w:val="center"/>
          </w:tcPr>
          <w:p w14:paraId="5AFCCF84" w14:textId="3A4B7DE5"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0,83</w:t>
            </w:r>
          </w:p>
        </w:tc>
        <w:tc>
          <w:tcPr>
            <w:tcW w:w="1156" w:type="dxa"/>
            <w:tcBorders>
              <w:top w:val="single" w:sz="4" w:space="0" w:color="auto"/>
            </w:tcBorders>
            <w:shd w:val="clear" w:color="auto" w:fill="auto"/>
            <w:noWrap/>
            <w:vAlign w:val="center"/>
            <w:hideMark/>
          </w:tcPr>
          <w:p w14:paraId="5BA66726" w14:textId="7EAD5758" w:rsidR="00885CD0" w:rsidRPr="008956B3" w:rsidRDefault="00885CD0" w:rsidP="00885CD0">
            <w:pPr>
              <w:spacing w:after="0" w:line="240" w:lineRule="auto"/>
              <w:jc w:val="center"/>
              <w:rPr>
                <w:rFonts w:eastAsia="Times New Roman" w:cstheme="minorHAnsi"/>
                <w:b/>
                <w:bCs/>
                <w:sz w:val="18"/>
                <w:szCs w:val="18"/>
                <w:lang w:eastAsia="hr-HR"/>
              </w:rPr>
            </w:pPr>
            <w:r w:rsidRPr="008956B3">
              <w:rPr>
                <w:rFonts w:eastAsia="Times New Roman" w:cstheme="minorHAnsi"/>
                <w:sz w:val="18"/>
                <w:szCs w:val="18"/>
                <w:lang w:eastAsia="hr-HR"/>
              </w:rPr>
              <w:t>&gt; 2                           (&gt; 1,3-1,4)</w:t>
            </w:r>
          </w:p>
        </w:tc>
        <w:tc>
          <w:tcPr>
            <w:tcW w:w="3072" w:type="dxa"/>
            <w:tcBorders>
              <w:top w:val="single" w:sz="4" w:space="0" w:color="auto"/>
            </w:tcBorders>
            <w:shd w:val="clear" w:color="auto" w:fill="auto"/>
            <w:noWrap/>
            <w:vAlign w:val="center"/>
            <w:hideMark/>
          </w:tcPr>
          <w:p w14:paraId="19CFF9F1" w14:textId="77777777" w:rsidR="00885CD0" w:rsidRPr="008956B3" w:rsidRDefault="00885CD0" w:rsidP="00885CD0">
            <w:pPr>
              <w:spacing w:after="0" w:line="240" w:lineRule="auto"/>
              <w:rPr>
                <w:rFonts w:eastAsia="Times New Roman" w:cstheme="minorHAnsi"/>
                <w:b/>
                <w:bCs/>
                <w:sz w:val="18"/>
                <w:szCs w:val="18"/>
                <w:lang w:eastAsia="hr-HR"/>
              </w:rPr>
            </w:pPr>
            <w:r w:rsidRPr="008956B3">
              <w:rPr>
                <w:rFonts w:eastAsia="Times New Roman" w:cstheme="minorHAnsi"/>
                <w:sz w:val="18"/>
                <w:szCs w:val="18"/>
                <w:lang w:eastAsia="hr-HR"/>
              </w:rPr>
              <w:t>može doći do problema u podmirivanju obveza</w:t>
            </w:r>
          </w:p>
        </w:tc>
      </w:tr>
      <w:tr w:rsidR="00885CD0" w:rsidRPr="008956B3" w14:paraId="672989BA" w14:textId="77777777" w:rsidTr="005C54EA">
        <w:trPr>
          <w:trHeight w:val="567"/>
        </w:trPr>
        <w:tc>
          <w:tcPr>
            <w:tcW w:w="1681" w:type="dxa"/>
            <w:shd w:val="clear" w:color="auto" w:fill="auto"/>
            <w:noWrap/>
            <w:vAlign w:val="center"/>
            <w:hideMark/>
          </w:tcPr>
          <w:p w14:paraId="556A389D" w14:textId="77777777" w:rsidR="00885CD0" w:rsidRPr="008956B3" w:rsidRDefault="00885CD0" w:rsidP="00885CD0">
            <w:pPr>
              <w:spacing w:after="0" w:line="240" w:lineRule="auto"/>
              <w:rPr>
                <w:rFonts w:eastAsia="Times New Roman" w:cstheme="minorHAnsi"/>
                <w:sz w:val="18"/>
                <w:szCs w:val="18"/>
                <w:lang w:eastAsia="hr-HR"/>
              </w:rPr>
            </w:pPr>
            <w:r w:rsidRPr="008956B3">
              <w:rPr>
                <w:rFonts w:eastAsia="Times New Roman" w:cstheme="minorHAnsi"/>
                <w:sz w:val="18"/>
                <w:szCs w:val="18"/>
                <w:lang w:eastAsia="hr-HR"/>
              </w:rPr>
              <w:t>Koeficijent ubrzane likvidnosti</w:t>
            </w:r>
          </w:p>
        </w:tc>
        <w:tc>
          <w:tcPr>
            <w:tcW w:w="1036" w:type="dxa"/>
            <w:shd w:val="clear" w:color="auto" w:fill="auto"/>
            <w:noWrap/>
            <w:vAlign w:val="center"/>
            <w:hideMark/>
          </w:tcPr>
          <w:p w14:paraId="70D23527" w14:textId="76B3C93A"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0,43</w:t>
            </w:r>
          </w:p>
        </w:tc>
        <w:tc>
          <w:tcPr>
            <w:tcW w:w="1036" w:type="dxa"/>
            <w:shd w:val="clear" w:color="auto" w:fill="auto"/>
            <w:noWrap/>
            <w:vAlign w:val="center"/>
            <w:hideMark/>
          </w:tcPr>
          <w:p w14:paraId="4B4E0CA2" w14:textId="1033E886"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0,78</w:t>
            </w:r>
          </w:p>
        </w:tc>
        <w:tc>
          <w:tcPr>
            <w:tcW w:w="886" w:type="dxa"/>
            <w:shd w:val="clear" w:color="auto" w:fill="auto"/>
            <w:noWrap/>
            <w:vAlign w:val="center"/>
            <w:hideMark/>
          </w:tcPr>
          <w:p w14:paraId="0C47793F" w14:textId="78722C28"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0,80</w:t>
            </w:r>
          </w:p>
        </w:tc>
        <w:tc>
          <w:tcPr>
            <w:tcW w:w="886" w:type="dxa"/>
            <w:vAlign w:val="center"/>
          </w:tcPr>
          <w:p w14:paraId="561A6BF3" w14:textId="245D97E8"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0,65</w:t>
            </w:r>
          </w:p>
        </w:tc>
        <w:tc>
          <w:tcPr>
            <w:tcW w:w="1156" w:type="dxa"/>
            <w:shd w:val="clear" w:color="auto" w:fill="auto"/>
            <w:vAlign w:val="center"/>
            <w:hideMark/>
          </w:tcPr>
          <w:p w14:paraId="2D0329EC" w14:textId="2FB1E13B"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&gt; 1                          (&gt; 0,7-0,8)</w:t>
            </w:r>
          </w:p>
        </w:tc>
        <w:tc>
          <w:tcPr>
            <w:tcW w:w="3072" w:type="dxa"/>
            <w:shd w:val="clear" w:color="auto" w:fill="auto"/>
            <w:vAlign w:val="center"/>
            <w:hideMark/>
          </w:tcPr>
          <w:p w14:paraId="6D6C19E0" w14:textId="77777777" w:rsidR="00885CD0" w:rsidRPr="008956B3" w:rsidRDefault="00885CD0" w:rsidP="00885CD0">
            <w:pPr>
              <w:spacing w:after="0" w:line="240" w:lineRule="auto"/>
              <w:rPr>
                <w:rFonts w:eastAsia="Times New Roman" w:cstheme="minorHAnsi"/>
                <w:sz w:val="18"/>
                <w:szCs w:val="18"/>
                <w:lang w:eastAsia="hr-HR"/>
              </w:rPr>
            </w:pPr>
            <w:r w:rsidRPr="008956B3">
              <w:rPr>
                <w:rFonts w:eastAsia="Times New Roman" w:cstheme="minorHAnsi"/>
                <w:sz w:val="18"/>
                <w:szCs w:val="18"/>
                <w:lang w:eastAsia="hr-HR"/>
              </w:rPr>
              <w:t>poduzeće najvjerojatnije ne bi moglo zadovoljiti veću iznenadnu potrebu za novčanim sredstvima</w:t>
            </w:r>
          </w:p>
        </w:tc>
      </w:tr>
      <w:tr w:rsidR="00885CD0" w:rsidRPr="008956B3" w14:paraId="0928D6D4" w14:textId="77777777" w:rsidTr="005C54EA">
        <w:trPr>
          <w:trHeight w:val="567"/>
        </w:trPr>
        <w:tc>
          <w:tcPr>
            <w:tcW w:w="1681" w:type="dxa"/>
            <w:shd w:val="clear" w:color="auto" w:fill="auto"/>
            <w:noWrap/>
            <w:vAlign w:val="center"/>
            <w:hideMark/>
          </w:tcPr>
          <w:p w14:paraId="62CC7857" w14:textId="77777777" w:rsidR="00885CD0" w:rsidRPr="008956B3" w:rsidRDefault="00885CD0" w:rsidP="00885CD0">
            <w:pPr>
              <w:spacing w:after="0" w:line="240" w:lineRule="auto"/>
              <w:rPr>
                <w:rFonts w:eastAsia="Times New Roman" w:cstheme="minorHAnsi"/>
                <w:sz w:val="18"/>
                <w:szCs w:val="18"/>
                <w:lang w:eastAsia="hr-HR"/>
              </w:rPr>
            </w:pPr>
            <w:r w:rsidRPr="008956B3">
              <w:rPr>
                <w:rFonts w:eastAsia="Times New Roman" w:cstheme="minorHAnsi"/>
                <w:sz w:val="18"/>
                <w:szCs w:val="18"/>
                <w:lang w:eastAsia="hr-HR"/>
              </w:rPr>
              <w:t>Koeficijent financijske stabilnosti</w:t>
            </w:r>
          </w:p>
        </w:tc>
        <w:tc>
          <w:tcPr>
            <w:tcW w:w="1036" w:type="dxa"/>
            <w:shd w:val="clear" w:color="auto" w:fill="auto"/>
            <w:noWrap/>
            <w:vAlign w:val="center"/>
            <w:hideMark/>
          </w:tcPr>
          <w:p w14:paraId="15CBBF77" w14:textId="6F155BCF"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2,91</w:t>
            </w:r>
          </w:p>
        </w:tc>
        <w:tc>
          <w:tcPr>
            <w:tcW w:w="1036" w:type="dxa"/>
            <w:shd w:val="clear" w:color="auto" w:fill="auto"/>
            <w:noWrap/>
            <w:vAlign w:val="center"/>
            <w:hideMark/>
          </w:tcPr>
          <w:p w14:paraId="447D02B6" w14:textId="605ECCAF"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2,40</w:t>
            </w:r>
          </w:p>
        </w:tc>
        <w:tc>
          <w:tcPr>
            <w:tcW w:w="886" w:type="dxa"/>
            <w:shd w:val="clear" w:color="auto" w:fill="auto"/>
            <w:vAlign w:val="center"/>
            <w:hideMark/>
          </w:tcPr>
          <w:p w14:paraId="0ADDC8BA" w14:textId="20D45F8D"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2,21</w:t>
            </w:r>
          </w:p>
        </w:tc>
        <w:tc>
          <w:tcPr>
            <w:tcW w:w="886" w:type="dxa"/>
            <w:vAlign w:val="center"/>
          </w:tcPr>
          <w:p w14:paraId="3C8C6B68" w14:textId="1A7E92A8"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2,</w:t>
            </w:r>
            <w:r w:rsidR="0060587B">
              <w:rPr>
                <w:rFonts w:eastAsia="Times New Roman" w:cstheme="minorHAnsi"/>
                <w:sz w:val="18"/>
                <w:szCs w:val="18"/>
                <w:lang w:eastAsia="hr-HR"/>
              </w:rPr>
              <w:t>07</w:t>
            </w:r>
          </w:p>
        </w:tc>
        <w:tc>
          <w:tcPr>
            <w:tcW w:w="1156" w:type="dxa"/>
            <w:shd w:val="clear" w:color="auto" w:fill="auto"/>
            <w:noWrap/>
            <w:vAlign w:val="center"/>
            <w:hideMark/>
          </w:tcPr>
          <w:p w14:paraId="796A3B6B" w14:textId="704C5CAE"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&lt; 1</w:t>
            </w:r>
          </w:p>
        </w:tc>
        <w:tc>
          <w:tcPr>
            <w:tcW w:w="3072" w:type="dxa"/>
            <w:shd w:val="clear" w:color="auto" w:fill="auto"/>
            <w:vAlign w:val="center"/>
            <w:hideMark/>
          </w:tcPr>
          <w:p w14:paraId="7B766C62" w14:textId="77777777" w:rsidR="00885CD0" w:rsidRPr="008956B3" w:rsidRDefault="00885CD0" w:rsidP="00885CD0">
            <w:pPr>
              <w:spacing w:after="0" w:line="240" w:lineRule="auto"/>
              <w:rPr>
                <w:rFonts w:eastAsia="Times New Roman" w:cstheme="minorHAnsi"/>
                <w:sz w:val="18"/>
                <w:szCs w:val="18"/>
                <w:lang w:eastAsia="hr-HR"/>
              </w:rPr>
            </w:pPr>
            <w:r w:rsidRPr="008956B3">
              <w:rPr>
                <w:rFonts w:eastAsia="Times New Roman" w:cstheme="minorHAnsi"/>
                <w:sz w:val="18"/>
                <w:szCs w:val="18"/>
                <w:lang w:eastAsia="hr-HR"/>
              </w:rPr>
              <w:t>dugotrajna imovina financirana je iz vlastitih i tuđih  izvora (sufinanciranje Europskim sredstvima)</w:t>
            </w:r>
          </w:p>
        </w:tc>
      </w:tr>
      <w:tr w:rsidR="00885CD0" w:rsidRPr="008956B3" w14:paraId="146258EF" w14:textId="77777777" w:rsidTr="005C54EA">
        <w:trPr>
          <w:trHeight w:val="567"/>
        </w:trPr>
        <w:tc>
          <w:tcPr>
            <w:tcW w:w="1681" w:type="dxa"/>
            <w:shd w:val="clear" w:color="auto" w:fill="auto"/>
            <w:noWrap/>
            <w:vAlign w:val="center"/>
            <w:hideMark/>
          </w:tcPr>
          <w:p w14:paraId="7EC633CA" w14:textId="77777777" w:rsidR="00885CD0" w:rsidRPr="008956B3" w:rsidRDefault="00885CD0" w:rsidP="00885CD0">
            <w:pPr>
              <w:spacing w:after="0" w:line="240" w:lineRule="auto"/>
              <w:rPr>
                <w:rFonts w:eastAsia="Times New Roman" w:cstheme="minorHAnsi"/>
                <w:sz w:val="18"/>
                <w:szCs w:val="18"/>
                <w:lang w:eastAsia="hr-HR"/>
              </w:rPr>
            </w:pPr>
            <w:r w:rsidRPr="008956B3">
              <w:rPr>
                <w:rFonts w:eastAsia="Times New Roman" w:cstheme="minorHAnsi"/>
                <w:sz w:val="18"/>
                <w:szCs w:val="18"/>
                <w:lang w:eastAsia="hr-HR"/>
              </w:rPr>
              <w:t>Radno raspoloživ kapital</w:t>
            </w:r>
          </w:p>
        </w:tc>
        <w:tc>
          <w:tcPr>
            <w:tcW w:w="1036" w:type="dxa"/>
            <w:shd w:val="clear" w:color="auto" w:fill="auto"/>
            <w:noWrap/>
            <w:vAlign w:val="center"/>
            <w:hideMark/>
          </w:tcPr>
          <w:p w14:paraId="2CC20810" w14:textId="718874A2"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-1.367.303</w:t>
            </w:r>
          </w:p>
        </w:tc>
        <w:tc>
          <w:tcPr>
            <w:tcW w:w="1036" w:type="dxa"/>
            <w:shd w:val="clear" w:color="auto" w:fill="auto"/>
            <w:noWrap/>
            <w:vAlign w:val="center"/>
            <w:hideMark/>
          </w:tcPr>
          <w:p w14:paraId="2ABC276E" w14:textId="696A1DC4"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-270.586</w:t>
            </w:r>
          </w:p>
        </w:tc>
        <w:tc>
          <w:tcPr>
            <w:tcW w:w="886" w:type="dxa"/>
            <w:shd w:val="clear" w:color="auto" w:fill="auto"/>
            <w:noWrap/>
            <w:vAlign w:val="center"/>
            <w:hideMark/>
          </w:tcPr>
          <w:p w14:paraId="0F4163BB" w14:textId="7F0A7558"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-102.412</w:t>
            </w:r>
          </w:p>
        </w:tc>
        <w:tc>
          <w:tcPr>
            <w:tcW w:w="886" w:type="dxa"/>
            <w:vAlign w:val="center"/>
          </w:tcPr>
          <w:p w14:paraId="38DB684B" w14:textId="068BB05A" w:rsidR="00885CD0" w:rsidRPr="008956B3" w:rsidRDefault="00885CD0" w:rsidP="00885CD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w:t>
            </w:r>
            <w:r w:rsidR="0060587B">
              <w:rPr>
                <w:rFonts w:eastAsia="Times New Roman" w:cstheme="minorHAnsi"/>
                <w:sz w:val="18"/>
                <w:szCs w:val="18"/>
                <w:lang w:eastAsia="hr-HR"/>
              </w:rPr>
              <w:t>543.551</w:t>
            </w:r>
          </w:p>
        </w:tc>
        <w:tc>
          <w:tcPr>
            <w:tcW w:w="1156" w:type="dxa"/>
            <w:shd w:val="clear" w:color="auto" w:fill="auto"/>
            <w:vAlign w:val="center"/>
            <w:hideMark/>
          </w:tcPr>
          <w:p w14:paraId="5A9BBC52" w14:textId="720159B5" w:rsidR="00885CD0" w:rsidRPr="008956B3" w:rsidRDefault="00885CD0" w:rsidP="00885CD0">
            <w:pPr>
              <w:spacing w:after="0" w:line="240" w:lineRule="auto"/>
              <w:jc w:val="center"/>
              <w:rPr>
                <w:rFonts w:eastAsia="Times New Roman" w:cstheme="minorHAnsi"/>
                <w:sz w:val="18"/>
                <w:szCs w:val="18"/>
                <w:lang w:eastAsia="hr-HR"/>
              </w:rPr>
            </w:pPr>
            <w:r w:rsidRPr="008956B3">
              <w:rPr>
                <w:rFonts w:eastAsia="Times New Roman" w:cstheme="minorHAnsi"/>
                <w:sz w:val="18"/>
                <w:szCs w:val="18"/>
                <w:lang w:eastAsia="hr-HR"/>
              </w:rPr>
              <w:t>&gt; 0</w:t>
            </w:r>
          </w:p>
        </w:tc>
        <w:tc>
          <w:tcPr>
            <w:tcW w:w="3072" w:type="dxa"/>
            <w:shd w:val="clear" w:color="auto" w:fill="auto"/>
            <w:vAlign w:val="center"/>
            <w:hideMark/>
          </w:tcPr>
          <w:p w14:paraId="23948941" w14:textId="11F18D26" w:rsidR="00885CD0" w:rsidRPr="008956B3" w:rsidRDefault="00885CD0" w:rsidP="00885CD0">
            <w:pPr>
              <w:spacing w:after="0" w:line="240" w:lineRule="auto"/>
              <w:rPr>
                <w:rFonts w:eastAsia="Times New Roman" w:cstheme="minorHAnsi"/>
                <w:sz w:val="18"/>
                <w:szCs w:val="18"/>
                <w:lang w:eastAsia="hr-HR"/>
              </w:rPr>
            </w:pPr>
            <w:r w:rsidRPr="008956B3">
              <w:rPr>
                <w:rFonts w:eastAsia="Times New Roman" w:cstheme="minorHAnsi"/>
                <w:sz w:val="18"/>
                <w:szCs w:val="18"/>
                <w:lang w:eastAsia="hr-HR"/>
              </w:rPr>
              <w:t>porast u odnosu na prethodno razdoblje, kratkoročne obveze podmiruju se iz kratkoročnih kredita</w:t>
            </w:r>
          </w:p>
        </w:tc>
      </w:tr>
    </w:tbl>
    <w:p w14:paraId="2CE89D19" w14:textId="77777777" w:rsidR="00C2422B" w:rsidRDefault="00C2422B" w:rsidP="00C2422B">
      <w:pPr>
        <w:spacing w:line="360" w:lineRule="auto"/>
        <w:jc w:val="both"/>
      </w:pPr>
    </w:p>
    <w:p w14:paraId="0CE5A59E" w14:textId="1EB7EFD9" w:rsidR="0060587B" w:rsidRDefault="0060587B" w:rsidP="00C2422B">
      <w:pPr>
        <w:spacing w:line="360" w:lineRule="auto"/>
        <w:jc w:val="both"/>
      </w:pPr>
      <w:r w:rsidRPr="0060587B">
        <w:t>U 2024. godini zabilježen je pad svih ključnih pokazatelja likvidnosti u odnosu na prethodno razdoblje.</w:t>
      </w:r>
    </w:p>
    <w:p w14:paraId="44876845" w14:textId="77777777" w:rsidR="00310422" w:rsidRPr="00310422" w:rsidRDefault="00C2422B" w:rsidP="00C2422B">
      <w:pPr>
        <w:spacing w:line="360" w:lineRule="auto"/>
        <w:jc w:val="both"/>
      </w:pPr>
      <w:r w:rsidRPr="00310422">
        <w:t>Koeficijent tekuće likvidnosti predstavlja ocjenu likvidnosti</w:t>
      </w:r>
      <w:r w:rsidR="00310422" w:rsidRPr="00310422">
        <w:t>.</w:t>
      </w:r>
      <w:r w:rsidRPr="00310422">
        <w:t xml:space="preserve"> </w:t>
      </w:r>
      <w:r w:rsidR="00310422" w:rsidRPr="00310422">
        <w:t>Koeficijent tekuće likvidnosti, koji prikazuje sposobnost Društva da kratkoročne obveze podmiruje kratkotrajnom imovinom, iznosi 0,83, dok je u 2023. godini iznosio 0,96. Vrijednost ispod referentnog raspona od 1,3 do 1,4 upućuje na smanjenu mogućnost pokrića kratkoročnih obveza, odnosno potencijalne izazove u očuvanju likvidnosti.</w:t>
      </w:r>
    </w:p>
    <w:p w14:paraId="5B6553B4" w14:textId="77777777" w:rsidR="00310422" w:rsidRPr="00310422" w:rsidRDefault="00C2422B" w:rsidP="00C2422B">
      <w:pPr>
        <w:spacing w:line="360" w:lineRule="auto"/>
        <w:jc w:val="both"/>
      </w:pPr>
      <w:r w:rsidRPr="00310422">
        <w:t xml:space="preserve">Koeficijent ubrzane likvidnosti pokazuje kakva je sposobnost trgovačkog Društva u podmirenju obveza u kratkom roku. </w:t>
      </w:r>
      <w:r w:rsidR="0060587B" w:rsidRPr="00310422">
        <w:t xml:space="preserve">Smanjen je s 0,80 u 2023. na 0,65 u 2024. </w:t>
      </w:r>
      <w:r w:rsidR="00310422" w:rsidRPr="00310422">
        <w:t>iako se nalazi unutar tolerantnih granica, i dalje je ispod preporučene referentne vrijednosti (&gt; 1,0). To sugerira da bi Društvo imalo ograničenu sposobnost podmirenja obveza u slučaju iznenadne potrebe za likvidnim sredstvima.</w:t>
      </w:r>
    </w:p>
    <w:p w14:paraId="6D9394A7" w14:textId="78CD2EF9" w:rsidR="00C2422B" w:rsidRPr="001C59D5" w:rsidRDefault="000C4120" w:rsidP="00C2422B">
      <w:pPr>
        <w:spacing w:line="360" w:lineRule="auto"/>
        <w:jc w:val="both"/>
      </w:pPr>
      <w:r>
        <w:t xml:space="preserve">Koeficijent financijske stabilnosti odnosi se na utvrđivanje pokrića imovine vlastitim odnosno tuđim dugoročnim izvorima. Koeficijent ima tendenciju smanjenja međutim i dalje je </w:t>
      </w:r>
      <w:r w:rsidR="00310422">
        <w:t>iznad</w:t>
      </w:r>
      <w:r w:rsidR="00C73B3F">
        <w:t xml:space="preserve"> </w:t>
      </w:r>
      <w:r w:rsidR="00BF51E0">
        <w:t xml:space="preserve">preporučene razine </w:t>
      </w:r>
      <w:r w:rsidR="00C73B3F">
        <w:t>što potvrđuje financiranje dugotrajne imovine vlastitim i tuđim izvorima u prethodnim razdobljima.</w:t>
      </w:r>
    </w:p>
    <w:p w14:paraId="041C3837" w14:textId="2A50960E" w:rsidR="007B5431" w:rsidRPr="001C59D5" w:rsidRDefault="00C2422B" w:rsidP="00C2422B">
      <w:pPr>
        <w:spacing w:line="360" w:lineRule="auto"/>
        <w:jc w:val="both"/>
      </w:pPr>
      <w:r w:rsidRPr="001C59D5">
        <w:t xml:space="preserve">Radno raspoloživ kapital je </w:t>
      </w:r>
      <w:r w:rsidR="009156AE">
        <w:t>u</w:t>
      </w:r>
      <w:r>
        <w:t xml:space="preserve"> </w:t>
      </w:r>
      <w:r w:rsidR="006E6821">
        <w:t>padu</w:t>
      </w:r>
      <w:r w:rsidR="00BE1A86">
        <w:t>, u odnosu na prethodna razdoblja</w:t>
      </w:r>
      <w:r w:rsidR="006E6821">
        <w:t xml:space="preserve"> te</w:t>
      </w:r>
      <w:r w:rsidR="009156AE">
        <w:t xml:space="preserve"> je i dalje</w:t>
      </w:r>
      <w:r>
        <w:t xml:space="preserve"> ispod referentne vrijednosti.  Manjak</w:t>
      </w:r>
      <w:r w:rsidRPr="001C59D5">
        <w:t xml:space="preserve"> od </w:t>
      </w:r>
      <w:r w:rsidR="006E6821">
        <w:t>543.551</w:t>
      </w:r>
      <w:r w:rsidR="00BE1A86">
        <w:t xml:space="preserve"> eura </w:t>
      </w:r>
      <w:r w:rsidRPr="001C59D5">
        <w:t>pokazuje koliko je potrebno povećati kratkotrajnu imovinu ili smanjiti kratkoročne obveze kako bi trgovačko društvo došlo u stanje likvidnosti.</w:t>
      </w:r>
    </w:p>
    <w:p w14:paraId="0F90A0D8" w14:textId="21CDF313" w:rsidR="007B5431" w:rsidRPr="005B13F2" w:rsidRDefault="00D515BD" w:rsidP="00E9501A">
      <w:pPr>
        <w:pStyle w:val="Heading2"/>
      </w:pPr>
      <w:bookmarkStart w:id="32" w:name="_Toc200094275"/>
      <w:r>
        <w:lastRenderedPageBreak/>
        <w:t>5</w:t>
      </w:r>
      <w:r w:rsidR="007B5431" w:rsidRPr="005B13F2">
        <w:t>.2. Pokazatelji zaduženosti</w:t>
      </w:r>
      <w:bookmarkEnd w:id="32"/>
    </w:p>
    <w:p w14:paraId="6A9747A1" w14:textId="19A85ED1" w:rsidR="00F9772A" w:rsidRPr="007B5431" w:rsidRDefault="007B5431" w:rsidP="00F9772A">
      <w:pPr>
        <w:autoSpaceDE w:val="0"/>
        <w:autoSpaceDN w:val="0"/>
        <w:adjustRightInd w:val="0"/>
        <w:spacing w:before="240" w:after="240" w:line="360" w:lineRule="auto"/>
        <w:jc w:val="both"/>
        <w:rPr>
          <w:rFonts w:ascii="Calibri" w:hAnsi="Calibri" w:cs="Calibri"/>
          <w:color w:val="000000"/>
        </w:rPr>
      </w:pPr>
      <w:r w:rsidRPr="001C59D5">
        <w:rPr>
          <w:rFonts w:ascii="Calibri" w:hAnsi="Calibri" w:cs="Calibri"/>
          <w:color w:val="000000"/>
        </w:rPr>
        <w:t xml:space="preserve">Zaduženost poslovanja također spada u pokazatelje sigurnosti, a pokazuju koliko je imovine financirano iz vlastitih, </w:t>
      </w:r>
      <w:r>
        <w:rPr>
          <w:rFonts w:ascii="Calibri" w:hAnsi="Calibri" w:cs="Calibri"/>
          <w:color w:val="000000"/>
        </w:rPr>
        <w:t xml:space="preserve">a </w:t>
      </w:r>
      <w:r w:rsidRPr="001C59D5">
        <w:rPr>
          <w:rFonts w:ascii="Calibri" w:hAnsi="Calibri" w:cs="Calibri"/>
          <w:color w:val="000000"/>
        </w:rPr>
        <w:t xml:space="preserve">koliko iz tuđih izvora sredstava. </w:t>
      </w:r>
      <w:r w:rsidR="00F9772A">
        <w:t xml:space="preserve">U tablici 8. prikazani su pokazatelji </w:t>
      </w:r>
      <w:r w:rsidR="00BA0698">
        <w:t>zaduženosti</w:t>
      </w:r>
      <w:r w:rsidR="00F9772A">
        <w:t xml:space="preserve"> u razdoblju od 20</w:t>
      </w:r>
      <w:r w:rsidR="00F66993">
        <w:t>2</w:t>
      </w:r>
      <w:r w:rsidR="00975702">
        <w:t>1</w:t>
      </w:r>
      <w:r w:rsidR="00F9772A">
        <w:t>. do 202</w:t>
      </w:r>
      <w:r w:rsidR="00975702">
        <w:t>4</w:t>
      </w:r>
      <w:r w:rsidR="00F9772A">
        <w:t>. godine.</w:t>
      </w:r>
    </w:p>
    <w:p w14:paraId="21F915AB" w14:textId="46F6A160" w:rsidR="007B5431" w:rsidRDefault="007B5431" w:rsidP="00F9772A">
      <w:pPr>
        <w:spacing w:before="240" w:after="240"/>
      </w:pPr>
      <w:bookmarkStart w:id="33" w:name="_Toc200366446"/>
      <w:r w:rsidRPr="002476A4">
        <w:rPr>
          <w:rFonts w:cstheme="minorHAnsi"/>
          <w:b/>
          <w:bCs/>
        </w:rPr>
        <w:t xml:space="preserve">Tablica </w:t>
      </w:r>
      <w:r w:rsidRPr="002476A4">
        <w:rPr>
          <w:rFonts w:eastAsia="Times New Roman" w:cstheme="minorHAnsi"/>
          <w:b/>
          <w:bCs/>
        </w:rPr>
        <w:fldChar w:fldCharType="begin"/>
      </w:r>
      <w:r w:rsidRPr="002476A4">
        <w:rPr>
          <w:rFonts w:cstheme="minorHAnsi"/>
          <w:b/>
          <w:bCs/>
        </w:rPr>
        <w:instrText xml:space="preserve"> SEQ Tablica \* ARABIC </w:instrText>
      </w:r>
      <w:r w:rsidRPr="002476A4">
        <w:rPr>
          <w:rFonts w:eastAsia="Times New Roman" w:cstheme="minorHAnsi"/>
          <w:b/>
          <w:bCs/>
        </w:rPr>
        <w:fldChar w:fldCharType="separate"/>
      </w:r>
      <w:r w:rsidR="00A1075A">
        <w:rPr>
          <w:rFonts w:cstheme="minorHAnsi"/>
          <w:b/>
          <w:bCs/>
          <w:noProof/>
        </w:rPr>
        <w:t>8</w:t>
      </w:r>
      <w:r w:rsidRPr="002476A4">
        <w:rPr>
          <w:rFonts w:eastAsia="Times New Roman" w:cstheme="minorHAnsi"/>
          <w:b/>
          <w:bCs/>
        </w:rPr>
        <w:fldChar w:fldCharType="end"/>
      </w:r>
      <w:r w:rsidRPr="002476A4">
        <w:rPr>
          <w:rFonts w:cstheme="minorHAnsi"/>
          <w:b/>
          <w:bCs/>
        </w:rPr>
        <w:t>.</w:t>
      </w:r>
      <w:r w:rsidRPr="002476A4">
        <w:rPr>
          <w:rFonts w:cstheme="minorHAnsi"/>
        </w:rPr>
        <w:t xml:space="preserve"> Pokazatelji </w:t>
      </w:r>
      <w:r>
        <w:rPr>
          <w:rFonts w:cstheme="minorHAnsi"/>
        </w:rPr>
        <w:t>zaduženosti</w:t>
      </w:r>
      <w:bookmarkEnd w:id="33"/>
    </w:p>
    <w:tbl>
      <w:tblPr>
        <w:tblW w:w="97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0"/>
        <w:gridCol w:w="1123"/>
        <w:gridCol w:w="1123"/>
        <w:gridCol w:w="1123"/>
        <w:gridCol w:w="1146"/>
        <w:gridCol w:w="1146"/>
        <w:gridCol w:w="1969"/>
      </w:tblGrid>
      <w:tr w:rsidR="00975702" w:rsidRPr="00ED0E51" w14:paraId="1A93DB92" w14:textId="77777777" w:rsidTr="00BD31C1">
        <w:trPr>
          <w:trHeight w:val="286"/>
        </w:trPr>
        <w:tc>
          <w:tcPr>
            <w:tcW w:w="2150" w:type="dxa"/>
            <w:tcBorders>
              <w:top w:val="single" w:sz="4" w:space="0" w:color="auto"/>
              <w:bottom w:val="single" w:sz="4" w:space="0" w:color="auto"/>
            </w:tcBorders>
            <w:shd w:val="clear" w:color="auto" w:fill="auto"/>
            <w:noWrap/>
            <w:vAlign w:val="center"/>
            <w:hideMark/>
          </w:tcPr>
          <w:p w14:paraId="6BC10DB2" w14:textId="7B024956" w:rsidR="00975702" w:rsidRPr="00ED0E51" w:rsidRDefault="00975702" w:rsidP="00975702">
            <w:pPr>
              <w:spacing w:after="0" w:line="240" w:lineRule="auto"/>
              <w:rPr>
                <w:rFonts w:eastAsia="Times New Roman" w:cstheme="minorHAnsi"/>
                <w:b/>
                <w:bCs/>
                <w:color w:val="404040"/>
                <w:sz w:val="18"/>
                <w:szCs w:val="18"/>
                <w:lang w:eastAsia="hr-HR"/>
              </w:rPr>
            </w:pPr>
            <w:r w:rsidRPr="00ED0E51">
              <w:rPr>
                <w:rFonts w:eastAsia="Times New Roman" w:cstheme="minorHAnsi"/>
                <w:b/>
                <w:bCs/>
                <w:sz w:val="18"/>
                <w:szCs w:val="18"/>
                <w:lang w:eastAsia="hr-HR"/>
              </w:rPr>
              <w:t>Opis</w:t>
            </w:r>
          </w:p>
        </w:tc>
        <w:tc>
          <w:tcPr>
            <w:tcW w:w="1123" w:type="dxa"/>
            <w:tcBorders>
              <w:top w:val="single" w:sz="4" w:space="0" w:color="auto"/>
              <w:bottom w:val="single" w:sz="4" w:space="0" w:color="auto"/>
            </w:tcBorders>
            <w:shd w:val="clear" w:color="auto" w:fill="auto"/>
            <w:noWrap/>
            <w:vAlign w:val="center"/>
            <w:hideMark/>
          </w:tcPr>
          <w:p w14:paraId="0DA5CD1E" w14:textId="7D5EA7F3" w:rsidR="00975702" w:rsidRPr="00ED0E51" w:rsidRDefault="00975702" w:rsidP="00975702">
            <w:pPr>
              <w:spacing w:after="0" w:line="240" w:lineRule="auto"/>
              <w:jc w:val="center"/>
              <w:rPr>
                <w:rFonts w:eastAsia="Times New Roman" w:cstheme="minorHAnsi"/>
                <w:b/>
                <w:bCs/>
                <w:color w:val="404040"/>
                <w:sz w:val="18"/>
                <w:szCs w:val="18"/>
                <w:lang w:eastAsia="hr-HR"/>
              </w:rPr>
            </w:pPr>
            <w:r w:rsidRPr="008956B3">
              <w:rPr>
                <w:rFonts w:eastAsia="Times New Roman" w:cstheme="minorHAnsi"/>
                <w:b/>
                <w:bCs/>
                <w:sz w:val="18"/>
                <w:szCs w:val="18"/>
                <w:lang w:eastAsia="hr-HR"/>
              </w:rPr>
              <w:t>2021</w:t>
            </w:r>
          </w:p>
        </w:tc>
        <w:tc>
          <w:tcPr>
            <w:tcW w:w="1123" w:type="dxa"/>
            <w:tcBorders>
              <w:top w:val="single" w:sz="4" w:space="0" w:color="auto"/>
              <w:bottom w:val="single" w:sz="4" w:space="0" w:color="auto"/>
            </w:tcBorders>
            <w:shd w:val="clear" w:color="auto" w:fill="auto"/>
            <w:noWrap/>
            <w:vAlign w:val="center"/>
            <w:hideMark/>
          </w:tcPr>
          <w:p w14:paraId="2CBAA083" w14:textId="392BFB4C" w:rsidR="00975702" w:rsidRPr="00ED0E51" w:rsidRDefault="00975702" w:rsidP="00975702">
            <w:pPr>
              <w:spacing w:after="0" w:line="240" w:lineRule="auto"/>
              <w:jc w:val="center"/>
              <w:rPr>
                <w:rFonts w:eastAsia="Times New Roman" w:cstheme="minorHAnsi"/>
                <w:b/>
                <w:bCs/>
                <w:color w:val="404040"/>
                <w:sz w:val="18"/>
                <w:szCs w:val="18"/>
                <w:lang w:eastAsia="hr-HR"/>
              </w:rPr>
            </w:pPr>
            <w:r w:rsidRPr="008956B3">
              <w:rPr>
                <w:rFonts w:eastAsia="Times New Roman" w:cstheme="minorHAnsi"/>
                <w:b/>
                <w:bCs/>
                <w:sz w:val="18"/>
                <w:szCs w:val="18"/>
                <w:lang w:eastAsia="hr-HR"/>
              </w:rPr>
              <w:t>2022</w:t>
            </w:r>
          </w:p>
        </w:tc>
        <w:tc>
          <w:tcPr>
            <w:tcW w:w="1123" w:type="dxa"/>
            <w:tcBorders>
              <w:top w:val="single" w:sz="4" w:space="0" w:color="auto"/>
              <w:bottom w:val="single" w:sz="4" w:space="0" w:color="auto"/>
            </w:tcBorders>
            <w:shd w:val="clear" w:color="auto" w:fill="auto"/>
            <w:noWrap/>
            <w:vAlign w:val="center"/>
            <w:hideMark/>
          </w:tcPr>
          <w:p w14:paraId="0EAC864D" w14:textId="2AD48057" w:rsidR="00975702" w:rsidRPr="00ED0E51" w:rsidRDefault="00975702" w:rsidP="00975702">
            <w:pPr>
              <w:spacing w:after="0" w:line="240" w:lineRule="auto"/>
              <w:jc w:val="center"/>
              <w:rPr>
                <w:rFonts w:eastAsia="Times New Roman" w:cstheme="minorHAnsi"/>
                <w:b/>
                <w:bCs/>
                <w:color w:val="404040"/>
                <w:sz w:val="18"/>
                <w:szCs w:val="18"/>
                <w:lang w:eastAsia="hr-HR"/>
              </w:rPr>
            </w:pPr>
            <w:r w:rsidRPr="008956B3">
              <w:rPr>
                <w:rFonts w:eastAsia="Times New Roman" w:cstheme="minorHAnsi"/>
                <w:b/>
                <w:bCs/>
                <w:sz w:val="18"/>
                <w:szCs w:val="18"/>
                <w:lang w:eastAsia="hr-HR"/>
              </w:rPr>
              <w:t>2023</w:t>
            </w:r>
          </w:p>
        </w:tc>
        <w:tc>
          <w:tcPr>
            <w:tcW w:w="1146" w:type="dxa"/>
            <w:tcBorders>
              <w:top w:val="single" w:sz="4" w:space="0" w:color="auto"/>
              <w:bottom w:val="single" w:sz="4" w:space="0" w:color="auto"/>
            </w:tcBorders>
            <w:vAlign w:val="center"/>
          </w:tcPr>
          <w:p w14:paraId="4082D8A6" w14:textId="4E92BDF5" w:rsidR="00975702" w:rsidRPr="00ED0E51" w:rsidRDefault="00975702" w:rsidP="00975702">
            <w:pPr>
              <w:spacing w:after="0" w:line="240" w:lineRule="auto"/>
              <w:jc w:val="center"/>
              <w:rPr>
                <w:rFonts w:eastAsia="Times New Roman" w:cstheme="minorHAnsi"/>
                <w:b/>
                <w:bCs/>
                <w:sz w:val="18"/>
                <w:szCs w:val="18"/>
                <w:lang w:eastAsia="hr-HR"/>
              </w:rPr>
            </w:pPr>
            <w:r w:rsidRPr="008956B3">
              <w:rPr>
                <w:rFonts w:eastAsia="Times New Roman" w:cstheme="minorHAnsi"/>
                <w:b/>
                <w:bCs/>
                <w:sz w:val="18"/>
                <w:szCs w:val="18"/>
                <w:lang w:eastAsia="hr-HR"/>
              </w:rPr>
              <w:t>202</w:t>
            </w:r>
            <w:r>
              <w:rPr>
                <w:rFonts w:eastAsia="Times New Roman" w:cstheme="minorHAnsi"/>
                <w:b/>
                <w:bCs/>
                <w:sz w:val="18"/>
                <w:szCs w:val="18"/>
                <w:lang w:eastAsia="hr-HR"/>
              </w:rPr>
              <w:t>4</w:t>
            </w:r>
          </w:p>
        </w:tc>
        <w:tc>
          <w:tcPr>
            <w:tcW w:w="1146" w:type="dxa"/>
            <w:tcBorders>
              <w:top w:val="single" w:sz="4" w:space="0" w:color="auto"/>
              <w:bottom w:val="single" w:sz="4" w:space="0" w:color="auto"/>
            </w:tcBorders>
            <w:shd w:val="clear" w:color="auto" w:fill="auto"/>
            <w:noWrap/>
            <w:vAlign w:val="center"/>
            <w:hideMark/>
          </w:tcPr>
          <w:p w14:paraId="0BA9011B" w14:textId="0DE25FD3" w:rsidR="00975702" w:rsidRPr="00ED0E51" w:rsidRDefault="00975702" w:rsidP="00975702">
            <w:pPr>
              <w:spacing w:after="0" w:line="240" w:lineRule="auto"/>
              <w:jc w:val="center"/>
              <w:rPr>
                <w:rFonts w:eastAsia="Times New Roman" w:cstheme="minorHAnsi"/>
                <w:b/>
                <w:bCs/>
                <w:color w:val="404040"/>
                <w:sz w:val="18"/>
                <w:szCs w:val="18"/>
                <w:lang w:eastAsia="hr-HR"/>
              </w:rPr>
            </w:pPr>
            <w:r w:rsidRPr="00ED0E51">
              <w:rPr>
                <w:rFonts w:eastAsia="Times New Roman" w:cstheme="minorHAnsi"/>
                <w:b/>
                <w:bCs/>
                <w:sz w:val="18"/>
                <w:szCs w:val="18"/>
                <w:lang w:eastAsia="hr-HR"/>
              </w:rPr>
              <w:t>Referentna vrijednost</w:t>
            </w:r>
          </w:p>
        </w:tc>
        <w:tc>
          <w:tcPr>
            <w:tcW w:w="1969" w:type="dxa"/>
            <w:tcBorders>
              <w:top w:val="single" w:sz="4" w:space="0" w:color="auto"/>
              <w:bottom w:val="single" w:sz="4" w:space="0" w:color="auto"/>
            </w:tcBorders>
            <w:shd w:val="clear" w:color="auto" w:fill="auto"/>
            <w:noWrap/>
            <w:vAlign w:val="center"/>
            <w:hideMark/>
          </w:tcPr>
          <w:p w14:paraId="6D9C2712" w14:textId="01753B9E" w:rsidR="00975702" w:rsidRPr="00ED0E51" w:rsidRDefault="00975702" w:rsidP="00975702">
            <w:pPr>
              <w:spacing w:after="0" w:line="240" w:lineRule="auto"/>
              <w:rPr>
                <w:rFonts w:eastAsia="Times New Roman" w:cstheme="minorHAnsi"/>
                <w:b/>
                <w:bCs/>
                <w:color w:val="404040"/>
                <w:sz w:val="18"/>
                <w:szCs w:val="18"/>
                <w:lang w:eastAsia="hr-HR"/>
              </w:rPr>
            </w:pPr>
            <w:r w:rsidRPr="00ED0E51">
              <w:rPr>
                <w:rFonts w:eastAsia="Times New Roman" w:cstheme="minorHAnsi"/>
                <w:b/>
                <w:bCs/>
                <w:sz w:val="18"/>
                <w:szCs w:val="18"/>
                <w:lang w:eastAsia="hr-HR"/>
              </w:rPr>
              <w:t>Ocjena stanja</w:t>
            </w:r>
          </w:p>
        </w:tc>
      </w:tr>
      <w:tr w:rsidR="00975702" w:rsidRPr="00ED0E51" w14:paraId="771ED2C7" w14:textId="77777777" w:rsidTr="00BD31C1">
        <w:trPr>
          <w:trHeight w:val="567"/>
        </w:trPr>
        <w:tc>
          <w:tcPr>
            <w:tcW w:w="2150" w:type="dxa"/>
            <w:tcBorders>
              <w:top w:val="single" w:sz="4" w:space="0" w:color="auto"/>
            </w:tcBorders>
            <w:shd w:val="clear" w:color="auto" w:fill="auto"/>
            <w:noWrap/>
            <w:vAlign w:val="center"/>
            <w:hideMark/>
          </w:tcPr>
          <w:p w14:paraId="0531A2AB" w14:textId="77777777" w:rsidR="00975702" w:rsidRDefault="00975702" w:rsidP="00975702">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Koeficijent zaduženosti</w:t>
            </w:r>
          </w:p>
          <w:p w14:paraId="355B3799" w14:textId="47EEADAC" w:rsidR="00975702" w:rsidRPr="00ED0E51" w:rsidRDefault="00975702" w:rsidP="00975702">
            <w:pPr>
              <w:spacing w:after="0" w:line="240" w:lineRule="auto"/>
              <w:rPr>
                <w:rFonts w:eastAsia="Times New Roman" w:cstheme="minorHAnsi"/>
                <w:color w:val="000000"/>
                <w:sz w:val="18"/>
                <w:szCs w:val="18"/>
                <w:lang w:eastAsia="hr-HR"/>
              </w:rPr>
            </w:pPr>
          </w:p>
        </w:tc>
        <w:tc>
          <w:tcPr>
            <w:tcW w:w="1123" w:type="dxa"/>
            <w:tcBorders>
              <w:top w:val="single" w:sz="4" w:space="0" w:color="auto"/>
            </w:tcBorders>
            <w:shd w:val="clear" w:color="auto" w:fill="auto"/>
            <w:vAlign w:val="center"/>
            <w:hideMark/>
          </w:tcPr>
          <w:p w14:paraId="5DE7E05A" w14:textId="55F475E7"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0,18</w:t>
            </w:r>
          </w:p>
        </w:tc>
        <w:tc>
          <w:tcPr>
            <w:tcW w:w="1123" w:type="dxa"/>
            <w:tcBorders>
              <w:top w:val="single" w:sz="4" w:space="0" w:color="auto"/>
            </w:tcBorders>
            <w:shd w:val="clear" w:color="auto" w:fill="auto"/>
            <w:vAlign w:val="center"/>
            <w:hideMark/>
          </w:tcPr>
          <w:p w14:paraId="2396D136" w14:textId="487746C1"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0,17</w:t>
            </w:r>
          </w:p>
        </w:tc>
        <w:tc>
          <w:tcPr>
            <w:tcW w:w="1123" w:type="dxa"/>
            <w:tcBorders>
              <w:top w:val="single" w:sz="4" w:space="0" w:color="auto"/>
            </w:tcBorders>
            <w:shd w:val="clear" w:color="auto" w:fill="auto"/>
            <w:vAlign w:val="center"/>
            <w:hideMark/>
          </w:tcPr>
          <w:p w14:paraId="6BE4C966" w14:textId="59C4F6C3"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0,18</w:t>
            </w:r>
          </w:p>
        </w:tc>
        <w:tc>
          <w:tcPr>
            <w:tcW w:w="1146" w:type="dxa"/>
            <w:tcBorders>
              <w:top w:val="single" w:sz="4" w:space="0" w:color="auto"/>
            </w:tcBorders>
            <w:vAlign w:val="center"/>
          </w:tcPr>
          <w:p w14:paraId="7B73B1A4" w14:textId="5731D6B4"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0,20</w:t>
            </w:r>
          </w:p>
        </w:tc>
        <w:tc>
          <w:tcPr>
            <w:tcW w:w="1146" w:type="dxa"/>
            <w:tcBorders>
              <w:top w:val="single" w:sz="4" w:space="0" w:color="auto"/>
            </w:tcBorders>
            <w:shd w:val="clear" w:color="auto" w:fill="auto"/>
            <w:vAlign w:val="center"/>
            <w:hideMark/>
          </w:tcPr>
          <w:p w14:paraId="430F4484" w14:textId="76BE3E94"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&lt; 0,5</w:t>
            </w:r>
          </w:p>
        </w:tc>
        <w:tc>
          <w:tcPr>
            <w:tcW w:w="1969" w:type="dxa"/>
            <w:tcBorders>
              <w:top w:val="single" w:sz="4" w:space="0" w:color="auto"/>
            </w:tcBorders>
            <w:shd w:val="clear" w:color="auto" w:fill="auto"/>
            <w:vAlign w:val="center"/>
            <w:hideMark/>
          </w:tcPr>
          <w:p w14:paraId="3BC45C89" w14:textId="77777777" w:rsidR="00975702" w:rsidRPr="00ED0E51" w:rsidRDefault="00975702" w:rsidP="00975702">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na razini prethodnih godina</w:t>
            </w:r>
          </w:p>
        </w:tc>
      </w:tr>
      <w:tr w:rsidR="00975702" w:rsidRPr="00ED0E51" w14:paraId="3A405A7E" w14:textId="77777777" w:rsidTr="00BD31C1">
        <w:trPr>
          <w:trHeight w:val="567"/>
        </w:trPr>
        <w:tc>
          <w:tcPr>
            <w:tcW w:w="2150" w:type="dxa"/>
            <w:shd w:val="clear" w:color="auto" w:fill="auto"/>
            <w:noWrap/>
            <w:vAlign w:val="center"/>
            <w:hideMark/>
          </w:tcPr>
          <w:p w14:paraId="524D0FD8" w14:textId="77777777" w:rsidR="00975702" w:rsidRPr="00ED0E51" w:rsidRDefault="00975702" w:rsidP="00975702">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Pokazatelj vlastitog financiranja</w:t>
            </w:r>
          </w:p>
        </w:tc>
        <w:tc>
          <w:tcPr>
            <w:tcW w:w="1123" w:type="dxa"/>
            <w:shd w:val="clear" w:color="auto" w:fill="auto"/>
            <w:vAlign w:val="center"/>
            <w:hideMark/>
          </w:tcPr>
          <w:p w14:paraId="6E1A5546" w14:textId="284A4A48"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0,23</w:t>
            </w:r>
          </w:p>
        </w:tc>
        <w:tc>
          <w:tcPr>
            <w:tcW w:w="1123" w:type="dxa"/>
            <w:shd w:val="clear" w:color="auto" w:fill="auto"/>
            <w:vAlign w:val="center"/>
            <w:hideMark/>
          </w:tcPr>
          <w:p w14:paraId="034656B2" w14:textId="213A0FA1"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0,30</w:t>
            </w:r>
          </w:p>
        </w:tc>
        <w:tc>
          <w:tcPr>
            <w:tcW w:w="1123" w:type="dxa"/>
            <w:shd w:val="clear" w:color="auto" w:fill="auto"/>
            <w:vAlign w:val="center"/>
            <w:hideMark/>
          </w:tcPr>
          <w:p w14:paraId="3C788C4F" w14:textId="14287C6C"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0,33</w:t>
            </w:r>
          </w:p>
        </w:tc>
        <w:tc>
          <w:tcPr>
            <w:tcW w:w="1146" w:type="dxa"/>
            <w:vAlign w:val="center"/>
          </w:tcPr>
          <w:p w14:paraId="730C200E" w14:textId="26421DAE"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0,29</w:t>
            </w:r>
          </w:p>
        </w:tc>
        <w:tc>
          <w:tcPr>
            <w:tcW w:w="1146" w:type="dxa"/>
            <w:shd w:val="clear" w:color="auto" w:fill="auto"/>
            <w:vAlign w:val="center"/>
            <w:hideMark/>
          </w:tcPr>
          <w:p w14:paraId="77AB7B87" w14:textId="2072E6C7"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&gt; 0,5</w:t>
            </w:r>
          </w:p>
        </w:tc>
        <w:tc>
          <w:tcPr>
            <w:tcW w:w="1969" w:type="dxa"/>
            <w:shd w:val="clear" w:color="auto" w:fill="auto"/>
            <w:vAlign w:val="center"/>
            <w:hideMark/>
          </w:tcPr>
          <w:p w14:paraId="08AEF02B" w14:textId="4136758E" w:rsidR="00975702" w:rsidRPr="00ED0E51" w:rsidRDefault="00975702" w:rsidP="00975702">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 xml:space="preserve">porast (sufinanciranje bespovratnim  sredstvima) </w:t>
            </w:r>
          </w:p>
        </w:tc>
      </w:tr>
      <w:tr w:rsidR="00975702" w:rsidRPr="00ED0E51" w14:paraId="68C0C362" w14:textId="77777777" w:rsidTr="00BD31C1">
        <w:trPr>
          <w:trHeight w:val="567"/>
        </w:trPr>
        <w:tc>
          <w:tcPr>
            <w:tcW w:w="2150" w:type="dxa"/>
            <w:shd w:val="clear" w:color="auto" w:fill="auto"/>
            <w:noWrap/>
            <w:vAlign w:val="center"/>
            <w:hideMark/>
          </w:tcPr>
          <w:p w14:paraId="2EF44CF2" w14:textId="58554234" w:rsidR="00975702" w:rsidRPr="00ED0E51" w:rsidRDefault="00975702" w:rsidP="00975702">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Koeficijent financiranja</w:t>
            </w:r>
          </w:p>
        </w:tc>
        <w:tc>
          <w:tcPr>
            <w:tcW w:w="1123" w:type="dxa"/>
            <w:shd w:val="clear" w:color="auto" w:fill="auto"/>
            <w:vAlign w:val="center"/>
            <w:hideMark/>
          </w:tcPr>
          <w:p w14:paraId="3656F9A4" w14:textId="7A9B815F"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0,77</w:t>
            </w:r>
          </w:p>
        </w:tc>
        <w:tc>
          <w:tcPr>
            <w:tcW w:w="1123" w:type="dxa"/>
            <w:shd w:val="clear" w:color="auto" w:fill="auto"/>
            <w:vAlign w:val="center"/>
            <w:hideMark/>
          </w:tcPr>
          <w:p w14:paraId="41B3E484" w14:textId="4E72E870"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0,67</w:t>
            </w:r>
          </w:p>
        </w:tc>
        <w:tc>
          <w:tcPr>
            <w:tcW w:w="1123" w:type="dxa"/>
            <w:shd w:val="clear" w:color="auto" w:fill="auto"/>
            <w:vAlign w:val="center"/>
            <w:hideMark/>
          </w:tcPr>
          <w:p w14:paraId="2D5270EC" w14:textId="5F37BCCF"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0,65</w:t>
            </w:r>
          </w:p>
        </w:tc>
        <w:tc>
          <w:tcPr>
            <w:tcW w:w="1146" w:type="dxa"/>
            <w:vAlign w:val="center"/>
          </w:tcPr>
          <w:p w14:paraId="52FF59C4" w14:textId="3B034A49"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0,68</w:t>
            </w:r>
          </w:p>
        </w:tc>
        <w:tc>
          <w:tcPr>
            <w:tcW w:w="1146" w:type="dxa"/>
            <w:shd w:val="clear" w:color="auto" w:fill="auto"/>
            <w:vAlign w:val="center"/>
            <w:hideMark/>
          </w:tcPr>
          <w:p w14:paraId="4EC2E6D3" w14:textId="3336A908"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što manji</w:t>
            </w:r>
          </w:p>
        </w:tc>
        <w:tc>
          <w:tcPr>
            <w:tcW w:w="1969" w:type="dxa"/>
            <w:shd w:val="clear" w:color="auto" w:fill="auto"/>
            <w:vAlign w:val="center"/>
            <w:hideMark/>
          </w:tcPr>
          <w:p w14:paraId="261E055F" w14:textId="446FBA9F" w:rsidR="00975702" w:rsidRPr="00ED0E51" w:rsidRDefault="00975702" w:rsidP="00975702">
            <w:pPr>
              <w:spacing w:after="0" w:line="240" w:lineRule="auto"/>
              <w:rPr>
                <w:rFonts w:eastAsia="Times New Roman" w:cstheme="minorHAnsi"/>
                <w:color w:val="000000"/>
                <w:sz w:val="18"/>
                <w:szCs w:val="18"/>
                <w:lang w:eastAsia="hr-HR"/>
              </w:rPr>
            </w:pPr>
            <w:r>
              <w:rPr>
                <w:rFonts w:eastAsia="Times New Roman" w:cstheme="minorHAnsi"/>
                <w:color w:val="000000"/>
                <w:sz w:val="18"/>
                <w:szCs w:val="18"/>
                <w:lang w:eastAsia="hr-HR"/>
              </w:rPr>
              <w:t>smanjenje</w:t>
            </w:r>
          </w:p>
        </w:tc>
      </w:tr>
      <w:tr w:rsidR="00975702" w:rsidRPr="00ED0E51" w14:paraId="01FA8A3A" w14:textId="77777777" w:rsidTr="00BD31C1">
        <w:trPr>
          <w:trHeight w:val="567"/>
        </w:trPr>
        <w:tc>
          <w:tcPr>
            <w:tcW w:w="2150" w:type="dxa"/>
            <w:shd w:val="clear" w:color="auto" w:fill="auto"/>
            <w:vAlign w:val="center"/>
            <w:hideMark/>
          </w:tcPr>
          <w:p w14:paraId="7F35D911" w14:textId="6BD03FC9" w:rsidR="00975702" w:rsidRPr="00ED0E51" w:rsidRDefault="00975702" w:rsidP="00975702">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Faktor zaduženosti (br. god. za podmirenje uk</w:t>
            </w:r>
            <w:r>
              <w:rPr>
                <w:rFonts w:eastAsia="Times New Roman" w:cstheme="minorHAnsi"/>
                <w:color w:val="000000"/>
                <w:sz w:val="18"/>
                <w:szCs w:val="18"/>
                <w:lang w:eastAsia="hr-HR"/>
              </w:rPr>
              <w:t>upnih</w:t>
            </w:r>
            <w:r w:rsidRPr="00ED0E51">
              <w:rPr>
                <w:rFonts w:eastAsia="Times New Roman" w:cstheme="minorHAnsi"/>
                <w:color w:val="000000"/>
                <w:sz w:val="18"/>
                <w:szCs w:val="18"/>
                <w:lang w:eastAsia="hr-HR"/>
              </w:rPr>
              <w:t xml:space="preserve"> obveza)</w:t>
            </w:r>
          </w:p>
        </w:tc>
        <w:tc>
          <w:tcPr>
            <w:tcW w:w="1123" w:type="dxa"/>
            <w:shd w:val="clear" w:color="auto" w:fill="auto"/>
            <w:vAlign w:val="center"/>
            <w:hideMark/>
          </w:tcPr>
          <w:p w14:paraId="419B035A" w14:textId="2DA92223"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1,86</w:t>
            </w:r>
          </w:p>
        </w:tc>
        <w:tc>
          <w:tcPr>
            <w:tcW w:w="1123" w:type="dxa"/>
            <w:shd w:val="clear" w:color="auto" w:fill="auto"/>
            <w:vAlign w:val="center"/>
            <w:hideMark/>
          </w:tcPr>
          <w:p w14:paraId="72DC7B18" w14:textId="34199B0E"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1,47</w:t>
            </w:r>
          </w:p>
        </w:tc>
        <w:tc>
          <w:tcPr>
            <w:tcW w:w="1123" w:type="dxa"/>
            <w:shd w:val="clear" w:color="auto" w:fill="auto"/>
            <w:vAlign w:val="center"/>
            <w:hideMark/>
          </w:tcPr>
          <w:p w14:paraId="0F6B3B09" w14:textId="1AA9C311"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1,38</w:t>
            </w:r>
          </w:p>
        </w:tc>
        <w:tc>
          <w:tcPr>
            <w:tcW w:w="1146" w:type="dxa"/>
            <w:vAlign w:val="center"/>
          </w:tcPr>
          <w:p w14:paraId="57DB81D3" w14:textId="714E957C" w:rsidR="00975702" w:rsidRPr="00ED0E51" w:rsidRDefault="00975702" w:rsidP="00975702">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1,35</w:t>
            </w:r>
          </w:p>
        </w:tc>
        <w:tc>
          <w:tcPr>
            <w:tcW w:w="1146" w:type="dxa"/>
            <w:shd w:val="clear" w:color="auto" w:fill="auto"/>
            <w:vAlign w:val="center"/>
            <w:hideMark/>
          </w:tcPr>
          <w:p w14:paraId="1FC490BA" w14:textId="2923A772" w:rsidR="00975702" w:rsidRPr="00ED0E51" w:rsidRDefault="00975702" w:rsidP="00975702">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&lt; 5 godina</w:t>
            </w:r>
          </w:p>
        </w:tc>
        <w:tc>
          <w:tcPr>
            <w:tcW w:w="1969" w:type="dxa"/>
            <w:shd w:val="clear" w:color="auto" w:fill="auto"/>
            <w:vAlign w:val="center"/>
            <w:hideMark/>
          </w:tcPr>
          <w:p w14:paraId="52F0FBD9" w14:textId="1255CEAE" w:rsidR="00975702" w:rsidRPr="00ED0E51" w:rsidRDefault="00975702" w:rsidP="00975702">
            <w:pPr>
              <w:spacing w:after="0" w:line="240" w:lineRule="auto"/>
              <w:rPr>
                <w:rFonts w:eastAsia="Times New Roman" w:cstheme="minorHAnsi"/>
                <w:sz w:val="18"/>
                <w:szCs w:val="18"/>
                <w:lang w:eastAsia="hr-HR"/>
              </w:rPr>
            </w:pPr>
            <w:r>
              <w:rPr>
                <w:rFonts w:eastAsia="Times New Roman" w:cstheme="minorHAnsi"/>
                <w:sz w:val="18"/>
                <w:szCs w:val="18"/>
                <w:lang w:eastAsia="hr-HR"/>
              </w:rPr>
              <w:t>smanjenje</w:t>
            </w:r>
          </w:p>
        </w:tc>
      </w:tr>
    </w:tbl>
    <w:p w14:paraId="14EE6665" w14:textId="77777777" w:rsidR="007B5431" w:rsidRPr="001C59D5" w:rsidRDefault="007B5431" w:rsidP="007B5431">
      <w:pPr>
        <w:autoSpaceDE w:val="0"/>
        <w:autoSpaceDN w:val="0"/>
        <w:adjustRightInd w:val="0"/>
        <w:spacing w:before="120" w:after="120" w:line="360" w:lineRule="auto"/>
        <w:jc w:val="both"/>
        <w:rPr>
          <w:rFonts w:ascii="Calibri" w:hAnsi="Calibri" w:cs="Calibri"/>
          <w:color w:val="000000"/>
        </w:rPr>
      </w:pPr>
    </w:p>
    <w:p w14:paraId="366F1438" w14:textId="0E82CFB0" w:rsidR="007B5431" w:rsidRPr="001C59D5" w:rsidRDefault="007B5431" w:rsidP="007B5431">
      <w:pPr>
        <w:autoSpaceDE w:val="0"/>
        <w:autoSpaceDN w:val="0"/>
        <w:adjustRightInd w:val="0"/>
        <w:spacing w:before="120" w:after="120" w:line="360" w:lineRule="auto"/>
        <w:jc w:val="both"/>
        <w:rPr>
          <w:rFonts w:ascii="Calibri" w:hAnsi="Calibri" w:cs="Calibri"/>
          <w:color w:val="000000"/>
        </w:rPr>
      </w:pPr>
      <w:r w:rsidRPr="001C59D5">
        <w:rPr>
          <w:rFonts w:ascii="Calibri" w:hAnsi="Calibri" w:cs="Calibri"/>
          <w:color w:val="000000"/>
        </w:rPr>
        <w:t xml:space="preserve">Koeficijent zaduženosti izražen odnosom ukupnih obveza prema ukupnoj imovini pokazuje da su na 1 </w:t>
      </w:r>
      <w:r w:rsidR="008356F7">
        <w:rPr>
          <w:rFonts w:ascii="Calibri" w:hAnsi="Calibri" w:cs="Calibri"/>
          <w:color w:val="000000"/>
        </w:rPr>
        <w:t>euro</w:t>
      </w:r>
      <w:r w:rsidRPr="001C59D5">
        <w:rPr>
          <w:rFonts w:ascii="Calibri" w:hAnsi="Calibri" w:cs="Calibri"/>
          <w:color w:val="000000"/>
        </w:rPr>
        <w:t xml:space="preserve"> ukupne imovine stvorene ukupne obveze u iznosu od 0,</w:t>
      </w:r>
      <w:r w:rsidR="00F41B29">
        <w:rPr>
          <w:rFonts w:ascii="Calibri" w:hAnsi="Calibri" w:cs="Calibri"/>
          <w:color w:val="000000"/>
        </w:rPr>
        <w:t>20</w:t>
      </w:r>
      <w:r w:rsidRPr="001C59D5">
        <w:rPr>
          <w:rFonts w:ascii="Calibri" w:hAnsi="Calibri" w:cs="Calibri"/>
          <w:color w:val="000000"/>
        </w:rPr>
        <w:t xml:space="preserve"> </w:t>
      </w:r>
      <w:r w:rsidR="008356F7">
        <w:rPr>
          <w:rFonts w:ascii="Calibri" w:hAnsi="Calibri" w:cs="Calibri"/>
          <w:color w:val="000000"/>
        </w:rPr>
        <w:t>eura</w:t>
      </w:r>
      <w:r w:rsidRPr="001C59D5">
        <w:rPr>
          <w:rFonts w:ascii="Calibri" w:hAnsi="Calibri" w:cs="Calibri"/>
          <w:color w:val="000000"/>
        </w:rPr>
        <w:t xml:space="preserve"> što je u skladu sa zahtjevom prema referentnoj vrijednosti</w:t>
      </w:r>
      <w:r w:rsidR="00D13CF7">
        <w:rPr>
          <w:rFonts w:ascii="Calibri" w:hAnsi="Calibri" w:cs="Calibri"/>
          <w:color w:val="000000"/>
        </w:rPr>
        <w:t xml:space="preserve">. </w:t>
      </w:r>
      <w:r w:rsidR="009D79BE">
        <w:rPr>
          <w:rFonts w:ascii="Calibri" w:hAnsi="Calibri" w:cs="Calibri"/>
          <w:color w:val="000000"/>
        </w:rPr>
        <w:t>Koeficijent zaduženosti ostao je na približno istoj razini kao i u pretho</w:t>
      </w:r>
      <w:r w:rsidR="0041636B">
        <w:rPr>
          <w:rFonts w:ascii="Calibri" w:hAnsi="Calibri" w:cs="Calibri"/>
          <w:color w:val="000000"/>
        </w:rPr>
        <w:t>dnim razdobljima.</w:t>
      </w:r>
      <w:r>
        <w:rPr>
          <w:rFonts w:ascii="Calibri" w:hAnsi="Calibri" w:cs="Calibri"/>
          <w:color w:val="000000"/>
        </w:rPr>
        <w:t xml:space="preserve"> </w:t>
      </w:r>
    </w:p>
    <w:p w14:paraId="5E6788A0" w14:textId="3789888B" w:rsidR="007B5431" w:rsidRPr="00F41B29" w:rsidRDefault="007B5431" w:rsidP="007B5431">
      <w:pPr>
        <w:autoSpaceDE w:val="0"/>
        <w:autoSpaceDN w:val="0"/>
        <w:adjustRightInd w:val="0"/>
        <w:spacing w:before="120" w:after="120" w:line="360" w:lineRule="auto"/>
        <w:jc w:val="both"/>
        <w:rPr>
          <w:rFonts w:ascii="Calibri" w:hAnsi="Calibri" w:cs="Calibri"/>
          <w:color w:val="000000"/>
        </w:rPr>
      </w:pPr>
      <w:r w:rsidRPr="001C59D5">
        <w:rPr>
          <w:rFonts w:ascii="Calibri" w:hAnsi="Calibri" w:cs="Calibri"/>
          <w:color w:val="000000"/>
        </w:rPr>
        <w:t>Koeficijent vlastitog financiranja</w:t>
      </w:r>
      <w:r>
        <w:rPr>
          <w:rFonts w:ascii="Calibri" w:hAnsi="Calibri" w:cs="Calibri"/>
          <w:color w:val="000000"/>
        </w:rPr>
        <w:t xml:space="preserve"> </w:t>
      </w:r>
      <w:r w:rsidR="00F41B29">
        <w:rPr>
          <w:rFonts w:ascii="Calibri" w:hAnsi="Calibri" w:cs="Calibri"/>
          <w:color w:val="000000"/>
        </w:rPr>
        <w:t>smanjen</w:t>
      </w:r>
      <w:r w:rsidR="00A4626C">
        <w:rPr>
          <w:rFonts w:ascii="Calibri" w:hAnsi="Calibri" w:cs="Calibri"/>
          <w:color w:val="000000"/>
        </w:rPr>
        <w:t xml:space="preserve"> je</w:t>
      </w:r>
      <w:r>
        <w:rPr>
          <w:rFonts w:ascii="Calibri" w:hAnsi="Calibri" w:cs="Calibri"/>
          <w:color w:val="000000"/>
        </w:rPr>
        <w:t xml:space="preserve"> u odnosu na prethodnu godinu</w:t>
      </w:r>
      <w:r w:rsidR="000A7E22">
        <w:rPr>
          <w:rFonts w:ascii="Calibri" w:hAnsi="Calibri" w:cs="Calibri"/>
          <w:color w:val="000000"/>
        </w:rPr>
        <w:t xml:space="preserve"> i pokazuje da je 1 </w:t>
      </w:r>
      <w:r w:rsidR="00FF0AB6">
        <w:rPr>
          <w:rFonts w:ascii="Calibri" w:hAnsi="Calibri" w:cs="Calibri"/>
          <w:color w:val="000000"/>
        </w:rPr>
        <w:t>euro</w:t>
      </w:r>
      <w:r w:rsidR="000A7E22">
        <w:rPr>
          <w:rFonts w:ascii="Calibri" w:hAnsi="Calibri" w:cs="Calibri"/>
          <w:color w:val="000000"/>
        </w:rPr>
        <w:t xml:space="preserve"> imovine financiran iz 0,</w:t>
      </w:r>
      <w:r w:rsidR="00F41B29">
        <w:rPr>
          <w:rFonts w:ascii="Calibri" w:hAnsi="Calibri" w:cs="Calibri"/>
          <w:color w:val="000000"/>
        </w:rPr>
        <w:t>29</w:t>
      </w:r>
      <w:r w:rsidR="000A7E22">
        <w:rPr>
          <w:rFonts w:ascii="Calibri" w:hAnsi="Calibri" w:cs="Calibri"/>
          <w:color w:val="000000"/>
        </w:rPr>
        <w:t xml:space="preserve"> </w:t>
      </w:r>
      <w:r w:rsidR="00FF0AB6">
        <w:rPr>
          <w:rFonts w:ascii="Calibri" w:hAnsi="Calibri" w:cs="Calibri"/>
          <w:color w:val="000000"/>
        </w:rPr>
        <w:t>eura</w:t>
      </w:r>
      <w:r w:rsidR="000A7E22">
        <w:rPr>
          <w:rFonts w:ascii="Calibri" w:hAnsi="Calibri" w:cs="Calibri"/>
          <w:color w:val="000000"/>
        </w:rPr>
        <w:t xml:space="preserve"> vlastitog kapitala</w:t>
      </w:r>
      <w:r w:rsidR="000A7E22" w:rsidRPr="00F41B29">
        <w:rPr>
          <w:rFonts w:ascii="Calibri" w:hAnsi="Calibri" w:cs="Calibri"/>
          <w:color w:val="000000"/>
        </w:rPr>
        <w:t xml:space="preserve">. </w:t>
      </w:r>
      <w:r w:rsidR="00F41B29" w:rsidRPr="00F41B29">
        <w:rPr>
          <w:rFonts w:ascii="Calibri" w:hAnsi="Calibri" w:cs="Calibri"/>
          <w:color w:val="000000"/>
        </w:rPr>
        <w:t>Iako je zabilježen blagi pad, vrijednost se još uvijek nalazi iznad referentne razine (&gt; 0,2), što ukazuje na zadovoljavajuću sposobnost financiranja imovine vlastitim izvorima</w:t>
      </w:r>
      <w:r w:rsidR="00F41B29">
        <w:rPr>
          <w:rFonts w:ascii="Calibri" w:hAnsi="Calibri" w:cs="Calibri"/>
          <w:color w:val="000000"/>
        </w:rPr>
        <w:t>.</w:t>
      </w:r>
    </w:p>
    <w:p w14:paraId="56FD469C" w14:textId="77777777" w:rsidR="009C6E0C" w:rsidRPr="009C6E0C" w:rsidRDefault="009C6E0C" w:rsidP="007B5431">
      <w:pPr>
        <w:spacing w:before="120" w:after="120" w:line="360" w:lineRule="auto"/>
        <w:jc w:val="both"/>
        <w:rPr>
          <w:rFonts w:ascii="Calibri" w:hAnsi="Calibri" w:cs="Calibri"/>
          <w:color w:val="000000"/>
        </w:rPr>
      </w:pPr>
      <w:r w:rsidRPr="009C6E0C">
        <w:rPr>
          <w:rFonts w:ascii="Calibri" w:hAnsi="Calibri" w:cs="Calibri"/>
          <w:color w:val="000000"/>
        </w:rPr>
        <w:t>Koeficijent financiranja, koji prikazuje odnos financiranja iz tuđih i vlastitih izvora, iznosi 0,68, što znači da na 1 euro vlastitih sredstava dolazi 0,68 eura tuđih sredstava. U odnosu na prethodnu godinu (2023.: 0,65), pokazatelj je blago povećan, ali i dalje ukazuje na uravnotežen odnos izvora financiranja, s niskim rizikom prezaduženosti.</w:t>
      </w:r>
    </w:p>
    <w:p w14:paraId="2BB3A7FA" w14:textId="64645B07" w:rsidR="00E9501A" w:rsidRDefault="007B5431" w:rsidP="001F13DE">
      <w:pPr>
        <w:spacing w:before="120" w:after="120" w:line="360" w:lineRule="auto"/>
        <w:jc w:val="both"/>
        <w:rPr>
          <w:rFonts w:ascii="Calibri" w:hAnsi="Calibri" w:cs="Calibri"/>
          <w:color w:val="000000"/>
        </w:rPr>
      </w:pPr>
      <w:r w:rsidRPr="001C59D5">
        <w:rPr>
          <w:rFonts w:ascii="Calibri" w:hAnsi="Calibri" w:cs="Calibri"/>
          <w:color w:val="000000"/>
        </w:rPr>
        <w:t xml:space="preserve">Faktor zaduženosti pokazuje da bi uz postojeće uvjete poslovanja, Društvu bilo potrebno </w:t>
      </w:r>
      <w:r>
        <w:rPr>
          <w:rFonts w:ascii="Calibri" w:hAnsi="Calibri" w:cs="Calibri"/>
          <w:color w:val="000000"/>
        </w:rPr>
        <w:t>1,</w:t>
      </w:r>
      <w:r w:rsidR="00FF0AB6">
        <w:rPr>
          <w:rFonts w:ascii="Calibri" w:hAnsi="Calibri" w:cs="Calibri"/>
          <w:color w:val="000000"/>
        </w:rPr>
        <w:t>3</w:t>
      </w:r>
      <w:r w:rsidR="001F13DE">
        <w:rPr>
          <w:rFonts w:ascii="Calibri" w:hAnsi="Calibri" w:cs="Calibri"/>
          <w:color w:val="000000"/>
        </w:rPr>
        <w:t>5</w:t>
      </w:r>
      <w:r w:rsidRPr="001C59D5">
        <w:rPr>
          <w:rFonts w:ascii="Calibri" w:hAnsi="Calibri" w:cs="Calibri"/>
          <w:color w:val="000000"/>
        </w:rPr>
        <w:t xml:space="preserve"> godin</w:t>
      </w:r>
      <w:r>
        <w:rPr>
          <w:rFonts w:ascii="Calibri" w:hAnsi="Calibri" w:cs="Calibri"/>
          <w:color w:val="000000"/>
        </w:rPr>
        <w:t>a</w:t>
      </w:r>
      <w:r w:rsidRPr="001C59D5">
        <w:rPr>
          <w:rFonts w:ascii="Calibri" w:hAnsi="Calibri" w:cs="Calibri"/>
          <w:color w:val="000000"/>
        </w:rPr>
        <w:t xml:space="preserve"> da podmiri ukupno stvorene obveze</w:t>
      </w:r>
      <w:r w:rsidR="00C019A9">
        <w:rPr>
          <w:rFonts w:ascii="Calibri" w:hAnsi="Calibri" w:cs="Calibri"/>
          <w:color w:val="000000"/>
        </w:rPr>
        <w:t xml:space="preserve"> </w:t>
      </w:r>
      <w:r w:rsidR="002469BB">
        <w:rPr>
          <w:rFonts w:ascii="Calibri" w:hAnsi="Calibri" w:cs="Calibri"/>
          <w:color w:val="000000"/>
        </w:rPr>
        <w:t>pod</w:t>
      </w:r>
      <w:r w:rsidR="00C019A9" w:rsidRPr="00C019A9">
        <w:rPr>
          <w:rFonts w:ascii="Calibri" w:hAnsi="Calibri" w:cs="Calibri"/>
          <w:color w:val="000000"/>
        </w:rPr>
        <w:t xml:space="preserve"> pretpostavkom nepromijenjenih uvjeta poslovanja</w:t>
      </w:r>
      <w:r w:rsidR="00C019A9">
        <w:rPr>
          <w:rFonts w:ascii="Calibri" w:hAnsi="Calibri" w:cs="Calibri"/>
          <w:color w:val="000000"/>
        </w:rPr>
        <w:t>.</w:t>
      </w:r>
      <w:r w:rsidR="00D45958">
        <w:rPr>
          <w:rFonts w:ascii="Calibri" w:hAnsi="Calibri" w:cs="Calibri"/>
          <w:color w:val="000000"/>
        </w:rPr>
        <w:t xml:space="preserve"> </w:t>
      </w:r>
      <w:r w:rsidR="00D45958" w:rsidRPr="00D45958">
        <w:rPr>
          <w:rFonts w:ascii="Calibri" w:hAnsi="Calibri" w:cs="Calibri"/>
          <w:color w:val="000000"/>
        </w:rPr>
        <w:t xml:space="preserve">Vrijednost je nešto niža nego prethodne godine (2023.: 1,38) </w:t>
      </w:r>
      <w:r w:rsidR="00D45958">
        <w:rPr>
          <w:rFonts w:ascii="Calibri" w:hAnsi="Calibri" w:cs="Calibri"/>
          <w:color w:val="000000"/>
        </w:rPr>
        <w:t xml:space="preserve">ali </w:t>
      </w:r>
      <w:r w:rsidR="00D45958" w:rsidRPr="00D45958">
        <w:rPr>
          <w:rFonts w:ascii="Calibri" w:hAnsi="Calibri" w:cs="Calibri"/>
          <w:color w:val="000000"/>
        </w:rPr>
        <w:t>ostaje znatno ispod referentne granice od 5 godina</w:t>
      </w:r>
      <w:r w:rsidR="00D45958">
        <w:rPr>
          <w:rFonts w:ascii="Calibri" w:hAnsi="Calibri" w:cs="Calibri"/>
          <w:color w:val="000000"/>
        </w:rPr>
        <w:t>.</w:t>
      </w:r>
    </w:p>
    <w:p w14:paraId="5FDAB526" w14:textId="5214F66E" w:rsidR="004D0D61" w:rsidRPr="00D45958" w:rsidRDefault="00E9501A" w:rsidP="00E9501A">
      <w:pPr>
        <w:rPr>
          <w:rFonts w:ascii="Calibri" w:hAnsi="Calibri" w:cs="Calibri"/>
          <w:color w:val="000000"/>
        </w:rPr>
      </w:pPr>
      <w:r>
        <w:rPr>
          <w:rFonts w:ascii="Calibri" w:hAnsi="Calibri" w:cs="Calibri"/>
          <w:color w:val="000000"/>
        </w:rPr>
        <w:br w:type="page"/>
      </w:r>
    </w:p>
    <w:p w14:paraId="56354627" w14:textId="093EC9D5" w:rsidR="00FB4EB7" w:rsidRPr="00E9501A" w:rsidRDefault="00D515BD" w:rsidP="00E9501A">
      <w:pPr>
        <w:pStyle w:val="Heading2"/>
      </w:pPr>
      <w:bookmarkStart w:id="34" w:name="_Toc200094276"/>
      <w:r>
        <w:lastRenderedPageBreak/>
        <w:t>5</w:t>
      </w:r>
      <w:r w:rsidR="00FB4EB7" w:rsidRPr="005B13F2">
        <w:t>.3. Pokazatelji aktivnosti</w:t>
      </w:r>
      <w:bookmarkEnd w:id="34"/>
    </w:p>
    <w:p w14:paraId="7DCEE946" w14:textId="2ED0D9EE" w:rsidR="004D0D61" w:rsidRPr="00D06A85" w:rsidRDefault="00FB4EB7" w:rsidP="00D06A85">
      <w:pPr>
        <w:autoSpaceDE w:val="0"/>
        <w:autoSpaceDN w:val="0"/>
        <w:adjustRightInd w:val="0"/>
        <w:spacing w:before="240" w:after="240" w:line="360" w:lineRule="auto"/>
        <w:jc w:val="both"/>
        <w:rPr>
          <w:rFonts w:ascii="Calibri" w:hAnsi="Calibri" w:cs="Calibri"/>
          <w:color w:val="000000"/>
        </w:rPr>
      </w:pPr>
      <w:r w:rsidRPr="001C59D5">
        <w:rPr>
          <w:rFonts w:ascii="Calibri" w:hAnsi="Calibri" w:cs="Calibri"/>
          <w:color w:val="000000"/>
        </w:rPr>
        <w:t xml:space="preserve">Pokazatelji aktivnosti daju informaciju o sigurnosti i uspješnosti poslovanja, mjere koliko je trgovačko društvo aktivno, odnosno koliko učinkovito upotrebljava svoje resurse te kojom brzinom imovina cirkulira u poslovnom procesu. </w:t>
      </w:r>
      <w:r w:rsidR="006969CE">
        <w:t xml:space="preserve">U tablici 9. prikazani su pokazatelji </w:t>
      </w:r>
      <w:r w:rsidR="00E20310">
        <w:t>aktivnosti</w:t>
      </w:r>
      <w:r w:rsidR="006969CE">
        <w:t xml:space="preserve"> u razdoblju od 20</w:t>
      </w:r>
      <w:r w:rsidR="00EE29D3">
        <w:t>2</w:t>
      </w:r>
      <w:r w:rsidR="00D06A85">
        <w:t>1</w:t>
      </w:r>
      <w:r w:rsidR="006969CE">
        <w:t>. do 202</w:t>
      </w:r>
      <w:r w:rsidR="00D06A85">
        <w:t>4</w:t>
      </w:r>
      <w:r w:rsidR="006969CE">
        <w:t>. godine.</w:t>
      </w:r>
    </w:p>
    <w:p w14:paraId="037C1975" w14:textId="4B04D206" w:rsidR="00FB4EB7" w:rsidRDefault="00FB4EB7" w:rsidP="00FB4EB7">
      <w:pPr>
        <w:autoSpaceDE w:val="0"/>
        <w:autoSpaceDN w:val="0"/>
        <w:adjustRightInd w:val="0"/>
        <w:spacing w:before="120" w:after="120" w:line="360" w:lineRule="auto"/>
        <w:jc w:val="both"/>
        <w:rPr>
          <w:rFonts w:ascii="Calibri" w:hAnsi="Calibri" w:cs="Calibri"/>
          <w:color w:val="000000"/>
        </w:rPr>
      </w:pPr>
      <w:bookmarkStart w:id="35" w:name="_Toc200366447"/>
      <w:r w:rsidRPr="002476A4">
        <w:rPr>
          <w:rFonts w:cstheme="minorHAnsi"/>
          <w:b/>
          <w:bCs/>
        </w:rPr>
        <w:t xml:space="preserve">Tablica </w:t>
      </w:r>
      <w:r w:rsidRPr="002476A4">
        <w:rPr>
          <w:rFonts w:eastAsia="Times New Roman" w:cstheme="minorHAnsi"/>
          <w:b/>
          <w:bCs/>
        </w:rPr>
        <w:fldChar w:fldCharType="begin"/>
      </w:r>
      <w:r w:rsidRPr="002476A4">
        <w:rPr>
          <w:rFonts w:cstheme="minorHAnsi"/>
          <w:b/>
          <w:bCs/>
        </w:rPr>
        <w:instrText xml:space="preserve"> SEQ Tablica \* ARABIC </w:instrText>
      </w:r>
      <w:r w:rsidRPr="002476A4">
        <w:rPr>
          <w:rFonts w:eastAsia="Times New Roman" w:cstheme="minorHAnsi"/>
          <w:b/>
          <w:bCs/>
        </w:rPr>
        <w:fldChar w:fldCharType="separate"/>
      </w:r>
      <w:r w:rsidR="00A1075A">
        <w:rPr>
          <w:rFonts w:cstheme="minorHAnsi"/>
          <w:b/>
          <w:bCs/>
          <w:noProof/>
        </w:rPr>
        <w:t>9</w:t>
      </w:r>
      <w:r w:rsidRPr="002476A4">
        <w:rPr>
          <w:rFonts w:eastAsia="Times New Roman" w:cstheme="minorHAnsi"/>
          <w:b/>
          <w:bCs/>
        </w:rPr>
        <w:fldChar w:fldCharType="end"/>
      </w:r>
      <w:r w:rsidRPr="002476A4">
        <w:rPr>
          <w:rFonts w:cstheme="minorHAnsi"/>
          <w:b/>
          <w:bCs/>
        </w:rPr>
        <w:t>.</w:t>
      </w:r>
      <w:r w:rsidRPr="002476A4">
        <w:rPr>
          <w:rFonts w:cstheme="minorHAnsi"/>
        </w:rPr>
        <w:t xml:space="preserve"> Pokazatelji </w:t>
      </w:r>
      <w:r>
        <w:rPr>
          <w:rFonts w:cstheme="minorHAnsi"/>
        </w:rPr>
        <w:t>aktivnosti</w:t>
      </w:r>
      <w:bookmarkEnd w:id="35"/>
    </w:p>
    <w:tbl>
      <w:tblPr>
        <w:tblW w:w="945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5"/>
        <w:gridCol w:w="1417"/>
        <w:gridCol w:w="1417"/>
        <w:gridCol w:w="1417"/>
        <w:gridCol w:w="1417"/>
        <w:gridCol w:w="2234"/>
      </w:tblGrid>
      <w:tr w:rsidR="00D06A85" w:rsidRPr="00ED0E51" w14:paraId="46067E39" w14:textId="77777777" w:rsidTr="00BD31C1">
        <w:trPr>
          <w:trHeight w:val="371"/>
        </w:trPr>
        <w:tc>
          <w:tcPr>
            <w:tcW w:w="1555" w:type="dxa"/>
            <w:tcBorders>
              <w:top w:val="single" w:sz="4" w:space="0" w:color="auto"/>
              <w:bottom w:val="single" w:sz="4" w:space="0" w:color="auto"/>
            </w:tcBorders>
            <w:shd w:val="clear" w:color="auto" w:fill="auto"/>
            <w:noWrap/>
            <w:vAlign w:val="center"/>
            <w:hideMark/>
          </w:tcPr>
          <w:p w14:paraId="0124274A" w14:textId="43961B10" w:rsidR="00D06A85" w:rsidRPr="00ED0E51" w:rsidRDefault="00D06A85" w:rsidP="00D06A85">
            <w:pPr>
              <w:spacing w:after="0" w:line="240" w:lineRule="auto"/>
              <w:rPr>
                <w:rFonts w:eastAsia="Times New Roman" w:cstheme="minorHAnsi"/>
                <w:b/>
                <w:bCs/>
                <w:color w:val="000000"/>
                <w:sz w:val="18"/>
                <w:szCs w:val="18"/>
                <w:lang w:eastAsia="hr-HR"/>
              </w:rPr>
            </w:pPr>
            <w:r w:rsidRPr="00ED0E51">
              <w:rPr>
                <w:rFonts w:eastAsia="Times New Roman" w:cstheme="minorHAnsi"/>
                <w:b/>
                <w:bCs/>
                <w:sz w:val="18"/>
                <w:szCs w:val="18"/>
                <w:lang w:eastAsia="hr-HR"/>
              </w:rPr>
              <w:t>Opis</w:t>
            </w:r>
          </w:p>
        </w:tc>
        <w:tc>
          <w:tcPr>
            <w:tcW w:w="1417" w:type="dxa"/>
            <w:tcBorders>
              <w:top w:val="single" w:sz="4" w:space="0" w:color="auto"/>
              <w:bottom w:val="single" w:sz="4" w:space="0" w:color="auto"/>
            </w:tcBorders>
            <w:shd w:val="clear" w:color="auto" w:fill="auto"/>
            <w:noWrap/>
            <w:vAlign w:val="center"/>
            <w:hideMark/>
          </w:tcPr>
          <w:p w14:paraId="65BB6329" w14:textId="046EE96C" w:rsidR="00D06A85" w:rsidRPr="00ED0E51" w:rsidRDefault="00D06A85" w:rsidP="00D06A85">
            <w:pPr>
              <w:spacing w:after="0" w:line="240" w:lineRule="auto"/>
              <w:jc w:val="center"/>
              <w:rPr>
                <w:rFonts w:eastAsia="Times New Roman" w:cstheme="minorHAnsi"/>
                <w:b/>
                <w:bCs/>
                <w:color w:val="000000"/>
                <w:sz w:val="18"/>
                <w:szCs w:val="18"/>
                <w:lang w:eastAsia="hr-HR"/>
              </w:rPr>
            </w:pPr>
            <w:r w:rsidRPr="008956B3">
              <w:rPr>
                <w:rFonts w:eastAsia="Times New Roman" w:cstheme="minorHAnsi"/>
                <w:b/>
                <w:bCs/>
                <w:sz w:val="18"/>
                <w:szCs w:val="18"/>
                <w:lang w:eastAsia="hr-HR"/>
              </w:rPr>
              <w:t>2021</w:t>
            </w:r>
          </w:p>
        </w:tc>
        <w:tc>
          <w:tcPr>
            <w:tcW w:w="1417" w:type="dxa"/>
            <w:tcBorders>
              <w:top w:val="single" w:sz="4" w:space="0" w:color="auto"/>
              <w:bottom w:val="single" w:sz="4" w:space="0" w:color="auto"/>
            </w:tcBorders>
            <w:shd w:val="clear" w:color="auto" w:fill="auto"/>
            <w:noWrap/>
            <w:vAlign w:val="center"/>
            <w:hideMark/>
          </w:tcPr>
          <w:p w14:paraId="60D80FBB" w14:textId="7115B0C1" w:rsidR="00D06A85" w:rsidRPr="00ED0E51" w:rsidRDefault="00D06A85" w:rsidP="00D06A85">
            <w:pPr>
              <w:spacing w:after="0" w:line="240" w:lineRule="auto"/>
              <w:jc w:val="center"/>
              <w:rPr>
                <w:rFonts w:eastAsia="Times New Roman" w:cstheme="minorHAnsi"/>
                <w:b/>
                <w:bCs/>
                <w:color w:val="000000"/>
                <w:sz w:val="18"/>
                <w:szCs w:val="18"/>
                <w:lang w:eastAsia="hr-HR"/>
              </w:rPr>
            </w:pPr>
            <w:r w:rsidRPr="008956B3">
              <w:rPr>
                <w:rFonts w:eastAsia="Times New Roman" w:cstheme="minorHAnsi"/>
                <w:b/>
                <w:bCs/>
                <w:sz w:val="18"/>
                <w:szCs w:val="18"/>
                <w:lang w:eastAsia="hr-HR"/>
              </w:rPr>
              <w:t>2022</w:t>
            </w:r>
          </w:p>
        </w:tc>
        <w:tc>
          <w:tcPr>
            <w:tcW w:w="1417" w:type="dxa"/>
            <w:tcBorders>
              <w:top w:val="single" w:sz="4" w:space="0" w:color="auto"/>
              <w:bottom w:val="single" w:sz="4" w:space="0" w:color="auto"/>
            </w:tcBorders>
            <w:shd w:val="clear" w:color="auto" w:fill="auto"/>
            <w:noWrap/>
            <w:vAlign w:val="center"/>
            <w:hideMark/>
          </w:tcPr>
          <w:p w14:paraId="5BE07217" w14:textId="4CF73C55" w:rsidR="00D06A85" w:rsidRPr="00ED0E51" w:rsidRDefault="00D06A85" w:rsidP="00D06A85">
            <w:pPr>
              <w:spacing w:after="0" w:line="240" w:lineRule="auto"/>
              <w:jc w:val="center"/>
              <w:rPr>
                <w:rFonts w:eastAsia="Times New Roman" w:cstheme="minorHAnsi"/>
                <w:b/>
                <w:bCs/>
                <w:color w:val="000000"/>
                <w:sz w:val="18"/>
                <w:szCs w:val="18"/>
                <w:lang w:eastAsia="hr-HR"/>
              </w:rPr>
            </w:pPr>
            <w:r w:rsidRPr="008956B3">
              <w:rPr>
                <w:rFonts w:eastAsia="Times New Roman" w:cstheme="minorHAnsi"/>
                <w:b/>
                <w:bCs/>
                <w:sz w:val="18"/>
                <w:szCs w:val="18"/>
                <w:lang w:eastAsia="hr-HR"/>
              </w:rPr>
              <w:t>2023</w:t>
            </w:r>
          </w:p>
        </w:tc>
        <w:tc>
          <w:tcPr>
            <w:tcW w:w="1417" w:type="dxa"/>
            <w:tcBorders>
              <w:top w:val="single" w:sz="4" w:space="0" w:color="auto"/>
              <w:bottom w:val="single" w:sz="4" w:space="0" w:color="auto"/>
            </w:tcBorders>
            <w:vAlign w:val="center"/>
          </w:tcPr>
          <w:p w14:paraId="0B5BD925" w14:textId="7792707D" w:rsidR="00D06A85" w:rsidRPr="00ED0E51" w:rsidRDefault="00D06A85" w:rsidP="00D06A85">
            <w:pPr>
              <w:spacing w:after="0" w:line="240" w:lineRule="auto"/>
              <w:jc w:val="center"/>
              <w:rPr>
                <w:rFonts w:eastAsia="Times New Roman" w:cstheme="minorHAnsi"/>
                <w:b/>
                <w:bCs/>
                <w:sz w:val="18"/>
                <w:szCs w:val="18"/>
                <w:lang w:eastAsia="hr-HR"/>
              </w:rPr>
            </w:pPr>
            <w:r w:rsidRPr="008956B3">
              <w:rPr>
                <w:rFonts w:eastAsia="Times New Roman" w:cstheme="minorHAnsi"/>
                <w:b/>
                <w:bCs/>
                <w:sz w:val="18"/>
                <w:szCs w:val="18"/>
                <w:lang w:eastAsia="hr-HR"/>
              </w:rPr>
              <w:t>202</w:t>
            </w:r>
            <w:r>
              <w:rPr>
                <w:rFonts w:eastAsia="Times New Roman" w:cstheme="minorHAnsi"/>
                <w:b/>
                <w:bCs/>
                <w:sz w:val="18"/>
                <w:szCs w:val="18"/>
                <w:lang w:eastAsia="hr-HR"/>
              </w:rPr>
              <w:t>4</w:t>
            </w:r>
          </w:p>
        </w:tc>
        <w:tc>
          <w:tcPr>
            <w:tcW w:w="2234" w:type="dxa"/>
            <w:tcBorders>
              <w:top w:val="single" w:sz="4" w:space="0" w:color="auto"/>
              <w:bottom w:val="single" w:sz="4" w:space="0" w:color="auto"/>
            </w:tcBorders>
            <w:shd w:val="clear" w:color="auto" w:fill="auto"/>
            <w:noWrap/>
            <w:vAlign w:val="center"/>
            <w:hideMark/>
          </w:tcPr>
          <w:p w14:paraId="44C49EA2" w14:textId="5AA8734B" w:rsidR="00D06A85" w:rsidRPr="00ED0E51" w:rsidRDefault="00D06A85" w:rsidP="00D06A85">
            <w:pPr>
              <w:spacing w:after="0" w:line="240" w:lineRule="auto"/>
              <w:rPr>
                <w:rFonts w:eastAsia="Times New Roman" w:cstheme="minorHAnsi"/>
                <w:b/>
                <w:bCs/>
                <w:color w:val="000000"/>
                <w:sz w:val="18"/>
                <w:szCs w:val="18"/>
                <w:lang w:eastAsia="hr-HR"/>
              </w:rPr>
            </w:pPr>
            <w:r w:rsidRPr="00ED0E51">
              <w:rPr>
                <w:rFonts w:eastAsia="Times New Roman" w:cstheme="minorHAnsi"/>
                <w:b/>
                <w:bCs/>
                <w:sz w:val="18"/>
                <w:szCs w:val="18"/>
                <w:lang w:eastAsia="hr-HR"/>
              </w:rPr>
              <w:t>Ocjena stanja</w:t>
            </w:r>
          </w:p>
        </w:tc>
      </w:tr>
      <w:tr w:rsidR="00D06A85" w:rsidRPr="00ED0E51" w14:paraId="137AB229" w14:textId="77777777" w:rsidTr="00BD31C1">
        <w:trPr>
          <w:trHeight w:val="567"/>
        </w:trPr>
        <w:tc>
          <w:tcPr>
            <w:tcW w:w="1555" w:type="dxa"/>
            <w:tcBorders>
              <w:top w:val="single" w:sz="4" w:space="0" w:color="auto"/>
            </w:tcBorders>
            <w:shd w:val="clear" w:color="auto" w:fill="auto"/>
            <w:noWrap/>
            <w:vAlign w:val="center"/>
            <w:hideMark/>
          </w:tcPr>
          <w:p w14:paraId="02253497" w14:textId="77777777"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Koeficijent obrta ukupne imovine</w:t>
            </w:r>
          </w:p>
        </w:tc>
        <w:tc>
          <w:tcPr>
            <w:tcW w:w="1417" w:type="dxa"/>
            <w:tcBorders>
              <w:top w:val="single" w:sz="4" w:space="0" w:color="auto"/>
            </w:tcBorders>
            <w:shd w:val="clear" w:color="auto" w:fill="auto"/>
            <w:vAlign w:val="center"/>
            <w:hideMark/>
          </w:tcPr>
          <w:p w14:paraId="07ED92BE" w14:textId="1123B4B0"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0,28</w:t>
            </w:r>
          </w:p>
        </w:tc>
        <w:tc>
          <w:tcPr>
            <w:tcW w:w="1417" w:type="dxa"/>
            <w:tcBorders>
              <w:top w:val="single" w:sz="4" w:space="0" w:color="auto"/>
            </w:tcBorders>
            <w:shd w:val="clear" w:color="auto" w:fill="auto"/>
            <w:vAlign w:val="center"/>
            <w:hideMark/>
          </w:tcPr>
          <w:p w14:paraId="40232A83" w14:textId="6365DFA9"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0,36</w:t>
            </w:r>
          </w:p>
        </w:tc>
        <w:tc>
          <w:tcPr>
            <w:tcW w:w="1417" w:type="dxa"/>
            <w:tcBorders>
              <w:top w:val="single" w:sz="4" w:space="0" w:color="auto"/>
            </w:tcBorders>
            <w:shd w:val="clear" w:color="auto" w:fill="auto"/>
            <w:vAlign w:val="center"/>
            <w:hideMark/>
          </w:tcPr>
          <w:p w14:paraId="1FED6685" w14:textId="77777777" w:rsidR="00D06A85"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0,39</w:t>
            </w:r>
          </w:p>
          <w:p w14:paraId="2022B2DE" w14:textId="564233FB" w:rsidR="00D06A85" w:rsidRPr="00ED0E51" w:rsidRDefault="00D06A85" w:rsidP="00D06A85">
            <w:pPr>
              <w:spacing w:after="0" w:line="240" w:lineRule="auto"/>
              <w:jc w:val="center"/>
              <w:rPr>
                <w:rFonts w:eastAsia="Times New Roman" w:cstheme="minorHAnsi"/>
                <w:color w:val="000000"/>
                <w:sz w:val="18"/>
                <w:szCs w:val="18"/>
                <w:lang w:eastAsia="hr-HR"/>
              </w:rPr>
            </w:pPr>
          </w:p>
        </w:tc>
        <w:tc>
          <w:tcPr>
            <w:tcW w:w="1417" w:type="dxa"/>
            <w:tcBorders>
              <w:top w:val="single" w:sz="4" w:space="0" w:color="auto"/>
            </w:tcBorders>
            <w:vAlign w:val="center"/>
          </w:tcPr>
          <w:p w14:paraId="7EB1CEF9" w14:textId="77777777" w:rsidR="00D06A85" w:rsidRDefault="00D06A85" w:rsidP="00D06A85">
            <w:pPr>
              <w:spacing w:after="0" w:line="240" w:lineRule="auto"/>
              <w:jc w:val="center"/>
              <w:rPr>
                <w:rFonts w:eastAsia="Times New Roman" w:cstheme="minorHAnsi"/>
                <w:color w:val="000000"/>
                <w:sz w:val="18"/>
                <w:szCs w:val="18"/>
                <w:lang w:eastAsia="hr-HR"/>
              </w:rPr>
            </w:pPr>
          </w:p>
          <w:p w14:paraId="47534C2A" w14:textId="685644D2" w:rsidR="00D06A85"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0,42</w:t>
            </w:r>
          </w:p>
          <w:p w14:paraId="462EDD5D" w14:textId="6198CC7C" w:rsidR="00D06A85" w:rsidRPr="00ED0E51" w:rsidRDefault="00D06A85" w:rsidP="00D06A85">
            <w:pPr>
              <w:spacing w:after="0" w:line="240" w:lineRule="auto"/>
              <w:jc w:val="center"/>
              <w:rPr>
                <w:rFonts w:eastAsia="Times New Roman" w:cstheme="minorHAnsi"/>
                <w:color w:val="000000"/>
                <w:sz w:val="18"/>
                <w:szCs w:val="18"/>
                <w:lang w:eastAsia="hr-HR"/>
              </w:rPr>
            </w:pPr>
          </w:p>
        </w:tc>
        <w:tc>
          <w:tcPr>
            <w:tcW w:w="2234" w:type="dxa"/>
            <w:tcBorders>
              <w:top w:val="single" w:sz="4" w:space="0" w:color="auto"/>
            </w:tcBorders>
            <w:shd w:val="clear" w:color="auto" w:fill="auto"/>
            <w:vAlign w:val="center"/>
            <w:hideMark/>
          </w:tcPr>
          <w:p w14:paraId="753F2BA8" w14:textId="5DA60C33"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porast u odnosu na prethodno razdoblje</w:t>
            </w:r>
          </w:p>
        </w:tc>
      </w:tr>
      <w:tr w:rsidR="00D06A85" w:rsidRPr="00ED0E51" w14:paraId="60EE711A" w14:textId="77777777" w:rsidTr="00BD31C1">
        <w:trPr>
          <w:trHeight w:val="567"/>
        </w:trPr>
        <w:tc>
          <w:tcPr>
            <w:tcW w:w="1555" w:type="dxa"/>
            <w:shd w:val="clear" w:color="auto" w:fill="auto"/>
            <w:noWrap/>
            <w:vAlign w:val="center"/>
            <w:hideMark/>
          </w:tcPr>
          <w:p w14:paraId="3BD0B5AD" w14:textId="77777777"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Koeficijent obrta potraživanja</w:t>
            </w:r>
          </w:p>
        </w:tc>
        <w:tc>
          <w:tcPr>
            <w:tcW w:w="1417" w:type="dxa"/>
            <w:shd w:val="clear" w:color="auto" w:fill="auto"/>
            <w:vAlign w:val="center"/>
            <w:hideMark/>
          </w:tcPr>
          <w:p w14:paraId="195A2AE3" w14:textId="3EAFE422"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7,30</w:t>
            </w:r>
          </w:p>
        </w:tc>
        <w:tc>
          <w:tcPr>
            <w:tcW w:w="1417" w:type="dxa"/>
            <w:shd w:val="clear" w:color="auto" w:fill="auto"/>
            <w:vAlign w:val="center"/>
            <w:hideMark/>
          </w:tcPr>
          <w:p w14:paraId="332C1105" w14:textId="48B6E5B3"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5,67</w:t>
            </w:r>
          </w:p>
        </w:tc>
        <w:tc>
          <w:tcPr>
            <w:tcW w:w="1417" w:type="dxa"/>
            <w:shd w:val="clear" w:color="auto" w:fill="auto"/>
            <w:vAlign w:val="center"/>
            <w:hideMark/>
          </w:tcPr>
          <w:p w14:paraId="3C95BC64" w14:textId="54AAEC40"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4,37</w:t>
            </w:r>
          </w:p>
        </w:tc>
        <w:tc>
          <w:tcPr>
            <w:tcW w:w="1417" w:type="dxa"/>
            <w:vAlign w:val="center"/>
          </w:tcPr>
          <w:p w14:paraId="04F7F24F" w14:textId="5680CDF6"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5,33</w:t>
            </w:r>
          </w:p>
        </w:tc>
        <w:tc>
          <w:tcPr>
            <w:tcW w:w="2234" w:type="dxa"/>
            <w:shd w:val="clear" w:color="auto" w:fill="auto"/>
            <w:vAlign w:val="center"/>
            <w:hideMark/>
          </w:tcPr>
          <w:p w14:paraId="76C0E3C2" w14:textId="0EEF14A7"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smanjen u odnosu na prethodno razdoblje</w:t>
            </w:r>
          </w:p>
        </w:tc>
      </w:tr>
      <w:tr w:rsidR="00D06A85" w:rsidRPr="00ED0E51" w14:paraId="26717C82" w14:textId="77777777" w:rsidTr="00BD31C1">
        <w:trPr>
          <w:trHeight w:val="567"/>
        </w:trPr>
        <w:tc>
          <w:tcPr>
            <w:tcW w:w="1555" w:type="dxa"/>
            <w:shd w:val="clear" w:color="auto" w:fill="auto"/>
            <w:noWrap/>
            <w:vAlign w:val="center"/>
            <w:hideMark/>
          </w:tcPr>
          <w:p w14:paraId="07DEEC72" w14:textId="77777777"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Trajanje naplate potraživanja</w:t>
            </w:r>
          </w:p>
        </w:tc>
        <w:tc>
          <w:tcPr>
            <w:tcW w:w="1417" w:type="dxa"/>
            <w:shd w:val="clear" w:color="auto" w:fill="auto"/>
            <w:vAlign w:val="center"/>
            <w:hideMark/>
          </w:tcPr>
          <w:p w14:paraId="38B7BF64" w14:textId="099FACAA"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50</w:t>
            </w:r>
          </w:p>
        </w:tc>
        <w:tc>
          <w:tcPr>
            <w:tcW w:w="1417" w:type="dxa"/>
            <w:shd w:val="clear" w:color="auto" w:fill="auto"/>
            <w:vAlign w:val="center"/>
            <w:hideMark/>
          </w:tcPr>
          <w:p w14:paraId="7C362F59" w14:textId="65E840E2"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64</w:t>
            </w:r>
          </w:p>
        </w:tc>
        <w:tc>
          <w:tcPr>
            <w:tcW w:w="1417" w:type="dxa"/>
            <w:shd w:val="clear" w:color="auto" w:fill="auto"/>
            <w:vAlign w:val="center"/>
            <w:hideMark/>
          </w:tcPr>
          <w:p w14:paraId="45C3693C" w14:textId="26A8564F"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84</w:t>
            </w:r>
          </w:p>
        </w:tc>
        <w:tc>
          <w:tcPr>
            <w:tcW w:w="1417" w:type="dxa"/>
            <w:vAlign w:val="center"/>
          </w:tcPr>
          <w:p w14:paraId="1A520E34" w14:textId="5D046D05"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68</w:t>
            </w:r>
          </w:p>
        </w:tc>
        <w:tc>
          <w:tcPr>
            <w:tcW w:w="2234" w:type="dxa"/>
            <w:shd w:val="clear" w:color="auto" w:fill="auto"/>
            <w:vAlign w:val="center"/>
            <w:hideMark/>
          </w:tcPr>
          <w:p w14:paraId="124CC6C0" w14:textId="3717778C"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povećano u odnosu na prethodno razdoblje</w:t>
            </w:r>
          </w:p>
        </w:tc>
      </w:tr>
      <w:tr w:rsidR="00D06A85" w:rsidRPr="00ED0E51" w14:paraId="783C485A" w14:textId="77777777" w:rsidTr="00BD31C1">
        <w:trPr>
          <w:trHeight w:val="567"/>
        </w:trPr>
        <w:tc>
          <w:tcPr>
            <w:tcW w:w="1555" w:type="dxa"/>
            <w:shd w:val="clear" w:color="auto" w:fill="auto"/>
            <w:noWrap/>
            <w:vAlign w:val="center"/>
            <w:hideMark/>
          </w:tcPr>
          <w:p w14:paraId="64EF5038" w14:textId="23CC1DC2"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Koeficijent obrta obveza</w:t>
            </w:r>
          </w:p>
        </w:tc>
        <w:tc>
          <w:tcPr>
            <w:tcW w:w="1417" w:type="dxa"/>
            <w:shd w:val="clear" w:color="auto" w:fill="auto"/>
            <w:vAlign w:val="center"/>
            <w:hideMark/>
          </w:tcPr>
          <w:p w14:paraId="6E9E56A8" w14:textId="65B29A88"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6,03</w:t>
            </w:r>
          </w:p>
        </w:tc>
        <w:tc>
          <w:tcPr>
            <w:tcW w:w="1417" w:type="dxa"/>
            <w:shd w:val="clear" w:color="auto" w:fill="auto"/>
            <w:vAlign w:val="center"/>
            <w:hideMark/>
          </w:tcPr>
          <w:p w14:paraId="4B6F507C" w14:textId="02B1BAB7"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4,73</w:t>
            </w:r>
          </w:p>
        </w:tc>
        <w:tc>
          <w:tcPr>
            <w:tcW w:w="1417" w:type="dxa"/>
            <w:shd w:val="clear" w:color="auto" w:fill="auto"/>
            <w:vAlign w:val="center"/>
            <w:hideMark/>
          </w:tcPr>
          <w:p w14:paraId="086F7CCB" w14:textId="0586E957"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5,69</w:t>
            </w:r>
          </w:p>
        </w:tc>
        <w:tc>
          <w:tcPr>
            <w:tcW w:w="1417" w:type="dxa"/>
            <w:vAlign w:val="center"/>
          </w:tcPr>
          <w:p w14:paraId="2DE6C19B" w14:textId="09E2A24E"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5,58</w:t>
            </w:r>
          </w:p>
        </w:tc>
        <w:tc>
          <w:tcPr>
            <w:tcW w:w="2234" w:type="dxa"/>
            <w:shd w:val="clear" w:color="auto" w:fill="auto"/>
            <w:vAlign w:val="center"/>
            <w:hideMark/>
          </w:tcPr>
          <w:p w14:paraId="50B62F2A" w14:textId="58F79A49"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smanjeno u odnosu na prethodno razdoblje</w:t>
            </w:r>
          </w:p>
        </w:tc>
      </w:tr>
      <w:tr w:rsidR="00D06A85" w:rsidRPr="00ED0E51" w14:paraId="2BFF1F1C" w14:textId="77777777" w:rsidTr="00BD31C1">
        <w:trPr>
          <w:trHeight w:val="567"/>
        </w:trPr>
        <w:tc>
          <w:tcPr>
            <w:tcW w:w="1555" w:type="dxa"/>
            <w:shd w:val="clear" w:color="auto" w:fill="auto"/>
            <w:noWrap/>
            <w:vAlign w:val="center"/>
            <w:hideMark/>
          </w:tcPr>
          <w:p w14:paraId="2B65F72A" w14:textId="77777777"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Prosječno vrijeme plaćanja obveza</w:t>
            </w:r>
          </w:p>
        </w:tc>
        <w:tc>
          <w:tcPr>
            <w:tcW w:w="1417" w:type="dxa"/>
            <w:shd w:val="clear" w:color="auto" w:fill="auto"/>
            <w:vAlign w:val="center"/>
            <w:hideMark/>
          </w:tcPr>
          <w:p w14:paraId="6CBBA3A9" w14:textId="0CF0D6BC"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61</w:t>
            </w:r>
          </w:p>
        </w:tc>
        <w:tc>
          <w:tcPr>
            <w:tcW w:w="1417" w:type="dxa"/>
            <w:shd w:val="clear" w:color="auto" w:fill="auto"/>
            <w:vAlign w:val="center"/>
            <w:hideMark/>
          </w:tcPr>
          <w:p w14:paraId="7582899F" w14:textId="2E13657F" w:rsidR="00D06A85" w:rsidRPr="00ED0E51" w:rsidRDefault="00D06A85" w:rsidP="00D06A85">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77</w:t>
            </w:r>
          </w:p>
        </w:tc>
        <w:tc>
          <w:tcPr>
            <w:tcW w:w="1417" w:type="dxa"/>
            <w:shd w:val="clear" w:color="auto" w:fill="auto"/>
            <w:vAlign w:val="center"/>
            <w:hideMark/>
          </w:tcPr>
          <w:p w14:paraId="2BE68316" w14:textId="08073461"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64</w:t>
            </w:r>
          </w:p>
        </w:tc>
        <w:tc>
          <w:tcPr>
            <w:tcW w:w="1417" w:type="dxa"/>
            <w:vAlign w:val="center"/>
          </w:tcPr>
          <w:p w14:paraId="34F35175" w14:textId="05227C48" w:rsidR="00D06A85" w:rsidRPr="00ED0E51" w:rsidRDefault="00D06A85" w:rsidP="00D06A85">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65</w:t>
            </w:r>
          </w:p>
        </w:tc>
        <w:tc>
          <w:tcPr>
            <w:tcW w:w="2234" w:type="dxa"/>
            <w:shd w:val="clear" w:color="auto" w:fill="auto"/>
            <w:vAlign w:val="center"/>
            <w:hideMark/>
          </w:tcPr>
          <w:p w14:paraId="37CC199B" w14:textId="089E1E0B" w:rsidR="00D06A85" w:rsidRPr="00ED0E51" w:rsidRDefault="00D06A85" w:rsidP="00D06A85">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povećano u odnosu na prethodno razdoblje</w:t>
            </w:r>
          </w:p>
        </w:tc>
      </w:tr>
    </w:tbl>
    <w:p w14:paraId="3BBBFD11" w14:textId="77777777" w:rsidR="00A20A42" w:rsidRDefault="00A20A42" w:rsidP="00A20A42">
      <w:pPr>
        <w:autoSpaceDE w:val="0"/>
        <w:autoSpaceDN w:val="0"/>
        <w:adjustRightInd w:val="0"/>
        <w:spacing w:before="120" w:after="0" w:line="360" w:lineRule="auto"/>
        <w:jc w:val="both"/>
        <w:rPr>
          <w:rFonts w:ascii="Calibri" w:hAnsi="Calibri" w:cs="Calibri"/>
          <w:color w:val="000000"/>
        </w:rPr>
      </w:pPr>
    </w:p>
    <w:p w14:paraId="46E6DF3E" w14:textId="220F3048" w:rsidR="00A20A42" w:rsidRPr="00A20A42" w:rsidRDefault="00A20A42" w:rsidP="00A20A42">
      <w:pPr>
        <w:autoSpaceDE w:val="0"/>
        <w:autoSpaceDN w:val="0"/>
        <w:adjustRightInd w:val="0"/>
        <w:spacing w:before="120" w:after="0" w:line="360" w:lineRule="auto"/>
        <w:jc w:val="both"/>
        <w:rPr>
          <w:rFonts w:ascii="Calibri" w:hAnsi="Calibri" w:cs="Calibri"/>
          <w:color w:val="000000"/>
        </w:rPr>
      </w:pPr>
      <w:r w:rsidRPr="00A20A42">
        <w:rPr>
          <w:rFonts w:ascii="Calibri" w:hAnsi="Calibri" w:cs="Calibri"/>
          <w:color w:val="000000"/>
        </w:rPr>
        <w:t>Koeficijent obrta ukupne imovine pokazuje odnos između ukupnih prihoda i ukupne imovine, odnosno koliko puta tijekom godine imovina sudjeluje u generiranju prihoda. U 2024. godini ovaj pokazatelj iznosi 0,42, što je blagi porast u odnosu na 2023. godinu, kada je iznosio 0,39. To ukazuje na poboljšanu učinkovitost korištenja ukupne imovine u poslovanju.</w:t>
      </w:r>
    </w:p>
    <w:p w14:paraId="42B4D0C2" w14:textId="160F332F" w:rsidR="009900D1" w:rsidRPr="009900D1" w:rsidRDefault="009900D1" w:rsidP="00FA2750">
      <w:pPr>
        <w:spacing w:before="120" w:after="120" w:line="360" w:lineRule="auto"/>
        <w:jc w:val="both"/>
        <w:rPr>
          <w:rFonts w:ascii="Calibri" w:hAnsi="Calibri" w:cs="Calibri"/>
          <w:color w:val="000000"/>
        </w:rPr>
      </w:pPr>
      <w:r w:rsidRPr="009900D1">
        <w:rPr>
          <w:rFonts w:ascii="Calibri" w:hAnsi="Calibri" w:cs="Calibri"/>
          <w:color w:val="000000"/>
        </w:rPr>
        <w:t>Koeficijent obrta potraživanja prikazuje koliko se puta godišnje potraživanja naplate, odnosno pretvore u novac. U 2024. godini zabilježen je porast koeficijenta na 5,33 u odnosu na 4,37 u 2023. godini, što ukazuje na ubrzanje procesa naplate potraživanja. Posljedično, trajanje naplate potraživanja smanjeno je za 16 dana, s</w:t>
      </w:r>
      <w:r w:rsidR="00EC38EA">
        <w:rPr>
          <w:rFonts w:ascii="Calibri" w:hAnsi="Calibri" w:cs="Calibri"/>
          <w:color w:val="000000"/>
        </w:rPr>
        <w:t xml:space="preserve">a </w:t>
      </w:r>
      <w:r w:rsidRPr="009900D1">
        <w:rPr>
          <w:rFonts w:ascii="Calibri" w:hAnsi="Calibri" w:cs="Calibri"/>
          <w:color w:val="000000"/>
        </w:rPr>
        <w:t>84 dana u 2023.</w:t>
      </w:r>
      <w:r w:rsidR="00D164A4">
        <w:rPr>
          <w:rFonts w:ascii="Calibri" w:hAnsi="Calibri" w:cs="Calibri"/>
          <w:color w:val="000000"/>
        </w:rPr>
        <w:t xml:space="preserve"> godini</w:t>
      </w:r>
      <w:r w:rsidRPr="009900D1">
        <w:rPr>
          <w:rFonts w:ascii="Calibri" w:hAnsi="Calibri" w:cs="Calibri"/>
          <w:color w:val="000000"/>
        </w:rPr>
        <w:t xml:space="preserve"> na 68 dana u 2024. godini, što se može ocijeniti kao pozitivan pomak u upravljanju potraživanjima i likvidnošću.</w:t>
      </w:r>
    </w:p>
    <w:p w14:paraId="58EE0786" w14:textId="20563499" w:rsidR="00F03FB5" w:rsidRDefault="00E36A1E" w:rsidP="00F03FB5">
      <w:pPr>
        <w:spacing w:before="120" w:after="120" w:line="360" w:lineRule="auto"/>
        <w:jc w:val="both"/>
        <w:rPr>
          <w:rFonts w:ascii="Calibri" w:hAnsi="Calibri" w:cs="Calibri"/>
          <w:color w:val="000000"/>
        </w:rPr>
      </w:pPr>
      <w:r w:rsidRPr="00E36A1E">
        <w:rPr>
          <w:rFonts w:ascii="Calibri" w:hAnsi="Calibri" w:cs="Calibri"/>
          <w:color w:val="000000"/>
        </w:rPr>
        <w:t>Koeficijent obrta obveza prikazuje koliko se puta tijekom godine podmire obveze prema dobavljačima. U 2024. godini iznosi 5,58, što predstavlja blago smanjenje u odnosu na prethodnu godinu, kada je iznosio 5,69. Na temelju tog pokazatelja, utvrđeno je da prosječno razdoblje plaćanja obveza iznosi 65 dana, odnosno 1 dan više u odnosu na 2023. godinu. Ovakav rezultat upućuje na zadržanu, ali blago usporenu dinamiku izvršavanja obveza.</w:t>
      </w:r>
    </w:p>
    <w:p w14:paraId="54CD1795" w14:textId="77777777" w:rsidR="00AF10FC" w:rsidRPr="00E36A1E" w:rsidRDefault="00AF10FC" w:rsidP="00F03FB5">
      <w:pPr>
        <w:spacing w:before="120" w:after="120" w:line="360" w:lineRule="auto"/>
        <w:jc w:val="both"/>
        <w:rPr>
          <w:rFonts w:ascii="Calibri" w:hAnsi="Calibri" w:cs="Calibri"/>
          <w:color w:val="000000"/>
        </w:rPr>
      </w:pPr>
    </w:p>
    <w:p w14:paraId="3057EF12" w14:textId="77777777" w:rsidR="00E36A1E" w:rsidRPr="001C59D5" w:rsidRDefault="00E36A1E" w:rsidP="00F03FB5">
      <w:pPr>
        <w:spacing w:before="120" w:after="120" w:line="360" w:lineRule="auto"/>
        <w:jc w:val="both"/>
        <w:rPr>
          <w:rFonts w:ascii="Calibri" w:hAnsi="Calibri" w:cs="Calibri"/>
          <w:color w:val="000000"/>
        </w:rPr>
      </w:pPr>
    </w:p>
    <w:p w14:paraId="1F82801D" w14:textId="7E74D206" w:rsidR="00F03FB5" w:rsidRPr="00E9501A" w:rsidRDefault="00D515BD" w:rsidP="00E9501A">
      <w:pPr>
        <w:pStyle w:val="Heading2"/>
        <w:spacing w:before="240" w:after="240"/>
      </w:pPr>
      <w:bookmarkStart w:id="36" w:name="_Toc200094277"/>
      <w:r>
        <w:lastRenderedPageBreak/>
        <w:t>5</w:t>
      </w:r>
      <w:r w:rsidR="00F03FB5" w:rsidRPr="005B13F2">
        <w:t>.4. Pokazatelji uspješnosti</w:t>
      </w:r>
      <w:bookmarkEnd w:id="36"/>
    </w:p>
    <w:p w14:paraId="59E46DE0" w14:textId="76276E5C" w:rsidR="006F66D6" w:rsidRPr="006F66D6" w:rsidRDefault="006F66D6" w:rsidP="006F66D6">
      <w:pPr>
        <w:spacing w:line="360" w:lineRule="auto"/>
        <w:jc w:val="both"/>
      </w:pPr>
      <w:r w:rsidRPr="006F66D6">
        <w:t>Ekonomičnost poslovanja predstavlja omjer ukupnih prihoda i ukupnih rashoda te pokazuje sposobnost Društva da prihodima pokrije troškove poslovanja. U 2024. godini vrijednost pokazatelja iznosi 1,00, što znači da su prihodi dostatni za pokriće svih rashoda. Iako je zabilježen blagi pad u odnosu na 2023. godinu, kada je pokazatelj iznosio 1,03, Društvo i dalje posluje s pozitivnim rezultatom.</w:t>
      </w:r>
    </w:p>
    <w:p w14:paraId="2B581BD1" w14:textId="09DE9D34" w:rsidR="006F66D6" w:rsidRPr="006F66D6" w:rsidRDefault="006F66D6" w:rsidP="006F66D6">
      <w:pPr>
        <w:spacing w:line="360" w:lineRule="auto"/>
        <w:jc w:val="both"/>
      </w:pPr>
      <w:r w:rsidRPr="006F66D6">
        <w:t>Vrijednost pokazatelja ostaje iznad referentne razine od 1, što ukazuje na očuvanu ekonomsku učinkovitost poslovanja</w:t>
      </w:r>
      <w:r>
        <w:t>.</w:t>
      </w:r>
    </w:p>
    <w:p w14:paraId="513EB8AB" w14:textId="1D472437" w:rsidR="00E246D0" w:rsidRDefault="00F03FB5" w:rsidP="006E571D">
      <w:pPr>
        <w:spacing w:before="240" w:after="240"/>
      </w:pPr>
      <w:bookmarkStart w:id="37" w:name="_Toc200366448"/>
      <w:r w:rsidRPr="002476A4">
        <w:rPr>
          <w:rFonts w:cstheme="minorHAnsi"/>
          <w:b/>
          <w:bCs/>
        </w:rPr>
        <w:t xml:space="preserve">Tablica </w:t>
      </w:r>
      <w:r w:rsidRPr="002476A4">
        <w:rPr>
          <w:rFonts w:eastAsia="Times New Roman" w:cstheme="minorHAnsi"/>
          <w:b/>
          <w:bCs/>
        </w:rPr>
        <w:fldChar w:fldCharType="begin"/>
      </w:r>
      <w:r w:rsidRPr="002476A4">
        <w:rPr>
          <w:rFonts w:cstheme="minorHAnsi"/>
          <w:b/>
          <w:bCs/>
        </w:rPr>
        <w:instrText xml:space="preserve"> SEQ Tablica \* ARABIC </w:instrText>
      </w:r>
      <w:r w:rsidRPr="002476A4">
        <w:rPr>
          <w:rFonts w:eastAsia="Times New Roman" w:cstheme="minorHAnsi"/>
          <w:b/>
          <w:bCs/>
        </w:rPr>
        <w:fldChar w:fldCharType="separate"/>
      </w:r>
      <w:r w:rsidR="00A1075A">
        <w:rPr>
          <w:rFonts w:cstheme="minorHAnsi"/>
          <w:b/>
          <w:bCs/>
          <w:noProof/>
        </w:rPr>
        <w:t>10</w:t>
      </w:r>
      <w:r w:rsidRPr="002476A4">
        <w:rPr>
          <w:rFonts w:eastAsia="Times New Roman" w:cstheme="minorHAnsi"/>
          <w:b/>
          <w:bCs/>
        </w:rPr>
        <w:fldChar w:fldCharType="end"/>
      </w:r>
      <w:r w:rsidRPr="002476A4">
        <w:rPr>
          <w:rFonts w:cstheme="minorHAnsi"/>
          <w:b/>
          <w:bCs/>
        </w:rPr>
        <w:t>.</w:t>
      </w:r>
      <w:r w:rsidRPr="002476A4">
        <w:rPr>
          <w:rFonts w:cstheme="minorHAnsi"/>
        </w:rPr>
        <w:t xml:space="preserve"> Pokazatelj</w:t>
      </w:r>
      <w:r>
        <w:rPr>
          <w:rFonts w:cstheme="minorHAnsi"/>
        </w:rPr>
        <w:t xml:space="preserve"> uspješnosti</w:t>
      </w:r>
      <w:bookmarkEnd w:id="37"/>
    </w:p>
    <w:tbl>
      <w:tblPr>
        <w:tblW w:w="98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79"/>
        <w:gridCol w:w="1261"/>
        <w:gridCol w:w="1261"/>
        <w:gridCol w:w="1261"/>
        <w:gridCol w:w="1261"/>
        <w:gridCol w:w="1261"/>
        <w:gridCol w:w="1963"/>
      </w:tblGrid>
      <w:tr w:rsidR="00E36A1E" w:rsidRPr="00ED0E51" w14:paraId="7D134D67" w14:textId="77777777" w:rsidTr="00BD31C1">
        <w:trPr>
          <w:trHeight w:val="292"/>
        </w:trPr>
        <w:tc>
          <w:tcPr>
            <w:tcW w:w="1579" w:type="dxa"/>
            <w:tcBorders>
              <w:top w:val="single" w:sz="4" w:space="0" w:color="auto"/>
              <w:bottom w:val="single" w:sz="4" w:space="0" w:color="auto"/>
            </w:tcBorders>
            <w:shd w:val="clear" w:color="auto" w:fill="auto"/>
            <w:noWrap/>
            <w:vAlign w:val="center"/>
            <w:hideMark/>
          </w:tcPr>
          <w:p w14:paraId="5CF4CCA8" w14:textId="6961FE3A" w:rsidR="00E36A1E" w:rsidRPr="00ED0E51" w:rsidRDefault="00E36A1E" w:rsidP="00E36A1E">
            <w:pPr>
              <w:spacing w:after="0" w:line="240" w:lineRule="auto"/>
              <w:rPr>
                <w:rFonts w:eastAsia="Times New Roman" w:cstheme="minorHAnsi"/>
                <w:b/>
                <w:bCs/>
                <w:color w:val="000000"/>
                <w:sz w:val="18"/>
                <w:szCs w:val="18"/>
                <w:lang w:eastAsia="hr-HR"/>
              </w:rPr>
            </w:pPr>
            <w:r w:rsidRPr="00ED0E51">
              <w:rPr>
                <w:rFonts w:eastAsia="Times New Roman" w:cstheme="minorHAnsi"/>
                <w:b/>
                <w:bCs/>
                <w:sz w:val="18"/>
                <w:szCs w:val="18"/>
                <w:lang w:eastAsia="hr-HR"/>
              </w:rPr>
              <w:t>Opis</w:t>
            </w:r>
          </w:p>
        </w:tc>
        <w:tc>
          <w:tcPr>
            <w:tcW w:w="1261" w:type="dxa"/>
            <w:tcBorders>
              <w:top w:val="single" w:sz="4" w:space="0" w:color="auto"/>
              <w:bottom w:val="single" w:sz="4" w:space="0" w:color="auto"/>
            </w:tcBorders>
            <w:shd w:val="clear" w:color="auto" w:fill="auto"/>
            <w:vAlign w:val="center"/>
            <w:hideMark/>
          </w:tcPr>
          <w:p w14:paraId="433D652E" w14:textId="1F1B6F5A"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b/>
                <w:bCs/>
                <w:sz w:val="18"/>
                <w:szCs w:val="18"/>
                <w:lang w:eastAsia="hr-HR"/>
              </w:rPr>
              <w:t>2021</w:t>
            </w:r>
          </w:p>
        </w:tc>
        <w:tc>
          <w:tcPr>
            <w:tcW w:w="1261" w:type="dxa"/>
            <w:tcBorders>
              <w:top w:val="single" w:sz="4" w:space="0" w:color="auto"/>
              <w:bottom w:val="single" w:sz="4" w:space="0" w:color="auto"/>
            </w:tcBorders>
            <w:shd w:val="clear" w:color="auto" w:fill="auto"/>
            <w:vAlign w:val="center"/>
            <w:hideMark/>
          </w:tcPr>
          <w:p w14:paraId="255F7F83" w14:textId="563C74C2"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b/>
                <w:bCs/>
                <w:sz w:val="18"/>
                <w:szCs w:val="18"/>
                <w:lang w:eastAsia="hr-HR"/>
              </w:rPr>
              <w:t>2022</w:t>
            </w:r>
          </w:p>
        </w:tc>
        <w:tc>
          <w:tcPr>
            <w:tcW w:w="1261" w:type="dxa"/>
            <w:tcBorders>
              <w:top w:val="single" w:sz="4" w:space="0" w:color="auto"/>
              <w:bottom w:val="single" w:sz="4" w:space="0" w:color="auto"/>
            </w:tcBorders>
            <w:shd w:val="clear" w:color="auto" w:fill="auto"/>
            <w:vAlign w:val="center"/>
            <w:hideMark/>
          </w:tcPr>
          <w:p w14:paraId="5BAB8A59" w14:textId="1617BDDC" w:rsidR="00E36A1E" w:rsidRPr="00ED0E51" w:rsidRDefault="00E36A1E" w:rsidP="00E36A1E">
            <w:pPr>
              <w:spacing w:after="0" w:line="240" w:lineRule="auto"/>
              <w:jc w:val="center"/>
              <w:rPr>
                <w:rFonts w:eastAsia="Times New Roman" w:cstheme="minorHAnsi"/>
                <w:color w:val="000000"/>
                <w:sz w:val="18"/>
                <w:szCs w:val="18"/>
                <w:lang w:eastAsia="hr-HR"/>
              </w:rPr>
            </w:pPr>
            <w:r>
              <w:rPr>
                <w:rFonts w:eastAsia="Times New Roman" w:cstheme="minorHAnsi"/>
                <w:b/>
                <w:bCs/>
                <w:sz w:val="18"/>
                <w:szCs w:val="18"/>
                <w:lang w:eastAsia="hr-HR"/>
              </w:rPr>
              <w:t>2023</w:t>
            </w:r>
          </w:p>
        </w:tc>
        <w:tc>
          <w:tcPr>
            <w:tcW w:w="1261" w:type="dxa"/>
            <w:tcBorders>
              <w:top w:val="single" w:sz="4" w:space="0" w:color="auto"/>
              <w:bottom w:val="single" w:sz="4" w:space="0" w:color="auto"/>
            </w:tcBorders>
            <w:vAlign w:val="center"/>
          </w:tcPr>
          <w:p w14:paraId="01B182C1" w14:textId="6B607353" w:rsidR="00E36A1E" w:rsidRPr="00ED0E51" w:rsidRDefault="00E36A1E" w:rsidP="00E36A1E">
            <w:pPr>
              <w:spacing w:after="0" w:line="240" w:lineRule="auto"/>
              <w:jc w:val="center"/>
              <w:rPr>
                <w:rFonts w:eastAsia="Times New Roman" w:cstheme="minorHAnsi"/>
                <w:b/>
                <w:bCs/>
                <w:sz w:val="18"/>
                <w:szCs w:val="18"/>
                <w:lang w:eastAsia="hr-HR"/>
              </w:rPr>
            </w:pPr>
            <w:r>
              <w:rPr>
                <w:rFonts w:eastAsia="Times New Roman" w:cstheme="minorHAnsi"/>
                <w:b/>
                <w:bCs/>
                <w:sz w:val="18"/>
                <w:szCs w:val="18"/>
                <w:lang w:eastAsia="hr-HR"/>
              </w:rPr>
              <w:t>2024</w:t>
            </w:r>
          </w:p>
        </w:tc>
        <w:tc>
          <w:tcPr>
            <w:tcW w:w="1261" w:type="dxa"/>
            <w:tcBorders>
              <w:top w:val="single" w:sz="4" w:space="0" w:color="auto"/>
              <w:bottom w:val="single" w:sz="4" w:space="0" w:color="auto"/>
            </w:tcBorders>
            <w:shd w:val="clear" w:color="auto" w:fill="auto"/>
            <w:vAlign w:val="center"/>
            <w:hideMark/>
          </w:tcPr>
          <w:p w14:paraId="5EE7564A" w14:textId="2CD8513E"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b/>
                <w:bCs/>
                <w:sz w:val="18"/>
                <w:szCs w:val="18"/>
                <w:lang w:eastAsia="hr-HR"/>
              </w:rPr>
              <w:t>Referentna vrijednost</w:t>
            </w:r>
          </w:p>
        </w:tc>
        <w:tc>
          <w:tcPr>
            <w:tcW w:w="1963" w:type="dxa"/>
            <w:tcBorders>
              <w:top w:val="single" w:sz="4" w:space="0" w:color="auto"/>
              <w:bottom w:val="single" w:sz="4" w:space="0" w:color="auto"/>
            </w:tcBorders>
            <w:shd w:val="clear" w:color="auto" w:fill="auto"/>
            <w:vAlign w:val="center"/>
            <w:hideMark/>
          </w:tcPr>
          <w:p w14:paraId="6BE64C8A" w14:textId="62369C5D"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b/>
                <w:bCs/>
                <w:sz w:val="18"/>
                <w:szCs w:val="18"/>
                <w:lang w:eastAsia="hr-HR"/>
              </w:rPr>
              <w:t>Ocjena stanja</w:t>
            </w:r>
            <w:r w:rsidRPr="00ED0E51">
              <w:rPr>
                <w:rFonts w:eastAsia="Times New Roman" w:cstheme="minorHAnsi"/>
                <w:color w:val="000000"/>
                <w:sz w:val="18"/>
                <w:szCs w:val="18"/>
                <w:lang w:eastAsia="hr-HR"/>
              </w:rPr>
              <w:t> </w:t>
            </w:r>
          </w:p>
        </w:tc>
      </w:tr>
      <w:tr w:rsidR="00E36A1E" w:rsidRPr="00ED0E51" w14:paraId="524F64F1" w14:textId="77777777" w:rsidTr="00BD31C1">
        <w:trPr>
          <w:trHeight w:val="567"/>
        </w:trPr>
        <w:tc>
          <w:tcPr>
            <w:tcW w:w="1579" w:type="dxa"/>
            <w:tcBorders>
              <w:top w:val="single" w:sz="4" w:space="0" w:color="auto"/>
            </w:tcBorders>
            <w:shd w:val="clear" w:color="auto" w:fill="auto"/>
            <w:noWrap/>
            <w:vAlign w:val="center"/>
            <w:hideMark/>
          </w:tcPr>
          <w:p w14:paraId="688D719C" w14:textId="77777777" w:rsidR="00E36A1E" w:rsidRPr="00ED0E51" w:rsidRDefault="00E36A1E" w:rsidP="00E36A1E">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Ekonomičnost poslovanja</w:t>
            </w:r>
          </w:p>
        </w:tc>
        <w:tc>
          <w:tcPr>
            <w:tcW w:w="1261" w:type="dxa"/>
            <w:tcBorders>
              <w:top w:val="single" w:sz="4" w:space="0" w:color="auto"/>
            </w:tcBorders>
            <w:shd w:val="clear" w:color="auto" w:fill="auto"/>
            <w:vAlign w:val="center"/>
            <w:hideMark/>
          </w:tcPr>
          <w:p w14:paraId="4AEFF5FD" w14:textId="291E5F3E"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1,00</w:t>
            </w:r>
          </w:p>
        </w:tc>
        <w:tc>
          <w:tcPr>
            <w:tcW w:w="1261" w:type="dxa"/>
            <w:tcBorders>
              <w:top w:val="single" w:sz="4" w:space="0" w:color="auto"/>
            </w:tcBorders>
            <w:shd w:val="clear" w:color="auto" w:fill="auto"/>
            <w:vAlign w:val="center"/>
            <w:hideMark/>
          </w:tcPr>
          <w:p w14:paraId="72BCC858" w14:textId="4C496835"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1,08</w:t>
            </w:r>
          </w:p>
        </w:tc>
        <w:tc>
          <w:tcPr>
            <w:tcW w:w="1261" w:type="dxa"/>
            <w:tcBorders>
              <w:top w:val="single" w:sz="4" w:space="0" w:color="auto"/>
            </w:tcBorders>
            <w:shd w:val="clear" w:color="auto" w:fill="auto"/>
            <w:vAlign w:val="center"/>
            <w:hideMark/>
          </w:tcPr>
          <w:p w14:paraId="4F5EC537" w14:textId="34F76ABD" w:rsidR="00E36A1E" w:rsidRPr="00ED0E51" w:rsidRDefault="00E36A1E" w:rsidP="00E36A1E">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1,03</w:t>
            </w:r>
          </w:p>
        </w:tc>
        <w:tc>
          <w:tcPr>
            <w:tcW w:w="1261" w:type="dxa"/>
            <w:tcBorders>
              <w:top w:val="single" w:sz="4" w:space="0" w:color="auto"/>
            </w:tcBorders>
            <w:vAlign w:val="center"/>
          </w:tcPr>
          <w:p w14:paraId="0851AF38" w14:textId="245F6766" w:rsidR="00E36A1E" w:rsidRPr="00ED0E51" w:rsidRDefault="00E36A1E" w:rsidP="00E36A1E">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1,0</w:t>
            </w:r>
            <w:r w:rsidR="001638BE">
              <w:rPr>
                <w:rFonts w:eastAsia="Times New Roman" w:cstheme="minorHAnsi"/>
                <w:color w:val="000000"/>
                <w:sz w:val="18"/>
                <w:szCs w:val="18"/>
                <w:lang w:eastAsia="hr-HR"/>
              </w:rPr>
              <w:t>0</w:t>
            </w:r>
          </w:p>
        </w:tc>
        <w:tc>
          <w:tcPr>
            <w:tcW w:w="1261" w:type="dxa"/>
            <w:tcBorders>
              <w:top w:val="single" w:sz="4" w:space="0" w:color="auto"/>
            </w:tcBorders>
            <w:shd w:val="clear" w:color="auto" w:fill="auto"/>
            <w:vAlign w:val="center"/>
            <w:hideMark/>
          </w:tcPr>
          <w:p w14:paraId="01C0A288" w14:textId="11F1E7AE" w:rsidR="00E36A1E" w:rsidRPr="00ED0E51" w:rsidRDefault="00E36A1E" w:rsidP="00E36A1E">
            <w:pPr>
              <w:spacing w:after="0" w:line="240" w:lineRule="auto"/>
              <w:jc w:val="center"/>
              <w:rPr>
                <w:rFonts w:eastAsia="Times New Roman" w:cstheme="minorHAnsi"/>
                <w:color w:val="000000"/>
                <w:sz w:val="18"/>
                <w:szCs w:val="18"/>
                <w:lang w:eastAsia="hr-HR"/>
              </w:rPr>
            </w:pPr>
            <w:r w:rsidRPr="00ED0E51">
              <w:rPr>
                <w:rFonts w:eastAsia="Times New Roman" w:cstheme="minorHAnsi"/>
                <w:color w:val="000000"/>
                <w:sz w:val="18"/>
                <w:szCs w:val="18"/>
                <w:lang w:eastAsia="hr-HR"/>
              </w:rPr>
              <w:t>&gt; 1</w:t>
            </w:r>
          </w:p>
        </w:tc>
        <w:tc>
          <w:tcPr>
            <w:tcW w:w="1963" w:type="dxa"/>
            <w:tcBorders>
              <w:top w:val="single" w:sz="4" w:space="0" w:color="auto"/>
            </w:tcBorders>
            <w:shd w:val="clear" w:color="auto" w:fill="auto"/>
            <w:vAlign w:val="center"/>
            <w:hideMark/>
          </w:tcPr>
          <w:p w14:paraId="5627DCD3" w14:textId="509C422C" w:rsidR="00E36A1E" w:rsidRPr="00ED0E51" w:rsidRDefault="00E36A1E" w:rsidP="00E36A1E">
            <w:pPr>
              <w:spacing w:after="0" w:line="240" w:lineRule="auto"/>
              <w:rPr>
                <w:rFonts w:eastAsia="Times New Roman" w:cstheme="minorHAnsi"/>
                <w:color w:val="000000"/>
                <w:sz w:val="18"/>
                <w:szCs w:val="18"/>
                <w:lang w:eastAsia="hr-HR"/>
              </w:rPr>
            </w:pPr>
            <w:r w:rsidRPr="00ED0E51">
              <w:rPr>
                <w:rFonts w:eastAsia="Times New Roman" w:cstheme="minorHAnsi"/>
                <w:color w:val="000000"/>
                <w:sz w:val="18"/>
                <w:szCs w:val="18"/>
                <w:lang w:eastAsia="hr-HR"/>
              </w:rPr>
              <w:t xml:space="preserve">porast u odnosu </w:t>
            </w:r>
            <w:r>
              <w:rPr>
                <w:rFonts w:eastAsia="Times New Roman" w:cstheme="minorHAnsi"/>
                <w:color w:val="000000"/>
                <w:sz w:val="18"/>
                <w:szCs w:val="18"/>
                <w:lang w:eastAsia="hr-HR"/>
              </w:rPr>
              <w:t xml:space="preserve">   </w:t>
            </w:r>
            <w:r w:rsidRPr="00ED0E51">
              <w:rPr>
                <w:rFonts w:eastAsia="Times New Roman" w:cstheme="minorHAnsi"/>
                <w:color w:val="000000"/>
                <w:sz w:val="18"/>
                <w:szCs w:val="18"/>
                <w:lang w:eastAsia="hr-HR"/>
              </w:rPr>
              <w:t>na prethodno razdoblje, Društvo posluje s dobiti</w:t>
            </w:r>
          </w:p>
        </w:tc>
      </w:tr>
    </w:tbl>
    <w:p w14:paraId="43A2CE27" w14:textId="7436F18B" w:rsidR="00E17D1B" w:rsidRPr="00722F90" w:rsidRDefault="00407E91" w:rsidP="00722F90">
      <w:pPr>
        <w:rPr>
          <w:rFonts w:asciiTheme="majorHAnsi" w:eastAsiaTheme="majorEastAsia" w:hAnsiTheme="majorHAnsi" w:cstheme="majorBidi"/>
          <w:b/>
          <w:color w:val="A8D08D" w:themeColor="accent6" w:themeTint="99"/>
          <w:sz w:val="24"/>
          <w:szCs w:val="24"/>
        </w:rPr>
      </w:pPr>
      <w:r w:rsidRPr="00407E91">
        <w:t xml:space="preserve"> </w:t>
      </w:r>
      <w:r w:rsidR="00350DE6" w:rsidRPr="001C59D5">
        <w:br w:type="page"/>
      </w:r>
    </w:p>
    <w:p w14:paraId="7F6FDEB0" w14:textId="5F95FFBD" w:rsidR="00557DED" w:rsidRPr="002E792B" w:rsidRDefault="00557DED" w:rsidP="00E34BE9">
      <w:pPr>
        <w:pStyle w:val="Heading1"/>
        <w:rPr>
          <w:rFonts w:cstheme="minorHAnsi"/>
          <w:szCs w:val="22"/>
        </w:rPr>
      </w:pPr>
      <w:bookmarkStart w:id="38" w:name="_Toc200094278"/>
      <w:r w:rsidRPr="002E792B">
        <w:rPr>
          <w:rFonts w:cstheme="minorHAnsi"/>
          <w:szCs w:val="22"/>
        </w:rPr>
        <w:lastRenderedPageBreak/>
        <w:t>II. IZVJEŠĆE O REALIZACIJI PLANA RADA I POSLOVANJA</w:t>
      </w:r>
      <w:bookmarkEnd w:id="38"/>
      <w:r w:rsidRPr="002E792B">
        <w:rPr>
          <w:rFonts w:cstheme="minorHAnsi"/>
          <w:szCs w:val="22"/>
        </w:rPr>
        <w:t xml:space="preserve"> </w:t>
      </w:r>
    </w:p>
    <w:p w14:paraId="6DADABCE" w14:textId="77777777" w:rsidR="00744459" w:rsidRPr="001C59D5" w:rsidRDefault="00744459" w:rsidP="00744459"/>
    <w:p w14:paraId="7D994AEC" w14:textId="5B2E68E6" w:rsidR="004C038D" w:rsidRPr="002E792B" w:rsidRDefault="004C038D" w:rsidP="00281FBE">
      <w:pPr>
        <w:pStyle w:val="Heading2"/>
        <w:rPr>
          <w:rFonts w:asciiTheme="minorHAnsi" w:hAnsiTheme="minorHAnsi" w:cstheme="minorHAnsi"/>
          <w:szCs w:val="24"/>
        </w:rPr>
      </w:pPr>
      <w:bookmarkStart w:id="39" w:name="_Toc200094279"/>
      <w:r w:rsidRPr="002E792B">
        <w:rPr>
          <w:rFonts w:asciiTheme="minorHAnsi" w:hAnsiTheme="minorHAnsi" w:cstheme="minorHAnsi"/>
          <w:szCs w:val="24"/>
        </w:rPr>
        <w:t>1. UVOD</w:t>
      </w:r>
      <w:bookmarkEnd w:id="39"/>
    </w:p>
    <w:p w14:paraId="1E7B2CA7" w14:textId="77777777" w:rsidR="0011428E" w:rsidRPr="00AC4A10" w:rsidRDefault="0011428E" w:rsidP="0011428E">
      <w:pPr>
        <w:rPr>
          <w:rFonts w:cstheme="minorHAnsi"/>
        </w:rPr>
      </w:pPr>
    </w:p>
    <w:p w14:paraId="3C177B51" w14:textId="77777777" w:rsidR="00AC2EC6" w:rsidRPr="00840E6B" w:rsidRDefault="00AC2EC6" w:rsidP="00AC2EC6">
      <w:pPr>
        <w:pStyle w:val="NoSpacing"/>
        <w:spacing w:line="360" w:lineRule="auto"/>
        <w:jc w:val="both"/>
        <w:rPr>
          <w:rFonts w:cstheme="minorHAnsi"/>
        </w:rPr>
      </w:pPr>
      <w:r w:rsidRPr="00840E6B">
        <w:rPr>
          <w:rFonts w:cstheme="minorHAnsi"/>
        </w:rPr>
        <w:t>Usvajanjem planskih dokumenata za 202</w:t>
      </w:r>
      <w:r>
        <w:rPr>
          <w:rFonts w:cstheme="minorHAnsi"/>
        </w:rPr>
        <w:t>4</w:t>
      </w:r>
      <w:r w:rsidRPr="00840E6B">
        <w:rPr>
          <w:rFonts w:cstheme="minorHAnsi"/>
        </w:rPr>
        <w:t>. godinu Organi Društva definirali su osnovne strateške zadatke, a njihova realizacije odnosi se na:</w:t>
      </w:r>
    </w:p>
    <w:p w14:paraId="6BE2A824" w14:textId="77777777" w:rsidR="00AC2EC6" w:rsidRDefault="00AC2EC6" w:rsidP="00AC2EC6">
      <w:pPr>
        <w:pStyle w:val="ListParagraph"/>
        <w:numPr>
          <w:ilvl w:val="0"/>
          <w:numId w:val="5"/>
        </w:numPr>
        <w:spacing w:line="360" w:lineRule="auto"/>
        <w:jc w:val="both"/>
        <w:rPr>
          <w:rFonts w:asciiTheme="minorHAnsi" w:hAnsiTheme="minorHAnsi" w:cstheme="minorHAnsi"/>
          <w:sz w:val="22"/>
          <w:szCs w:val="22"/>
        </w:rPr>
      </w:pPr>
      <w:r w:rsidRPr="00AC4A10">
        <w:rPr>
          <w:rFonts w:asciiTheme="minorHAnsi" w:hAnsiTheme="minorHAnsi" w:cstheme="minorHAnsi"/>
          <w:sz w:val="22"/>
          <w:szCs w:val="22"/>
        </w:rPr>
        <w:t>Postrojenje za mehaničko-biološku obradu (MBO) otpada</w:t>
      </w:r>
    </w:p>
    <w:p w14:paraId="7159657C" w14:textId="77777777" w:rsidR="00AC2EC6" w:rsidRPr="00AC4A10" w:rsidRDefault="00AC2EC6" w:rsidP="00AC2EC6">
      <w:pPr>
        <w:pStyle w:val="ListParagraph"/>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Prihvat</w:t>
      </w:r>
    </w:p>
    <w:p w14:paraId="0D97425B" w14:textId="77777777" w:rsidR="00AC2EC6" w:rsidRDefault="00AC2EC6" w:rsidP="00AC2EC6">
      <w:pPr>
        <w:pStyle w:val="ListParagraph"/>
        <w:numPr>
          <w:ilvl w:val="0"/>
          <w:numId w:val="5"/>
        </w:numPr>
        <w:spacing w:line="360" w:lineRule="auto"/>
        <w:jc w:val="both"/>
        <w:rPr>
          <w:rFonts w:asciiTheme="minorHAnsi" w:hAnsiTheme="minorHAnsi" w:cstheme="minorHAnsi"/>
          <w:sz w:val="22"/>
          <w:szCs w:val="22"/>
        </w:rPr>
      </w:pPr>
      <w:r w:rsidRPr="00AC4A10">
        <w:rPr>
          <w:rFonts w:asciiTheme="minorHAnsi" w:hAnsiTheme="minorHAnsi" w:cstheme="minorHAnsi"/>
          <w:sz w:val="22"/>
          <w:szCs w:val="22"/>
        </w:rPr>
        <w:t>Zbrinjavanje goriva iz otpada (GIO)</w:t>
      </w:r>
    </w:p>
    <w:p w14:paraId="7ED95DB8" w14:textId="77777777" w:rsidR="00AC2EC6" w:rsidRPr="00AC4A10" w:rsidRDefault="00AC2EC6" w:rsidP="00AC2EC6">
      <w:pPr>
        <w:pStyle w:val="ListParagraph"/>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Odlagališne plohe</w:t>
      </w:r>
    </w:p>
    <w:p w14:paraId="73ED52AD" w14:textId="77777777" w:rsidR="00AC2EC6" w:rsidRPr="00840E6B" w:rsidRDefault="00AC2EC6" w:rsidP="00AC2EC6">
      <w:pPr>
        <w:pStyle w:val="ListParagraph"/>
        <w:numPr>
          <w:ilvl w:val="0"/>
          <w:numId w:val="5"/>
        </w:numPr>
        <w:spacing w:line="360" w:lineRule="auto"/>
        <w:jc w:val="both"/>
        <w:rPr>
          <w:rFonts w:asciiTheme="minorHAnsi" w:hAnsiTheme="minorHAnsi" w:cstheme="minorHAnsi"/>
          <w:sz w:val="22"/>
          <w:szCs w:val="22"/>
        </w:rPr>
      </w:pPr>
      <w:r w:rsidRPr="00AC4A10">
        <w:rPr>
          <w:rFonts w:asciiTheme="minorHAnsi" w:hAnsiTheme="minorHAnsi" w:cstheme="minorHAnsi"/>
          <w:sz w:val="22"/>
          <w:szCs w:val="22"/>
        </w:rPr>
        <w:t>Uređaj za pročišćavanje otpadnih voda</w:t>
      </w:r>
    </w:p>
    <w:p w14:paraId="7289BA58" w14:textId="77777777" w:rsidR="00AC2EC6" w:rsidRDefault="00AC2EC6" w:rsidP="00AC2EC6">
      <w:pPr>
        <w:pStyle w:val="ListParagraph"/>
        <w:numPr>
          <w:ilvl w:val="0"/>
          <w:numId w:val="5"/>
        </w:numPr>
        <w:spacing w:line="360" w:lineRule="auto"/>
        <w:jc w:val="both"/>
        <w:rPr>
          <w:rFonts w:asciiTheme="minorHAnsi" w:hAnsiTheme="minorHAnsi" w:cstheme="minorHAnsi"/>
          <w:sz w:val="22"/>
          <w:szCs w:val="22"/>
        </w:rPr>
      </w:pPr>
      <w:r w:rsidRPr="00840E6B">
        <w:rPr>
          <w:rFonts w:asciiTheme="minorHAnsi" w:hAnsiTheme="minorHAnsi" w:cstheme="minorHAnsi"/>
          <w:sz w:val="22"/>
          <w:szCs w:val="22"/>
        </w:rPr>
        <w:t>Održavanje</w:t>
      </w:r>
    </w:p>
    <w:p w14:paraId="28BEB9C8" w14:textId="77777777" w:rsidR="00AC2EC6" w:rsidRDefault="00AC2EC6" w:rsidP="00AC2EC6">
      <w:pPr>
        <w:pStyle w:val="ListParagraph"/>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Zaštita okoliša</w:t>
      </w:r>
    </w:p>
    <w:p w14:paraId="37E9F237" w14:textId="77777777" w:rsidR="00AC2EC6" w:rsidRDefault="00AC2EC6" w:rsidP="00AC2EC6">
      <w:pPr>
        <w:pStyle w:val="ListParagraph"/>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Odnosi s dionicima</w:t>
      </w:r>
    </w:p>
    <w:p w14:paraId="24FE098A" w14:textId="77777777" w:rsidR="00AC2EC6" w:rsidRDefault="00AC2EC6" w:rsidP="00AC2EC6">
      <w:pPr>
        <w:pStyle w:val="ListParagraph"/>
        <w:numPr>
          <w:ilvl w:val="0"/>
          <w:numId w:val="5"/>
        </w:numPr>
        <w:spacing w:line="360" w:lineRule="auto"/>
        <w:jc w:val="both"/>
        <w:rPr>
          <w:rFonts w:asciiTheme="minorHAnsi" w:hAnsiTheme="minorHAnsi" w:cstheme="minorHAnsi"/>
          <w:sz w:val="22"/>
          <w:szCs w:val="22"/>
        </w:rPr>
      </w:pPr>
      <w:r>
        <w:rPr>
          <w:rFonts w:asciiTheme="minorHAnsi" w:hAnsiTheme="minorHAnsi" w:cstheme="minorHAnsi"/>
          <w:sz w:val="22"/>
          <w:szCs w:val="22"/>
        </w:rPr>
        <w:t>Financijsko poslovanje</w:t>
      </w:r>
    </w:p>
    <w:p w14:paraId="4C710034" w14:textId="77777777" w:rsidR="00EB5905" w:rsidRPr="00AC4A10" w:rsidRDefault="00EB5905" w:rsidP="00EB5905">
      <w:pPr>
        <w:spacing w:line="276" w:lineRule="auto"/>
        <w:jc w:val="both"/>
        <w:rPr>
          <w:rFonts w:cstheme="minorHAnsi"/>
        </w:rPr>
      </w:pPr>
    </w:p>
    <w:p w14:paraId="5CF30D68" w14:textId="4EC27001" w:rsidR="00E43350" w:rsidRPr="005E31A9" w:rsidRDefault="00E43350" w:rsidP="00E43350">
      <w:pPr>
        <w:spacing w:line="360" w:lineRule="auto"/>
        <w:jc w:val="both"/>
      </w:pPr>
      <w:r>
        <w:t>1. u</w:t>
      </w:r>
      <w:r w:rsidRPr="005E31A9">
        <w:t xml:space="preserve"> 2024. godini zaprimljeno je 8</w:t>
      </w:r>
      <w:r w:rsidR="00871203">
        <w:t>4.1</w:t>
      </w:r>
      <w:r w:rsidR="00CD5068">
        <w:t>60</w:t>
      </w:r>
      <w:r w:rsidRPr="005E31A9">
        <w:t xml:space="preserve"> tona komunalnog otpada koji je upućen na obradu u MBO pogon, a od toga je 56.156 tona obrađenog otpada prošlo kroz mehanički dio proizvodnje, što ukazuje da se biološkom obradom otpada iz otpada izdvojilo oko 3</w:t>
      </w:r>
      <w:r w:rsidR="00871203">
        <w:t>3</w:t>
      </w:r>
      <w:r w:rsidRPr="005E31A9">
        <w:t xml:space="preserve">% vlage. </w:t>
      </w:r>
      <w:r w:rsidRPr="009624D9">
        <w:t xml:space="preserve">Usporedba sa planiranim količinama prikazana je u tablici 17. dok su u tablici 16. usporedno prikazani planirani i realizirani prihodi od prikupljenih količina otpada. </w:t>
      </w:r>
      <w:r w:rsidRPr="005E31A9">
        <w:t>Tijekom 2024. godine</w:t>
      </w:r>
      <w:r w:rsidR="009624D9">
        <w:t xml:space="preserve"> ovlaštenom oporabitelju predano je </w:t>
      </w:r>
      <w:r w:rsidRPr="005E31A9">
        <w:t xml:space="preserve"> 13</w:t>
      </w:r>
      <w:r w:rsidR="009624D9">
        <w:t>4</w:t>
      </w:r>
      <w:r w:rsidRPr="005E31A9">
        <w:t xml:space="preserve"> ton</w:t>
      </w:r>
      <w:r w:rsidR="009624D9">
        <w:t>e</w:t>
      </w:r>
      <w:r w:rsidRPr="005E31A9">
        <w:t xml:space="preserve"> non-Fe frakcije (aluminij) na daljnju oporabu i 62 tona Fe frakcije (željezo).  </w:t>
      </w:r>
    </w:p>
    <w:p w14:paraId="73563F9F" w14:textId="08773456" w:rsidR="00E43350" w:rsidRDefault="00E43350" w:rsidP="00E43350">
      <w:pPr>
        <w:spacing w:line="360" w:lineRule="auto"/>
        <w:jc w:val="both"/>
        <w:rPr>
          <w:color w:val="FF0000"/>
        </w:rPr>
      </w:pPr>
      <w:r w:rsidRPr="005E31A9">
        <w:t>Količine zaprimljenog otpada u ljetnim mjesecima tijekom 2024. godine kretale su se do 2.200 tona na tjedan dok su se u zimskim mjesecima količine kretale oko 1.400 tona tjedno. Količine koje gravitiraju k</w:t>
      </w:r>
      <w:r w:rsidR="00F117D9">
        <w:t>a</w:t>
      </w:r>
      <w:r w:rsidRPr="005E31A9">
        <w:t xml:space="preserve"> </w:t>
      </w:r>
      <w:r w:rsidR="00F41E17">
        <w:t>C</w:t>
      </w:r>
      <w:r w:rsidRPr="005E31A9">
        <w:t>entru u ljetnim mjesecima u 2024. godini bile su veće od nominalnih kao i dokazanih dugoročnih kapaciteta centra te je ugovornom partneru predano 2.8</w:t>
      </w:r>
      <w:r w:rsidR="009624D9">
        <w:t>78</w:t>
      </w:r>
      <w:r w:rsidRPr="005E31A9">
        <w:t xml:space="preserve"> tona viškova miješanog komunalnog otpada. </w:t>
      </w:r>
      <w:r w:rsidRPr="00EB201A">
        <w:t>Usporedba planiranih i realizirani troškova zbrinjavanja viškova otpada prikazana je u tablici 2</w:t>
      </w:r>
      <w:r w:rsidR="00FF274E">
        <w:t>9</w:t>
      </w:r>
      <w:r w:rsidRPr="00EB201A">
        <w:t xml:space="preserve">. </w:t>
      </w:r>
      <w:r w:rsidR="001C625C">
        <w:t>I</w:t>
      </w:r>
      <w:r w:rsidRPr="00EB201A">
        <w:t>zvješća.</w:t>
      </w:r>
    </w:p>
    <w:p w14:paraId="3317E5B0" w14:textId="77777777" w:rsidR="00E43350" w:rsidRPr="005E31A9" w:rsidRDefault="00E43350" w:rsidP="00E43350">
      <w:pPr>
        <w:spacing w:line="360" w:lineRule="auto"/>
        <w:jc w:val="both"/>
        <w:rPr>
          <w:color w:val="FF0000"/>
        </w:rPr>
      </w:pPr>
      <w:r w:rsidRPr="00466B65">
        <w:t>2. U</w:t>
      </w:r>
      <w:r>
        <w:t xml:space="preserve"> 2024. godini izvršeno je 1.838 prijevoza sa pretovarnih stanica (Novi Vinodolski - 521, Rab - 255, Krk - 445, Cres-Lošinj – 396, Delnice - 191) i dodatne pretovarne stanice (Vrbovsko - 30).</w:t>
      </w:r>
    </w:p>
    <w:p w14:paraId="36D350C7" w14:textId="33ADCB44" w:rsidR="00E43350" w:rsidRPr="005257A1" w:rsidRDefault="00E43350" w:rsidP="00E43350">
      <w:pPr>
        <w:spacing w:line="360" w:lineRule="auto"/>
        <w:jc w:val="both"/>
      </w:pPr>
      <w:r>
        <w:t xml:space="preserve">3. </w:t>
      </w:r>
      <w:r w:rsidRPr="00DD01B6">
        <w:t>U 2024</w:t>
      </w:r>
      <w:r w:rsidRPr="005E31A9">
        <w:t xml:space="preserve">. godine nastavila se isporuka goriva iz otpada ugovornom oporabitelju Surovina d.o.o. U 2024. godini predano je sveukupno 8.985 tona goriva iz otpada što je </w:t>
      </w:r>
      <w:r w:rsidR="005257A1">
        <w:t>38</w:t>
      </w:r>
      <w:r w:rsidRPr="005E31A9">
        <w:t>% više nego 2023. godine</w:t>
      </w:r>
      <w:r w:rsidR="005257A1">
        <w:t xml:space="preserve"> (6.517 tona)</w:t>
      </w:r>
      <w:r w:rsidRPr="005E31A9">
        <w:t xml:space="preserve"> i do sad najveća godišnja količina koju je ikad TD Ekoplus uspio predati na daljnju oporabu</w:t>
      </w:r>
      <w:r w:rsidRPr="005257A1">
        <w:t xml:space="preserve">. Usporedba planiranih i realizirani troškova zbrinjavanja </w:t>
      </w:r>
      <w:r w:rsidR="003D7906">
        <w:t>goriva iz</w:t>
      </w:r>
      <w:r w:rsidRPr="005257A1">
        <w:t xml:space="preserve"> otpada prikazana je u tablici </w:t>
      </w:r>
      <w:r w:rsidR="003D7906">
        <w:t>30</w:t>
      </w:r>
      <w:r w:rsidRPr="005257A1">
        <w:t xml:space="preserve">. </w:t>
      </w:r>
      <w:r w:rsidR="001C625C">
        <w:t>I</w:t>
      </w:r>
      <w:r w:rsidRPr="005257A1">
        <w:t xml:space="preserve">zvješća. </w:t>
      </w:r>
    </w:p>
    <w:p w14:paraId="63CEB2D7" w14:textId="77777777" w:rsidR="00E43350" w:rsidRPr="005E31A9" w:rsidRDefault="00E43350" w:rsidP="00E43350">
      <w:pPr>
        <w:spacing w:line="360" w:lineRule="auto"/>
        <w:jc w:val="both"/>
      </w:pPr>
      <w:r>
        <w:lastRenderedPageBreak/>
        <w:t>4</w:t>
      </w:r>
      <w:r w:rsidRPr="005E31A9">
        <w:t>.  Krajem svibnja 2024. nakon odlaganja na plohu 1Bm nastavljeno je odlaganje na plohu 1Cm kako bi se dodatno smanjio utjecaj neugodnih mirisa na okolna naselja, te se u to vrijeme nastavilo sa sektorskim prekrivanjem i otplinjavanjem plohe 1Cm.</w:t>
      </w:r>
      <w:r>
        <w:t xml:space="preserve"> Popunjenost odlagališne plohe 1 (1A + 1B + 1C) je ispod projektiranih količina te se ne dovodi u pitanje predviđeno trajanje Centra.</w:t>
      </w:r>
    </w:p>
    <w:p w14:paraId="0BAFC610" w14:textId="77777777" w:rsidR="00E43350" w:rsidRPr="00613D4D" w:rsidRDefault="00E43350" w:rsidP="00E43350">
      <w:pPr>
        <w:spacing w:line="360" w:lineRule="auto"/>
        <w:jc w:val="both"/>
      </w:pPr>
      <w:r>
        <w:t>5</w:t>
      </w:r>
      <w:r w:rsidRPr="00613D4D">
        <w:t>. Sustav obrade otpadnih voda kontinuirano je održavan kako se ne bi ugrozila kvaliteta obrađenih otpadnih voda koje se koriste u procesima proizvodnje i onih koje se ispuštaju u okoliš.</w:t>
      </w:r>
    </w:p>
    <w:p w14:paraId="714E1320" w14:textId="77777777" w:rsidR="00E43350" w:rsidRPr="00613D4D" w:rsidRDefault="00E43350" w:rsidP="00E43350">
      <w:pPr>
        <w:spacing w:line="360" w:lineRule="auto"/>
        <w:jc w:val="both"/>
        <w:rPr>
          <w:rFonts w:cstheme="minorHAnsi"/>
        </w:rPr>
      </w:pPr>
      <w:r w:rsidRPr="00613D4D">
        <w:rPr>
          <w:rFonts w:cstheme="minorHAnsi"/>
        </w:rPr>
        <w:t>Postrojenje za pročišćavanje otpadne vode UPOV je u 2024. godini obradilo sljedeće količine otpadnih voda:</w:t>
      </w:r>
    </w:p>
    <w:p w14:paraId="5B409F1F" w14:textId="77777777" w:rsidR="00E43350" w:rsidRPr="00613D4D" w:rsidRDefault="00E43350" w:rsidP="00E43350">
      <w:r w:rsidRPr="00613D4D">
        <w:t>-  13.487 m</w:t>
      </w:r>
      <w:r w:rsidRPr="00613D4D">
        <w:rPr>
          <w:vertAlign w:val="superscript"/>
        </w:rPr>
        <w:t>3</w:t>
      </w:r>
      <w:r w:rsidRPr="00613D4D">
        <w:t xml:space="preserve"> procijedne vode s odlagališta, </w:t>
      </w:r>
    </w:p>
    <w:p w14:paraId="592542B3" w14:textId="77777777" w:rsidR="00E43350" w:rsidRPr="00613D4D" w:rsidRDefault="00E43350" w:rsidP="00E43350">
      <w:r w:rsidRPr="00613D4D">
        <w:t>-  20.828 m</w:t>
      </w:r>
      <w:r w:rsidRPr="00613D4D">
        <w:rPr>
          <w:vertAlign w:val="superscript"/>
        </w:rPr>
        <w:t>3</w:t>
      </w:r>
      <w:r w:rsidRPr="00613D4D">
        <w:t xml:space="preserve"> otpadne vode iz MBO-a, </w:t>
      </w:r>
    </w:p>
    <w:p w14:paraId="057CB016" w14:textId="77777777" w:rsidR="00E43350" w:rsidRPr="00613D4D" w:rsidRDefault="00E43350" w:rsidP="00E43350">
      <w:r w:rsidRPr="00613D4D">
        <w:t>-   724  m</w:t>
      </w:r>
      <w:r w:rsidRPr="00613D4D">
        <w:rPr>
          <w:vertAlign w:val="superscript"/>
        </w:rPr>
        <w:t>3</w:t>
      </w:r>
      <w:r w:rsidRPr="00613D4D">
        <w:t xml:space="preserve"> sanitarne otpadne vode,</w:t>
      </w:r>
    </w:p>
    <w:p w14:paraId="1B7BF46A" w14:textId="77777777" w:rsidR="00E43350" w:rsidRDefault="00E43350" w:rsidP="00E43350">
      <w:pPr>
        <w:spacing w:line="360" w:lineRule="auto"/>
        <w:jc w:val="both"/>
        <w:rPr>
          <w:rFonts w:cstheme="minorHAnsi"/>
        </w:rPr>
      </w:pPr>
      <w:r w:rsidRPr="00613D4D">
        <w:rPr>
          <w:rFonts w:cstheme="minorHAnsi"/>
        </w:rPr>
        <w:t>Sveukupno je obrađeno 35.039 m</w:t>
      </w:r>
      <w:r w:rsidRPr="00613D4D">
        <w:rPr>
          <w:rFonts w:cstheme="minorHAnsi"/>
          <w:vertAlign w:val="superscript"/>
        </w:rPr>
        <w:t>3</w:t>
      </w:r>
      <w:r w:rsidRPr="00613D4D">
        <w:rPr>
          <w:rFonts w:cstheme="minorHAnsi"/>
        </w:rPr>
        <w:t xml:space="preserve"> otpadnih voda, od čega je 31.294 m</w:t>
      </w:r>
      <w:r w:rsidRPr="00613D4D">
        <w:rPr>
          <w:rFonts w:cstheme="minorHAnsi"/>
          <w:vertAlign w:val="superscript"/>
        </w:rPr>
        <w:t>3</w:t>
      </w:r>
      <w:r w:rsidRPr="00613D4D">
        <w:rPr>
          <w:rFonts w:cstheme="minorHAnsi"/>
        </w:rPr>
        <w:t xml:space="preserve">  </w:t>
      </w:r>
      <w:r>
        <w:rPr>
          <w:rFonts w:cstheme="minorHAnsi"/>
        </w:rPr>
        <w:t>prebačeno</w:t>
      </w:r>
      <w:r w:rsidRPr="00613D4D">
        <w:rPr>
          <w:rFonts w:cstheme="minorHAnsi"/>
        </w:rPr>
        <w:t xml:space="preserve"> u procesni spremnik kako bi se </w:t>
      </w:r>
      <w:r>
        <w:rPr>
          <w:rFonts w:cstheme="minorHAnsi"/>
        </w:rPr>
        <w:t xml:space="preserve">koristila </w:t>
      </w:r>
      <w:r w:rsidRPr="00613D4D">
        <w:rPr>
          <w:rFonts w:cstheme="minorHAnsi"/>
        </w:rPr>
        <w:t xml:space="preserve">kao tehnološka voda za nadopunu rashladnih tornjeva, </w:t>
      </w:r>
      <w:r>
        <w:rPr>
          <w:rFonts w:cstheme="minorHAnsi"/>
        </w:rPr>
        <w:t xml:space="preserve"> </w:t>
      </w:r>
      <w:r w:rsidRPr="00613D4D">
        <w:rPr>
          <w:rFonts w:cstheme="minorHAnsi"/>
        </w:rPr>
        <w:t xml:space="preserve">scrubbera, </w:t>
      </w:r>
      <w:r>
        <w:rPr>
          <w:rFonts w:cstheme="minorHAnsi"/>
        </w:rPr>
        <w:t xml:space="preserve">i </w:t>
      </w:r>
      <w:r w:rsidRPr="00613D4D">
        <w:rPr>
          <w:rFonts w:cstheme="minorHAnsi"/>
        </w:rPr>
        <w:t>čišćenje roto-sita</w:t>
      </w:r>
      <w:r>
        <w:rPr>
          <w:rFonts w:cstheme="minorHAnsi"/>
        </w:rPr>
        <w:t xml:space="preserve"> i time </w:t>
      </w:r>
      <w:r w:rsidRPr="00613D4D">
        <w:rPr>
          <w:rFonts w:cstheme="minorHAnsi"/>
        </w:rPr>
        <w:t>uštedila potrošnja vode iz javne vodoopskrbe</w:t>
      </w:r>
      <w:r>
        <w:rPr>
          <w:rFonts w:cstheme="minorHAnsi"/>
        </w:rPr>
        <w:t>.</w:t>
      </w:r>
    </w:p>
    <w:p w14:paraId="7D5C57BA" w14:textId="3341A2D6" w:rsidR="00E43350" w:rsidRPr="00255556" w:rsidRDefault="00E43350" w:rsidP="00E43350">
      <w:pPr>
        <w:spacing w:line="360" w:lineRule="auto"/>
        <w:jc w:val="both"/>
      </w:pPr>
      <w:r>
        <w:t xml:space="preserve">6. </w:t>
      </w:r>
      <w:r w:rsidRPr="00613D4D">
        <w:t xml:space="preserve">U proizvodnom pogonu MBO-a napravljen je velik dio remonta cjelokupnog postrojenja, zbog čega se uvelike smanjio broj zastoja kao i duljina pojedinih zastoja zbog raznih kvarova u odnosu na prethodne godine, a što je u konačnici imalo za posljedicu kvalitetniji rad MBO postrojenja. </w:t>
      </w:r>
      <w:r w:rsidRPr="00255556">
        <w:t>Usporedba planiranih i realizirani troškova održavanja MBO postrojenja prikazana je u tablici 2</w:t>
      </w:r>
      <w:r w:rsidR="00255556" w:rsidRPr="00255556">
        <w:t>3</w:t>
      </w:r>
      <w:r w:rsidRPr="00255556">
        <w:t xml:space="preserve">. </w:t>
      </w:r>
      <w:r w:rsidR="001C625C">
        <w:t>I</w:t>
      </w:r>
      <w:r w:rsidRPr="00255556">
        <w:t>zvješća.</w:t>
      </w:r>
    </w:p>
    <w:p w14:paraId="5A9E76E0" w14:textId="34706E36" w:rsidR="00E43350" w:rsidRPr="00613D4D" w:rsidRDefault="00E43350" w:rsidP="00E43350">
      <w:pPr>
        <w:spacing w:line="360" w:lineRule="auto"/>
        <w:jc w:val="both"/>
        <w:rPr>
          <w:color w:val="FF0000"/>
        </w:rPr>
      </w:pPr>
      <w:r>
        <w:t>7</w:t>
      </w:r>
      <w:r w:rsidRPr="00613D4D">
        <w:t xml:space="preserve">. Aktivnosti na uklanjanju neugodnih mirisa te svođenje utjecaja rada CGO na okoliš i zdravlje stanovništva na najmanju moguću mjeru je bio prioritet u radu Centra i u 2024. godini. Posebnu pažnju posvetilo se sigurnosti na radu i zdravlju radnika. Vršio se strogi nadzor i kontinuirano se unapređivala praksa rada kako bi se neugodni mirisi i ostali utjecaji na okoliš sveli na najmanju moguću mjeru. Odlagališne plohe redovno su prekrivane (dnevna i mjesečna prekrivka) kako bi se minimizirao dotok oborinskih voda u odlagališnu plohu, a emisija odlagališnih plinova u okoliš svela na najmanju moguću mjeru. </w:t>
      </w:r>
      <w:r w:rsidRPr="00CF0B49">
        <w:t xml:space="preserve">Usporedba planiranih i realizirani troškova prekrivke (folije) prikazana je u tablici 19. </w:t>
      </w:r>
      <w:r w:rsidR="001C625C">
        <w:t>I</w:t>
      </w:r>
      <w:r w:rsidRPr="00CF0B49">
        <w:t>zvješća.</w:t>
      </w:r>
    </w:p>
    <w:p w14:paraId="0C435668" w14:textId="49BAAAAE" w:rsidR="00E43350" w:rsidRPr="00CF0B49" w:rsidRDefault="00E43350" w:rsidP="00E43350">
      <w:pPr>
        <w:spacing w:line="360" w:lineRule="auto"/>
        <w:jc w:val="both"/>
      </w:pPr>
      <w:r w:rsidRPr="00613D4D">
        <w:t>U cilju praćenja utjecaja Centra za gospodarenje otpadom na lokalnu zajednicu kontinuirano se obavljao monitoring zraka putem automatske mjerne postaje (AMP) i Nastavnog zavoda za javno zdravstvo i o tome informirala javnost</w:t>
      </w:r>
      <w:r w:rsidRPr="00CF0B49">
        <w:t xml:space="preserve">. Usporedba planiranih i realizirani troškova praćenja kvalitete zraka prikazana je u tablici </w:t>
      </w:r>
      <w:r w:rsidR="00CF0B49" w:rsidRPr="00CF0B49">
        <w:t>32</w:t>
      </w:r>
      <w:r w:rsidRPr="00CF0B49">
        <w:t xml:space="preserve">. </w:t>
      </w:r>
      <w:r w:rsidR="001C625C">
        <w:t>I</w:t>
      </w:r>
      <w:r w:rsidRPr="00CF0B49">
        <w:t>zvješća. Obrađene otpadne vode i emisije u zrak redovito su se kontrolirale prema važećoj okolišnoj dozvoli.</w:t>
      </w:r>
    </w:p>
    <w:p w14:paraId="5E1B7ED7" w14:textId="77777777" w:rsidR="0007744E" w:rsidRDefault="00E43350" w:rsidP="00E43350">
      <w:pPr>
        <w:spacing w:line="360" w:lineRule="auto"/>
        <w:jc w:val="both"/>
        <w:rPr>
          <w:color w:val="000000" w:themeColor="text1"/>
        </w:rPr>
      </w:pPr>
      <w:r>
        <w:rPr>
          <w:color w:val="000000" w:themeColor="text1"/>
        </w:rPr>
        <w:lastRenderedPageBreak/>
        <w:t>8</w:t>
      </w:r>
      <w:r w:rsidRPr="00613D4D">
        <w:rPr>
          <w:color w:val="000000" w:themeColor="text1"/>
        </w:rPr>
        <w:t xml:space="preserve">. Društveno odgovorno poslovanje u Društvu primjenjivalo se je kao i do sada kroz stvaranje boljih životnih uvjeta lokalne zajednice, </w:t>
      </w:r>
      <w:r>
        <w:rPr>
          <w:color w:val="000000" w:themeColor="text1"/>
        </w:rPr>
        <w:t>suradnju</w:t>
      </w:r>
      <w:r w:rsidRPr="00613D4D">
        <w:rPr>
          <w:color w:val="000000" w:themeColor="text1"/>
        </w:rPr>
        <w:t xml:space="preserve"> sa zajednicom kroz podržavanje lokalnih aktivnosti, jasnom komunikacijom o poziciji Društva u sustavu gospodarenja otpadom, te povezanosti s akademskom zajednicom i obrazovnim institucijama. </w:t>
      </w:r>
    </w:p>
    <w:p w14:paraId="0E567DE5" w14:textId="07A19D48" w:rsidR="00E43350" w:rsidRPr="00613D4D" w:rsidRDefault="00E43350" w:rsidP="00E43350">
      <w:pPr>
        <w:spacing w:line="360" w:lineRule="auto"/>
        <w:jc w:val="both"/>
        <w:rPr>
          <w:color w:val="000000" w:themeColor="text1"/>
        </w:rPr>
      </w:pPr>
      <w:r w:rsidRPr="00613D4D">
        <w:rPr>
          <w:color w:val="000000" w:themeColor="text1"/>
        </w:rPr>
        <w:t>Centar redovno obilaze grupe djece osnovnoškolske i vrtićke dobi.</w:t>
      </w:r>
    </w:p>
    <w:p w14:paraId="410C11B4" w14:textId="49414E15" w:rsidR="00F30F13" w:rsidRPr="009B6ED6" w:rsidRDefault="009B6ED6" w:rsidP="009B6ED6">
      <w:pPr>
        <w:spacing w:line="360" w:lineRule="auto"/>
        <w:jc w:val="both"/>
        <w:rPr>
          <w:color w:val="0070C0"/>
        </w:rPr>
      </w:pPr>
      <w:r w:rsidRPr="0007744E">
        <w:t>Društvo je osvajaču 3.HNL zapad u 2024. godini</w:t>
      </w:r>
      <w:r w:rsidR="00B20B91">
        <w:t>,</w:t>
      </w:r>
      <w:r w:rsidRPr="0007744E">
        <w:t xml:space="preserve"> NK Halubjan doniralo semafor za prikaz rezultata kako bi nastavio s dobrim rezultatima i u 2025. godini. Navedeno je prikazano u tablici </w:t>
      </w:r>
      <w:r w:rsidR="006547C2" w:rsidRPr="0007744E">
        <w:t>38</w:t>
      </w:r>
      <w:r w:rsidR="00DD13BA">
        <w:t>.</w:t>
      </w:r>
      <w:r w:rsidR="006547C2" w:rsidRPr="0007744E">
        <w:t xml:space="preserve"> </w:t>
      </w:r>
      <w:r w:rsidR="001C625C">
        <w:t>I</w:t>
      </w:r>
      <w:r w:rsidR="006547C2" w:rsidRPr="0007744E">
        <w:t>zvješća</w:t>
      </w:r>
      <w:r w:rsidRPr="0007744E">
        <w:t xml:space="preserve">. </w:t>
      </w:r>
      <w:r w:rsidR="00F30F13" w:rsidRPr="009B6ED6">
        <w:rPr>
          <w:color w:val="0070C0"/>
        </w:rPr>
        <w:br w:type="page"/>
      </w:r>
    </w:p>
    <w:p w14:paraId="36AF57A3" w14:textId="29D6EEC8" w:rsidR="00F30F13" w:rsidRPr="00516435" w:rsidRDefault="00F30F13" w:rsidP="00F30F13">
      <w:pPr>
        <w:tabs>
          <w:tab w:val="left" w:pos="960"/>
        </w:tabs>
        <w:rPr>
          <w:rFonts w:eastAsia="Times New Roman" w:cstheme="minorHAnsi"/>
          <w:sz w:val="18"/>
          <w:szCs w:val="18"/>
        </w:rPr>
        <w:sectPr w:rsidR="00F30F13" w:rsidRPr="00516435" w:rsidSect="00F30F13">
          <w:footerReference w:type="default" r:id="rId14"/>
          <w:footerReference w:type="first" r:id="rId15"/>
          <w:pgSz w:w="11906" w:h="16838" w:code="9"/>
          <w:pgMar w:top="1418" w:right="1418" w:bottom="1418" w:left="1134" w:header="709" w:footer="709" w:gutter="0"/>
          <w:cols w:space="708"/>
          <w:titlePg/>
          <w:docGrid w:linePitch="360"/>
        </w:sectPr>
      </w:pPr>
    </w:p>
    <w:p w14:paraId="31BF5D21" w14:textId="61E92CFD" w:rsidR="00744459" w:rsidRDefault="004C038D" w:rsidP="00927697">
      <w:pPr>
        <w:pStyle w:val="Heading2"/>
        <w:rPr>
          <w:rFonts w:asciiTheme="minorHAnsi" w:hAnsiTheme="minorHAnsi" w:cstheme="minorHAnsi"/>
          <w:color w:val="FF0000"/>
          <w:szCs w:val="24"/>
        </w:rPr>
      </w:pPr>
      <w:bookmarkStart w:id="40" w:name="_Toc200094280"/>
      <w:r w:rsidRPr="00E64772">
        <w:rPr>
          <w:rFonts w:asciiTheme="minorHAnsi" w:hAnsiTheme="minorHAnsi" w:cstheme="minorHAnsi"/>
          <w:szCs w:val="24"/>
        </w:rPr>
        <w:lastRenderedPageBreak/>
        <w:t>2. KADROVI</w:t>
      </w:r>
      <w:bookmarkEnd w:id="40"/>
      <w:r w:rsidR="008D58B8" w:rsidRPr="00E64772">
        <w:rPr>
          <w:rFonts w:asciiTheme="minorHAnsi" w:hAnsiTheme="minorHAnsi" w:cstheme="minorHAnsi"/>
          <w:szCs w:val="24"/>
        </w:rPr>
        <w:t xml:space="preserve"> </w:t>
      </w:r>
    </w:p>
    <w:p w14:paraId="35CB0F65" w14:textId="77777777" w:rsidR="00927697" w:rsidRPr="00927697" w:rsidRDefault="00927697" w:rsidP="00927697"/>
    <w:p w14:paraId="45724172" w14:textId="0EA98D8D" w:rsidR="004C038D" w:rsidRPr="00E64772" w:rsidRDefault="004C038D" w:rsidP="00344E76">
      <w:pPr>
        <w:pStyle w:val="Heading2"/>
      </w:pPr>
      <w:bookmarkStart w:id="41" w:name="_Toc200094281"/>
      <w:r w:rsidRPr="00E64772">
        <w:t>2.1. Organizacijska struktura</w:t>
      </w:r>
      <w:bookmarkEnd w:id="41"/>
    </w:p>
    <w:p w14:paraId="19A802B0" w14:textId="5D7BD0B5" w:rsidR="008079CF" w:rsidRPr="00E64772" w:rsidRDefault="008079CF" w:rsidP="008079CF"/>
    <w:p w14:paraId="1B95BA0E" w14:textId="141C96E2" w:rsidR="00972A75" w:rsidRPr="00972A75" w:rsidRDefault="00972A75" w:rsidP="00972A75">
      <w:pPr>
        <w:spacing w:line="360" w:lineRule="auto"/>
        <w:jc w:val="both"/>
        <w:rPr>
          <w:rFonts w:cstheme="minorHAnsi"/>
        </w:rPr>
      </w:pPr>
      <w:r w:rsidRPr="00972A75">
        <w:rPr>
          <w:rFonts w:cstheme="minorHAnsi"/>
        </w:rPr>
        <w:t xml:space="preserve">Na 3. sjednici Nadzornog odbora, održanoj 21. lipnja 2023. godine, dana je prethodna suglasnost na Pravilnik o izmjenama i dopunama Pravilnika o radu TD EKOPLUS d.o.o., kojim je izmijenjena organizacijska struktura i sistematizacija radnih mjesta te </w:t>
      </w:r>
      <w:r w:rsidR="009A697A">
        <w:rPr>
          <w:rFonts w:cstheme="minorHAnsi"/>
        </w:rPr>
        <w:t xml:space="preserve">je </w:t>
      </w:r>
      <w:r w:rsidRPr="00972A75">
        <w:rPr>
          <w:rFonts w:cstheme="minorHAnsi"/>
        </w:rPr>
        <w:t>usklađena s dugoročnim potrebama poslovanja. Pravilnik je stupio na snagu 1. srpnja 2023. godine.</w:t>
      </w:r>
    </w:p>
    <w:p w14:paraId="5A0F68FA" w14:textId="77777777" w:rsidR="00972A75" w:rsidRPr="00972A75" w:rsidRDefault="00972A75" w:rsidP="00972A75">
      <w:pPr>
        <w:spacing w:line="360" w:lineRule="auto"/>
        <w:jc w:val="both"/>
        <w:rPr>
          <w:rFonts w:cstheme="minorHAnsi"/>
        </w:rPr>
      </w:pPr>
      <w:r w:rsidRPr="00972A75">
        <w:rPr>
          <w:rFonts w:cstheme="minorHAnsi"/>
        </w:rPr>
        <w:t>Temeljem navedenog Pravilnika, organizacijska struktura Društva prikazana je u nastavku.</w:t>
      </w:r>
    </w:p>
    <w:p w14:paraId="4E521B52" w14:textId="77777777" w:rsidR="00010B7C" w:rsidRPr="00E64772" w:rsidRDefault="00010B7C" w:rsidP="00D64CAF"/>
    <w:p w14:paraId="4B6D9E40" w14:textId="51694392" w:rsidR="00D64CAF" w:rsidRPr="00E64772" w:rsidRDefault="00D64CAF" w:rsidP="00D64CAF">
      <w:pPr>
        <w:rPr>
          <w:rFonts w:cstheme="minorHAnsi"/>
        </w:rPr>
      </w:pPr>
      <w:r w:rsidRPr="00E64772">
        <w:rPr>
          <w:rFonts w:cstheme="minorHAnsi"/>
          <w:b/>
          <w:bCs/>
        </w:rPr>
        <w:t xml:space="preserve">Grafikon 6. </w:t>
      </w:r>
      <w:r w:rsidRPr="00E64772">
        <w:rPr>
          <w:rFonts w:cstheme="minorHAnsi"/>
        </w:rPr>
        <w:t>Organizacijska struktura trgovačkog društva Ekoplus d.o.o.</w:t>
      </w:r>
    </w:p>
    <w:p w14:paraId="310FBBD3" w14:textId="200B3BAA" w:rsidR="00D64CAF" w:rsidRPr="006B7855" w:rsidRDefault="00DB0233" w:rsidP="00840E6B">
      <w:pPr>
        <w:spacing w:line="360" w:lineRule="auto"/>
        <w:jc w:val="both"/>
        <w:rPr>
          <w:color w:val="FF0000"/>
        </w:rPr>
      </w:pPr>
      <w:r w:rsidRPr="00923CC8">
        <w:rPr>
          <w:rFonts w:ascii="Arial" w:hAnsi="Arial" w:cs="Arial"/>
          <w:noProof/>
        </w:rPr>
        <w:drawing>
          <wp:anchor distT="0" distB="0" distL="114300" distR="114300" simplePos="0" relativeHeight="251668480" behindDoc="1" locked="0" layoutInCell="1" allowOverlap="1" wp14:anchorId="364050DF" wp14:editId="202CA216">
            <wp:simplePos x="0" y="0"/>
            <wp:positionH relativeFrom="margin">
              <wp:align>center</wp:align>
            </wp:positionH>
            <wp:positionV relativeFrom="paragraph">
              <wp:posOffset>429895</wp:posOffset>
            </wp:positionV>
            <wp:extent cx="6557645" cy="3463925"/>
            <wp:effectExtent l="0" t="0" r="0" b="3175"/>
            <wp:wrapNone/>
            <wp:docPr id="1260976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6684"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557645" cy="3463925"/>
                    </a:xfrm>
                    <a:prstGeom prst="rect">
                      <a:avLst/>
                    </a:prstGeom>
                  </pic:spPr>
                </pic:pic>
              </a:graphicData>
            </a:graphic>
            <wp14:sizeRelH relativeFrom="page">
              <wp14:pctWidth>0</wp14:pctWidth>
            </wp14:sizeRelH>
            <wp14:sizeRelV relativeFrom="page">
              <wp14:pctHeight>0</wp14:pctHeight>
            </wp14:sizeRelV>
          </wp:anchor>
        </w:drawing>
      </w:r>
    </w:p>
    <w:p w14:paraId="4EACCC5C" w14:textId="50A067C3" w:rsidR="00C81171" w:rsidRPr="00B55C63" w:rsidRDefault="00C81171" w:rsidP="00C81171">
      <w:pPr>
        <w:rPr>
          <w:b/>
          <w:bCs/>
        </w:rPr>
      </w:pPr>
      <w:bookmarkStart w:id="42" w:name="_Hlk72835398"/>
    </w:p>
    <w:bookmarkEnd w:id="42"/>
    <w:p w14:paraId="4ECEF536" w14:textId="46E37BA5" w:rsidR="001D37FA" w:rsidRDefault="001D37FA" w:rsidP="001D37FA">
      <w:pPr>
        <w:pStyle w:val="BodyTextIndent"/>
        <w:spacing w:before="120" w:after="120"/>
        <w:ind w:left="0" w:firstLine="0"/>
        <w:rPr>
          <w:rFonts w:ascii="Calibri" w:hAnsi="Calibri" w:cs="Calibri"/>
          <w:color w:val="FF0000"/>
          <w:sz w:val="22"/>
          <w:szCs w:val="22"/>
          <w:lang w:eastAsia="hr-HR"/>
        </w:rPr>
      </w:pPr>
      <w:r>
        <w:rPr>
          <w:rFonts w:ascii="Calibri" w:hAnsi="Calibri" w:cs="Calibri"/>
          <w:color w:val="FF0000"/>
          <w:sz w:val="22"/>
          <w:szCs w:val="22"/>
          <w:lang w:eastAsia="hr-HR"/>
        </w:rPr>
        <w:br/>
      </w:r>
    </w:p>
    <w:p w14:paraId="03EAC3AA" w14:textId="77777777" w:rsidR="001D37FA" w:rsidRDefault="001D37FA">
      <w:pPr>
        <w:rPr>
          <w:rFonts w:ascii="Calibri" w:eastAsia="Times New Roman" w:hAnsi="Calibri" w:cs="Calibri"/>
          <w:color w:val="FF0000"/>
          <w:lang w:eastAsia="hr-HR"/>
        </w:rPr>
      </w:pPr>
      <w:r>
        <w:rPr>
          <w:rFonts w:ascii="Calibri" w:hAnsi="Calibri" w:cs="Calibri"/>
          <w:color w:val="FF0000"/>
          <w:lang w:eastAsia="hr-HR"/>
        </w:rPr>
        <w:br w:type="page"/>
      </w:r>
    </w:p>
    <w:p w14:paraId="087B8813" w14:textId="77777777" w:rsidR="003F1AEE" w:rsidRPr="00971196" w:rsidRDefault="003F1AEE" w:rsidP="003F1AEE">
      <w:pPr>
        <w:spacing w:line="360" w:lineRule="auto"/>
        <w:jc w:val="both"/>
        <w:rPr>
          <w:rFonts w:ascii="Calibri" w:hAnsi="Calibri" w:cs="Calibri"/>
          <w:lang w:eastAsia="hr-HR"/>
        </w:rPr>
      </w:pPr>
      <w:r w:rsidRPr="00971196">
        <w:rPr>
          <w:rFonts w:ascii="Calibri" w:hAnsi="Calibri" w:cs="Calibri"/>
          <w:lang w:eastAsia="hr-HR"/>
        </w:rPr>
        <w:lastRenderedPageBreak/>
        <w:t>Tijekom 2024. godine Društvo je provelo ukupno 10 natječaja za zasnivanje radnog odnosa, od kojih je većina rezultirala sklapanjem ugovora o radu, dok su pojedini natječaji poništeni.</w:t>
      </w:r>
    </w:p>
    <w:p w14:paraId="0620076A" w14:textId="77777777" w:rsidR="003F1AEE" w:rsidRPr="00971196" w:rsidRDefault="003F1AEE" w:rsidP="003F1AEE">
      <w:pPr>
        <w:rPr>
          <w:rFonts w:ascii="Calibri" w:hAnsi="Calibri" w:cs="Calibri"/>
          <w:lang w:eastAsia="hr-HR"/>
        </w:rPr>
      </w:pPr>
      <w:r w:rsidRPr="00971196">
        <w:rPr>
          <w:rFonts w:ascii="Calibri" w:hAnsi="Calibri" w:cs="Calibri"/>
          <w:lang w:eastAsia="hr-HR"/>
        </w:rPr>
        <w:t>U siječnju su objavljena tri natječaja:</w:t>
      </w:r>
    </w:p>
    <w:p w14:paraId="15C91E10" w14:textId="77777777" w:rsidR="003F1AEE" w:rsidRPr="00BF2E8B" w:rsidRDefault="003F1AEE" w:rsidP="003F1AEE">
      <w:pPr>
        <w:pStyle w:val="ListParagraph"/>
        <w:numPr>
          <w:ilvl w:val="0"/>
          <w:numId w:val="15"/>
        </w:numPr>
        <w:spacing w:line="360" w:lineRule="auto"/>
        <w:jc w:val="both"/>
        <w:rPr>
          <w:rFonts w:ascii="Calibri" w:hAnsi="Calibri" w:cs="Calibri"/>
          <w:sz w:val="22"/>
          <w:szCs w:val="22"/>
          <w:lang w:eastAsia="hr-HR"/>
        </w:rPr>
      </w:pPr>
      <w:r w:rsidRPr="00BF2E8B">
        <w:rPr>
          <w:rFonts w:ascii="Calibri" w:hAnsi="Calibri" w:cs="Calibri"/>
          <w:sz w:val="22"/>
          <w:szCs w:val="22"/>
          <w:lang w:eastAsia="hr-HR"/>
        </w:rPr>
        <w:t xml:space="preserve">za radno mjesto </w:t>
      </w:r>
      <w:r w:rsidRPr="00BF2E8B">
        <w:rPr>
          <w:rFonts w:ascii="Calibri" w:eastAsiaTheme="majorEastAsia" w:hAnsi="Calibri" w:cs="Calibri"/>
          <w:sz w:val="22"/>
          <w:szCs w:val="22"/>
          <w:lang w:eastAsia="hr-HR"/>
        </w:rPr>
        <w:t>Radnik općih poslova</w:t>
      </w:r>
      <w:r w:rsidRPr="00BF2E8B">
        <w:rPr>
          <w:rFonts w:ascii="Calibri" w:hAnsi="Calibri" w:cs="Calibri"/>
          <w:sz w:val="22"/>
          <w:szCs w:val="22"/>
          <w:lang w:eastAsia="hr-HR"/>
        </w:rPr>
        <w:t xml:space="preserve"> (neodređeno), na temelju kojeg je zasnovan radni odnos,</w:t>
      </w:r>
    </w:p>
    <w:p w14:paraId="5F931A43" w14:textId="77777777" w:rsidR="003F1AEE" w:rsidRPr="00BF2E8B" w:rsidRDefault="003F1AEE" w:rsidP="003F1AEE">
      <w:pPr>
        <w:pStyle w:val="ListParagraph"/>
        <w:numPr>
          <w:ilvl w:val="0"/>
          <w:numId w:val="15"/>
        </w:numPr>
        <w:spacing w:line="360" w:lineRule="auto"/>
        <w:jc w:val="both"/>
        <w:rPr>
          <w:rFonts w:ascii="Calibri" w:hAnsi="Calibri" w:cs="Calibri"/>
          <w:sz w:val="22"/>
          <w:szCs w:val="22"/>
          <w:lang w:eastAsia="hr-HR"/>
        </w:rPr>
      </w:pPr>
      <w:r w:rsidRPr="00BF2E8B">
        <w:rPr>
          <w:rFonts w:ascii="Calibri" w:hAnsi="Calibri" w:cs="Calibri"/>
          <w:sz w:val="22"/>
          <w:szCs w:val="22"/>
          <w:lang w:eastAsia="hr-HR"/>
        </w:rPr>
        <w:t xml:space="preserve">za radno mjesto </w:t>
      </w:r>
      <w:r w:rsidRPr="00BF2E8B">
        <w:rPr>
          <w:rFonts w:ascii="Calibri" w:eastAsiaTheme="majorEastAsia" w:hAnsi="Calibri" w:cs="Calibri"/>
          <w:sz w:val="22"/>
          <w:szCs w:val="22"/>
          <w:lang w:eastAsia="hr-HR"/>
        </w:rPr>
        <w:t>Operater MBO B2</w:t>
      </w:r>
      <w:r w:rsidRPr="00BF2E8B">
        <w:rPr>
          <w:rFonts w:ascii="Calibri" w:hAnsi="Calibri" w:cs="Calibri"/>
          <w:sz w:val="22"/>
          <w:szCs w:val="22"/>
          <w:lang w:eastAsia="hr-HR"/>
        </w:rPr>
        <w:t xml:space="preserve"> (određeno), koji je </w:t>
      </w:r>
      <w:r w:rsidRPr="00BF2E8B">
        <w:rPr>
          <w:rFonts w:ascii="Calibri" w:eastAsiaTheme="majorEastAsia" w:hAnsi="Calibri" w:cs="Calibri"/>
          <w:sz w:val="22"/>
          <w:szCs w:val="22"/>
          <w:lang w:eastAsia="hr-HR"/>
        </w:rPr>
        <w:t>poništen</w:t>
      </w:r>
      <w:r w:rsidRPr="00BF2E8B">
        <w:rPr>
          <w:rFonts w:ascii="Calibri" w:hAnsi="Calibri" w:cs="Calibri"/>
          <w:sz w:val="22"/>
          <w:szCs w:val="22"/>
          <w:lang w:eastAsia="hr-HR"/>
        </w:rPr>
        <w:t>,</w:t>
      </w:r>
    </w:p>
    <w:p w14:paraId="29635D00" w14:textId="77777777" w:rsidR="003F1AEE" w:rsidRPr="00BF2E8B" w:rsidRDefault="003F1AEE" w:rsidP="003F1AEE">
      <w:pPr>
        <w:pStyle w:val="ListParagraph"/>
        <w:numPr>
          <w:ilvl w:val="0"/>
          <w:numId w:val="15"/>
        </w:numPr>
        <w:spacing w:line="360" w:lineRule="auto"/>
        <w:jc w:val="both"/>
        <w:rPr>
          <w:rFonts w:ascii="Calibri" w:hAnsi="Calibri" w:cs="Calibri"/>
          <w:sz w:val="22"/>
          <w:szCs w:val="22"/>
          <w:lang w:eastAsia="hr-HR"/>
        </w:rPr>
      </w:pPr>
      <w:r w:rsidRPr="00BF2E8B">
        <w:rPr>
          <w:rFonts w:ascii="Calibri" w:hAnsi="Calibri" w:cs="Calibri"/>
          <w:sz w:val="22"/>
          <w:szCs w:val="22"/>
          <w:lang w:eastAsia="hr-HR"/>
        </w:rPr>
        <w:t xml:space="preserve">te za radno mjesto </w:t>
      </w:r>
      <w:r w:rsidRPr="00BF2E8B">
        <w:rPr>
          <w:rFonts w:ascii="Calibri" w:eastAsiaTheme="majorEastAsia" w:hAnsi="Calibri" w:cs="Calibri"/>
          <w:sz w:val="22"/>
          <w:szCs w:val="22"/>
          <w:lang w:eastAsia="hr-HR"/>
        </w:rPr>
        <w:t>Inženjer zaštite na radu</w:t>
      </w:r>
      <w:r w:rsidRPr="00BF2E8B">
        <w:rPr>
          <w:rFonts w:ascii="Calibri" w:hAnsi="Calibri" w:cs="Calibri"/>
          <w:sz w:val="22"/>
          <w:szCs w:val="22"/>
          <w:lang w:eastAsia="hr-HR"/>
        </w:rPr>
        <w:t xml:space="preserve"> (neodređeno), na temelju kojeg je zasnovan radni odnos.</w:t>
      </w:r>
    </w:p>
    <w:p w14:paraId="63F3889D" w14:textId="77777777" w:rsidR="003F1AEE" w:rsidRPr="00971196" w:rsidRDefault="003F1AEE" w:rsidP="003F1AEE">
      <w:pPr>
        <w:spacing w:line="360" w:lineRule="auto"/>
        <w:jc w:val="both"/>
        <w:rPr>
          <w:rFonts w:ascii="Calibri" w:hAnsi="Calibri" w:cs="Calibri"/>
          <w:lang w:eastAsia="hr-HR"/>
        </w:rPr>
      </w:pPr>
      <w:r w:rsidRPr="00971196">
        <w:rPr>
          <w:rFonts w:ascii="Calibri" w:hAnsi="Calibri" w:cs="Calibri"/>
          <w:lang w:eastAsia="hr-HR"/>
        </w:rPr>
        <w:t>U veljači je proveden još jedan natječaj za radno mjesto Radnik općih poslova (neodređeno), na temelju kojeg je zasnovan radni odnos.</w:t>
      </w:r>
    </w:p>
    <w:p w14:paraId="10CCD10B" w14:textId="77777777" w:rsidR="003F1AEE" w:rsidRPr="00971196" w:rsidRDefault="003F1AEE" w:rsidP="003F1AEE">
      <w:pPr>
        <w:spacing w:line="360" w:lineRule="auto"/>
        <w:jc w:val="both"/>
        <w:rPr>
          <w:rFonts w:ascii="Calibri" w:hAnsi="Calibri" w:cs="Calibri"/>
          <w:lang w:eastAsia="hr-HR"/>
        </w:rPr>
      </w:pPr>
      <w:r w:rsidRPr="00971196">
        <w:rPr>
          <w:rFonts w:ascii="Calibri" w:hAnsi="Calibri" w:cs="Calibri"/>
          <w:lang w:eastAsia="hr-HR"/>
        </w:rPr>
        <w:t>U kolovozu je objavljen novi natječaj za isto radno mjesto (Radnik općih poslova), također s ishodom zasnivanja radnog odnosa na neodređeno vrijeme.</w:t>
      </w:r>
    </w:p>
    <w:p w14:paraId="1C7C5CF4" w14:textId="77777777" w:rsidR="003F1AEE" w:rsidRPr="00971196" w:rsidRDefault="003F1AEE" w:rsidP="003F1AEE">
      <w:pPr>
        <w:spacing w:line="360" w:lineRule="auto"/>
        <w:jc w:val="both"/>
        <w:rPr>
          <w:rFonts w:ascii="Calibri" w:hAnsi="Calibri" w:cs="Calibri"/>
          <w:lang w:eastAsia="hr-HR"/>
        </w:rPr>
      </w:pPr>
      <w:r w:rsidRPr="00971196">
        <w:rPr>
          <w:rFonts w:ascii="Calibri" w:hAnsi="Calibri" w:cs="Calibri"/>
          <w:lang w:eastAsia="hr-HR"/>
        </w:rPr>
        <w:t>U rujnu su provedena dva natječaja:</w:t>
      </w:r>
    </w:p>
    <w:p w14:paraId="6A06BAD4" w14:textId="77777777" w:rsidR="003F1AEE" w:rsidRPr="00971196" w:rsidRDefault="003F1AEE" w:rsidP="003F1AEE">
      <w:pPr>
        <w:numPr>
          <w:ilvl w:val="1"/>
          <w:numId w:val="16"/>
        </w:numPr>
        <w:spacing w:line="360" w:lineRule="auto"/>
        <w:jc w:val="both"/>
        <w:rPr>
          <w:rFonts w:ascii="Calibri" w:hAnsi="Calibri" w:cs="Calibri"/>
          <w:lang w:eastAsia="hr-HR"/>
        </w:rPr>
      </w:pPr>
      <w:r w:rsidRPr="00971196">
        <w:rPr>
          <w:rFonts w:ascii="Calibri" w:hAnsi="Calibri" w:cs="Calibri"/>
          <w:lang w:eastAsia="hr-HR"/>
        </w:rPr>
        <w:t>za radna mjesta Radnik općih poslova, Operater MBO B1 i Operater MBO B2 (svi na neodređeno vrijeme); zasnovan je radni odnos za poziciju Radnik općih poslova, dok su natječaji za radna mjesta Operater MBO B1 i B2 poništeni,</w:t>
      </w:r>
    </w:p>
    <w:p w14:paraId="1F3A4E14" w14:textId="77777777" w:rsidR="003F1AEE" w:rsidRPr="00971196" w:rsidRDefault="003F1AEE" w:rsidP="003F1AEE">
      <w:pPr>
        <w:numPr>
          <w:ilvl w:val="1"/>
          <w:numId w:val="16"/>
        </w:numPr>
        <w:spacing w:line="360" w:lineRule="auto"/>
        <w:jc w:val="both"/>
        <w:rPr>
          <w:rFonts w:ascii="Calibri" w:hAnsi="Calibri" w:cs="Calibri"/>
          <w:lang w:eastAsia="hr-HR"/>
        </w:rPr>
      </w:pPr>
      <w:r w:rsidRPr="00971196">
        <w:rPr>
          <w:rFonts w:ascii="Calibri" w:hAnsi="Calibri" w:cs="Calibri"/>
          <w:lang w:eastAsia="hr-HR"/>
        </w:rPr>
        <w:t>za radno mjesto Inženjer zaštite okoliša (određeno), na temelju kojeg je zasnovan radni odnos.</w:t>
      </w:r>
    </w:p>
    <w:p w14:paraId="1AD220CC" w14:textId="77777777" w:rsidR="003F1AEE" w:rsidRPr="00971196" w:rsidRDefault="003F1AEE" w:rsidP="003F1AEE">
      <w:pPr>
        <w:spacing w:line="360" w:lineRule="auto"/>
        <w:jc w:val="both"/>
        <w:rPr>
          <w:rFonts w:ascii="Calibri" w:hAnsi="Calibri" w:cs="Calibri"/>
          <w:lang w:eastAsia="hr-HR"/>
        </w:rPr>
      </w:pPr>
      <w:r w:rsidRPr="00971196">
        <w:rPr>
          <w:rFonts w:ascii="Calibri" w:hAnsi="Calibri" w:cs="Calibri"/>
          <w:lang w:eastAsia="hr-HR"/>
        </w:rPr>
        <w:t>U listopadu su provedena dva natječaja:</w:t>
      </w:r>
    </w:p>
    <w:p w14:paraId="0A40E92F" w14:textId="77777777" w:rsidR="003F1AEE" w:rsidRPr="00971196" w:rsidRDefault="003F1AEE" w:rsidP="003F1AEE">
      <w:pPr>
        <w:numPr>
          <w:ilvl w:val="1"/>
          <w:numId w:val="17"/>
        </w:numPr>
        <w:spacing w:line="360" w:lineRule="auto"/>
        <w:jc w:val="both"/>
        <w:rPr>
          <w:rFonts w:ascii="Calibri" w:hAnsi="Calibri" w:cs="Calibri"/>
          <w:lang w:eastAsia="hr-HR"/>
        </w:rPr>
      </w:pPr>
      <w:r w:rsidRPr="00971196">
        <w:rPr>
          <w:rFonts w:ascii="Calibri" w:hAnsi="Calibri" w:cs="Calibri"/>
          <w:lang w:eastAsia="hr-HR"/>
        </w:rPr>
        <w:t>za radno mjesto Operater vage (određeno), na temelju kojeg je zasnovan radni odnos,</w:t>
      </w:r>
    </w:p>
    <w:p w14:paraId="773E76F4" w14:textId="77777777" w:rsidR="003F1AEE" w:rsidRPr="00971196" w:rsidRDefault="003F1AEE" w:rsidP="003F1AEE">
      <w:pPr>
        <w:numPr>
          <w:ilvl w:val="1"/>
          <w:numId w:val="17"/>
        </w:numPr>
        <w:spacing w:line="360" w:lineRule="auto"/>
        <w:jc w:val="both"/>
        <w:rPr>
          <w:rFonts w:ascii="Calibri" w:hAnsi="Calibri" w:cs="Calibri"/>
          <w:lang w:eastAsia="hr-HR"/>
        </w:rPr>
      </w:pPr>
      <w:r w:rsidRPr="00971196">
        <w:rPr>
          <w:rFonts w:ascii="Calibri" w:hAnsi="Calibri" w:cs="Calibri"/>
          <w:lang w:eastAsia="hr-HR"/>
        </w:rPr>
        <w:t>te za radna mjesta Operater MBO B1 i B2 (neodređeno) i Skladištar (određeno); zasnovan je radni odnos za poziciju Skladištar, dok su natječaji za Operater MBO B1 i B2 poništeni.</w:t>
      </w:r>
    </w:p>
    <w:p w14:paraId="32666866" w14:textId="77777777" w:rsidR="003F1AEE" w:rsidRDefault="003F1AEE" w:rsidP="003F1AEE">
      <w:pPr>
        <w:spacing w:line="360" w:lineRule="auto"/>
        <w:jc w:val="both"/>
        <w:rPr>
          <w:rFonts w:ascii="Calibri" w:hAnsi="Calibri" w:cs="Calibri"/>
          <w:lang w:eastAsia="hr-HR"/>
        </w:rPr>
      </w:pPr>
      <w:r w:rsidRPr="00971196">
        <w:rPr>
          <w:rFonts w:ascii="Calibri" w:hAnsi="Calibri" w:cs="Calibri"/>
          <w:lang w:eastAsia="hr-HR"/>
        </w:rPr>
        <w:t>U studenom je objavljen natječaj za radno mjesto Radnik općih poslova (neodređeno), koji je poništen.</w:t>
      </w:r>
    </w:p>
    <w:p w14:paraId="1DBFF157" w14:textId="77777777" w:rsidR="003F1AEE" w:rsidRDefault="003F1AEE" w:rsidP="003F1AEE">
      <w:pPr>
        <w:spacing w:line="360" w:lineRule="auto"/>
        <w:jc w:val="both"/>
        <w:rPr>
          <w:rFonts w:ascii="Calibri" w:hAnsi="Calibri" w:cs="Calibri"/>
          <w:lang w:eastAsia="hr-HR"/>
        </w:rPr>
      </w:pPr>
      <w:r w:rsidRPr="00817EEC">
        <w:rPr>
          <w:rFonts w:ascii="Calibri" w:hAnsi="Calibri" w:cs="Calibri"/>
          <w:lang w:eastAsia="hr-HR"/>
        </w:rPr>
        <w:t>U prosincu je objavljen natječaj za radna mjesta Operater MBO B1 i Operater MBO B2 (neodređeno vrijeme). Na temelju natječaja zasnovani su radni odnosi za obje pozicije.</w:t>
      </w:r>
    </w:p>
    <w:p w14:paraId="1A984FEA" w14:textId="25A35E0C" w:rsidR="00817EEC" w:rsidRPr="00971196" w:rsidRDefault="002E04C2" w:rsidP="002E04C2">
      <w:pPr>
        <w:rPr>
          <w:rFonts w:ascii="Calibri" w:hAnsi="Calibri" w:cs="Calibri"/>
          <w:lang w:eastAsia="hr-HR"/>
        </w:rPr>
      </w:pPr>
      <w:r>
        <w:rPr>
          <w:rFonts w:ascii="Calibri" w:hAnsi="Calibri" w:cs="Calibri"/>
          <w:lang w:eastAsia="hr-HR"/>
        </w:rPr>
        <w:br w:type="page"/>
      </w:r>
    </w:p>
    <w:p w14:paraId="1C46A133" w14:textId="77777777" w:rsidR="005A06DC" w:rsidRPr="002E04C2" w:rsidRDefault="005A06DC" w:rsidP="005A06DC">
      <w:pPr>
        <w:spacing w:line="360" w:lineRule="auto"/>
        <w:jc w:val="both"/>
        <w:rPr>
          <w:rFonts w:ascii="Calibri" w:hAnsi="Calibri" w:cs="Calibri"/>
          <w:lang w:eastAsia="hr-HR"/>
        </w:rPr>
      </w:pPr>
      <w:r w:rsidRPr="002E04C2">
        <w:rPr>
          <w:rFonts w:ascii="Calibri" w:hAnsi="Calibri" w:cs="Calibri"/>
          <w:lang w:eastAsia="hr-HR"/>
        </w:rPr>
        <w:lastRenderedPageBreak/>
        <w:t>U siječnju 2024. godine, radnik koji je obavljao poslove radnog mjesta Skladištar ostvario je pravo na starosnu mirovinu, čime je prestao njegov ugovor o radu na neodređeno vrijeme. Na temelju dogovora između radnika i poslodavca, sklopljen je ugovor o radu na određeno vrijeme.</w:t>
      </w:r>
    </w:p>
    <w:p w14:paraId="5CA2E3B0" w14:textId="77777777" w:rsidR="005A06DC" w:rsidRPr="002E04C2" w:rsidRDefault="005A06DC" w:rsidP="005A06DC">
      <w:pPr>
        <w:spacing w:line="360" w:lineRule="auto"/>
        <w:jc w:val="both"/>
        <w:rPr>
          <w:rFonts w:ascii="Calibri" w:hAnsi="Calibri" w:cs="Calibri"/>
          <w:lang w:eastAsia="hr-HR"/>
        </w:rPr>
      </w:pPr>
      <w:r w:rsidRPr="002E04C2">
        <w:rPr>
          <w:rFonts w:ascii="Calibri" w:hAnsi="Calibri" w:cs="Calibri"/>
          <w:lang w:eastAsia="hr-HR"/>
        </w:rPr>
        <w:t>U veljači 2024. godine, prestanak radnog odnosa zabilježen je kod tri radnika:</w:t>
      </w:r>
    </w:p>
    <w:p w14:paraId="7005BFAF" w14:textId="77777777" w:rsidR="005A06DC" w:rsidRPr="002E04C2" w:rsidRDefault="005A06DC" w:rsidP="005A06DC">
      <w:pPr>
        <w:numPr>
          <w:ilvl w:val="0"/>
          <w:numId w:val="18"/>
        </w:numPr>
        <w:spacing w:line="360" w:lineRule="auto"/>
        <w:jc w:val="both"/>
        <w:rPr>
          <w:rFonts w:ascii="Calibri" w:hAnsi="Calibri" w:cs="Calibri"/>
          <w:lang w:eastAsia="hr-HR"/>
        </w:rPr>
      </w:pPr>
      <w:r w:rsidRPr="002E04C2">
        <w:rPr>
          <w:rFonts w:ascii="Calibri" w:hAnsi="Calibri" w:cs="Calibri"/>
          <w:lang w:eastAsia="hr-HR"/>
        </w:rPr>
        <w:t>za radno mjesto Radnik općih poslova, ugovor o radu prestao je temeljem članka 112. stavka 1. točke 1. Zakona o radu,</w:t>
      </w:r>
    </w:p>
    <w:p w14:paraId="27979A3B" w14:textId="77777777" w:rsidR="005A06DC" w:rsidRPr="002E04C2" w:rsidRDefault="005A06DC" w:rsidP="005A06DC">
      <w:pPr>
        <w:numPr>
          <w:ilvl w:val="0"/>
          <w:numId w:val="18"/>
        </w:numPr>
        <w:spacing w:line="360" w:lineRule="auto"/>
        <w:jc w:val="both"/>
        <w:rPr>
          <w:rFonts w:ascii="Calibri" w:hAnsi="Calibri" w:cs="Calibri"/>
          <w:lang w:eastAsia="hr-HR"/>
        </w:rPr>
      </w:pPr>
      <w:r w:rsidRPr="002E04C2">
        <w:rPr>
          <w:rFonts w:ascii="Calibri" w:hAnsi="Calibri" w:cs="Calibri"/>
          <w:lang w:eastAsia="hr-HR"/>
        </w:rPr>
        <w:t>radnik na radnom mjestu Inženjer zaštite na radu ostvario je pravo na starosnu mirovinu,</w:t>
      </w:r>
    </w:p>
    <w:p w14:paraId="7E04946F" w14:textId="77777777" w:rsidR="005A06DC" w:rsidRPr="002E04C2" w:rsidRDefault="005A06DC" w:rsidP="005A06DC">
      <w:pPr>
        <w:numPr>
          <w:ilvl w:val="0"/>
          <w:numId w:val="18"/>
        </w:numPr>
        <w:spacing w:line="360" w:lineRule="auto"/>
        <w:jc w:val="both"/>
        <w:rPr>
          <w:rFonts w:ascii="Calibri" w:hAnsi="Calibri" w:cs="Calibri"/>
          <w:lang w:eastAsia="hr-HR"/>
        </w:rPr>
      </w:pPr>
      <w:r w:rsidRPr="002E04C2">
        <w:rPr>
          <w:rFonts w:ascii="Calibri" w:hAnsi="Calibri" w:cs="Calibri"/>
          <w:lang w:eastAsia="hr-HR"/>
        </w:rPr>
        <w:t>radnik na radnom mjestu Operater MBO B2 otišao je u invalidsku mirovinu.</w:t>
      </w:r>
    </w:p>
    <w:p w14:paraId="10BF5FB6" w14:textId="77777777" w:rsidR="005A06DC" w:rsidRPr="002E04C2" w:rsidRDefault="005A06DC" w:rsidP="005A06DC">
      <w:pPr>
        <w:spacing w:line="360" w:lineRule="auto"/>
        <w:jc w:val="both"/>
        <w:rPr>
          <w:rFonts w:ascii="Calibri" w:hAnsi="Calibri" w:cs="Calibri"/>
          <w:lang w:eastAsia="hr-HR"/>
        </w:rPr>
      </w:pPr>
      <w:r w:rsidRPr="002E04C2">
        <w:rPr>
          <w:rFonts w:ascii="Calibri" w:hAnsi="Calibri" w:cs="Calibri"/>
          <w:lang w:eastAsia="hr-HR"/>
        </w:rPr>
        <w:t>U ožujku 2024. godine, radniku koji je obavljao poslove radnog mjesta Operater MBO B1 radni odnos je prestao sporazumno, temeljem sporazuma o prestanku ugovora o radu.</w:t>
      </w:r>
    </w:p>
    <w:p w14:paraId="18C7867C" w14:textId="77777777" w:rsidR="005A06DC" w:rsidRPr="002E04C2" w:rsidRDefault="005A06DC" w:rsidP="005A06DC">
      <w:pPr>
        <w:spacing w:line="360" w:lineRule="auto"/>
        <w:jc w:val="both"/>
        <w:rPr>
          <w:rFonts w:ascii="Calibri" w:hAnsi="Calibri" w:cs="Calibri"/>
          <w:lang w:eastAsia="hr-HR"/>
        </w:rPr>
      </w:pPr>
      <w:r w:rsidRPr="002E04C2">
        <w:rPr>
          <w:rFonts w:ascii="Calibri" w:hAnsi="Calibri" w:cs="Calibri"/>
          <w:lang w:eastAsia="hr-HR"/>
        </w:rPr>
        <w:t>U srpnju 2024. godine, radniku na radnom mjestu Radnik općih poslova prestao je radni odnos temeljem članka 112. stavka 1. točke 9. Zakona o radu.</w:t>
      </w:r>
    </w:p>
    <w:p w14:paraId="397F13D2" w14:textId="77777777" w:rsidR="005A06DC" w:rsidRPr="002E04C2" w:rsidRDefault="005A06DC" w:rsidP="005A06DC">
      <w:pPr>
        <w:spacing w:line="360" w:lineRule="auto"/>
        <w:jc w:val="both"/>
        <w:rPr>
          <w:rFonts w:ascii="Calibri" w:hAnsi="Calibri" w:cs="Calibri"/>
          <w:lang w:eastAsia="hr-HR"/>
        </w:rPr>
      </w:pPr>
      <w:r w:rsidRPr="002E04C2">
        <w:rPr>
          <w:rFonts w:ascii="Calibri" w:hAnsi="Calibri" w:cs="Calibri"/>
          <w:lang w:eastAsia="hr-HR"/>
        </w:rPr>
        <w:t>U kolovozu 2024. godine, radni odnosi su sporazumno prestali za dva radnika, koji su obavljali poslove radnih mjesta Operater MBO B1 i Operater MBO B2.</w:t>
      </w:r>
    </w:p>
    <w:p w14:paraId="5B2831C9" w14:textId="77777777" w:rsidR="005A06DC" w:rsidRPr="002E04C2" w:rsidRDefault="005A06DC" w:rsidP="005A06DC">
      <w:pPr>
        <w:spacing w:line="360" w:lineRule="auto"/>
        <w:jc w:val="both"/>
        <w:rPr>
          <w:rFonts w:ascii="Calibri" w:hAnsi="Calibri" w:cs="Calibri"/>
          <w:lang w:eastAsia="hr-HR"/>
        </w:rPr>
      </w:pPr>
      <w:r w:rsidRPr="002E04C2">
        <w:rPr>
          <w:rFonts w:ascii="Calibri" w:hAnsi="Calibri" w:cs="Calibri"/>
          <w:lang w:eastAsia="hr-HR"/>
        </w:rPr>
        <w:t>U listopadu 2024. godine, radnik na radnom mjestu Operater MBO A ostvario je pravo na starosnu mirovinu. Nakon prestanka ugovora o radu na neodređeno vrijeme, dogovorom s poslodavcem sklopljen je novi ugovor o radu na određeno vrijeme.</w:t>
      </w:r>
    </w:p>
    <w:p w14:paraId="300AC556" w14:textId="77777777" w:rsidR="005A06DC" w:rsidRDefault="005A06DC" w:rsidP="005A06DC">
      <w:pPr>
        <w:spacing w:line="360" w:lineRule="auto"/>
        <w:jc w:val="both"/>
        <w:rPr>
          <w:rFonts w:ascii="Calibri" w:hAnsi="Calibri" w:cs="Calibri"/>
          <w:lang w:eastAsia="hr-HR"/>
        </w:rPr>
      </w:pPr>
      <w:r w:rsidRPr="002E04C2">
        <w:rPr>
          <w:rFonts w:ascii="Calibri" w:hAnsi="Calibri" w:cs="Calibri"/>
          <w:lang w:eastAsia="hr-HR"/>
        </w:rPr>
        <w:t>U prosincu 2024. godine, radnik na radnom mjestu Voditelj održavanja / Elektroničar također je ostvario pravo na starosnu mirovinu, nakon čega je, uz suglasnost obiju strana, sklopljen ugovor o radu na određeno vrijeme.</w:t>
      </w:r>
    </w:p>
    <w:p w14:paraId="32555C6A" w14:textId="77777777" w:rsidR="00757426" w:rsidRDefault="00757426" w:rsidP="00757426">
      <w:pPr>
        <w:spacing w:before="120" w:after="120" w:line="360" w:lineRule="auto"/>
        <w:jc w:val="both"/>
        <w:rPr>
          <w:rFonts w:cstheme="minorHAnsi"/>
          <w:lang w:eastAsia="hr-HR"/>
        </w:rPr>
      </w:pPr>
      <w:r w:rsidRPr="00C25226">
        <w:rPr>
          <w:rFonts w:cstheme="minorHAnsi"/>
          <w:lang w:eastAsia="hr-HR"/>
        </w:rPr>
        <w:t>Na dan 31.12.2024. godine u Društvu je ukupno zaposleno 60 radnika na neodređeno vrijeme i 9 radnika na određeno vrijeme uključujući predsjednika Uprave, odnosno 60 muškaraca i 9 žena.</w:t>
      </w:r>
    </w:p>
    <w:p w14:paraId="0FC7250E" w14:textId="77777777" w:rsidR="00757426" w:rsidRPr="00962C6D" w:rsidRDefault="00757426" w:rsidP="00757426">
      <w:pPr>
        <w:spacing w:before="120" w:after="120" w:line="360" w:lineRule="auto"/>
        <w:jc w:val="both"/>
        <w:rPr>
          <w:rFonts w:ascii="Calibri" w:hAnsi="Calibri" w:cs="Calibri"/>
          <w:color w:val="000000" w:themeColor="text1"/>
          <w:lang w:eastAsia="hr-HR"/>
        </w:rPr>
      </w:pPr>
      <w:r w:rsidRPr="00962C6D">
        <w:rPr>
          <w:rFonts w:cstheme="minorHAnsi"/>
          <w:color w:val="000000" w:themeColor="text1"/>
          <w:lang w:eastAsia="hr-HR"/>
        </w:rPr>
        <w:t>Slijede tablice u kojima je naveden</w:t>
      </w:r>
      <w:r>
        <w:rPr>
          <w:rFonts w:cstheme="minorHAnsi"/>
          <w:color w:val="000000" w:themeColor="text1"/>
          <w:lang w:eastAsia="hr-HR"/>
        </w:rPr>
        <w:t xml:space="preserve"> ukupan</w:t>
      </w:r>
      <w:r w:rsidRPr="00962C6D">
        <w:rPr>
          <w:rFonts w:cstheme="minorHAnsi"/>
          <w:color w:val="000000" w:themeColor="text1"/>
          <w:lang w:eastAsia="hr-HR"/>
        </w:rPr>
        <w:t xml:space="preserve"> broj osoba zaposlenih po mjesecima</w:t>
      </w:r>
      <w:r>
        <w:rPr>
          <w:rFonts w:cstheme="minorHAnsi"/>
          <w:color w:val="000000" w:themeColor="text1"/>
          <w:lang w:eastAsia="hr-HR"/>
        </w:rPr>
        <w:t>,</w:t>
      </w:r>
      <w:r w:rsidRPr="00962C6D">
        <w:rPr>
          <w:rFonts w:cstheme="minorHAnsi"/>
          <w:color w:val="000000" w:themeColor="text1"/>
          <w:lang w:eastAsia="hr-HR"/>
        </w:rPr>
        <w:t xml:space="preserve"> spolu i stručnoj spremi.</w:t>
      </w:r>
    </w:p>
    <w:p w14:paraId="3E1F8445" w14:textId="5DB0A62D" w:rsidR="00B10146" w:rsidRPr="002E04C2" w:rsidRDefault="00B10146" w:rsidP="00B10146">
      <w:pPr>
        <w:rPr>
          <w:rFonts w:ascii="Calibri" w:hAnsi="Calibri" w:cs="Calibri"/>
          <w:color w:val="FF0000"/>
          <w:lang w:eastAsia="hr-HR"/>
        </w:rPr>
      </w:pPr>
    </w:p>
    <w:p w14:paraId="7142C5C1" w14:textId="60E688F5" w:rsidR="0088103D" w:rsidRPr="002E04C2" w:rsidRDefault="00C02254" w:rsidP="002E04C2">
      <w:pPr>
        <w:spacing w:line="360" w:lineRule="auto"/>
        <w:jc w:val="both"/>
        <w:rPr>
          <w:rFonts w:ascii="Calibri" w:hAnsi="Calibri" w:cs="Calibri"/>
          <w:lang w:eastAsia="hr-HR"/>
        </w:rPr>
      </w:pPr>
      <w:r w:rsidRPr="002E04C2">
        <w:rPr>
          <w:rFonts w:ascii="Calibri" w:hAnsi="Calibri" w:cs="Calibri"/>
          <w:lang w:eastAsia="hr-HR"/>
        </w:rPr>
        <w:br w:type="page"/>
      </w:r>
    </w:p>
    <w:p w14:paraId="20D36620" w14:textId="34153A9D" w:rsidR="00ED4AC8" w:rsidRPr="00C57224" w:rsidRDefault="00ED4AC8" w:rsidP="00C57224">
      <w:pPr>
        <w:pStyle w:val="Caption"/>
        <w:spacing w:after="240" w:line="276" w:lineRule="auto"/>
        <w:rPr>
          <w:rFonts w:cstheme="minorHAnsi"/>
          <w:lang w:eastAsia="hr-HR"/>
        </w:rPr>
      </w:pPr>
      <w:bookmarkStart w:id="43" w:name="_Toc200366449"/>
      <w:r w:rsidRPr="00CE6DC0">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CE6DC0">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11</w:t>
      </w:r>
      <w:r w:rsidRPr="00840E6B">
        <w:rPr>
          <w:rFonts w:asciiTheme="minorHAnsi" w:hAnsiTheme="minorHAnsi" w:cstheme="minorHAnsi"/>
          <w:sz w:val="22"/>
          <w:szCs w:val="22"/>
        </w:rPr>
        <w:fldChar w:fldCharType="end"/>
      </w:r>
      <w:r w:rsidRPr="00CE6DC0">
        <w:rPr>
          <w:rFonts w:asciiTheme="minorHAnsi" w:hAnsiTheme="minorHAnsi" w:cstheme="minorHAnsi"/>
          <w:sz w:val="22"/>
          <w:szCs w:val="22"/>
        </w:rPr>
        <w:t xml:space="preserve">. </w:t>
      </w:r>
      <w:r w:rsidR="004C42E7" w:rsidRPr="00C82290">
        <w:rPr>
          <w:rFonts w:asciiTheme="minorHAnsi" w:hAnsiTheme="minorHAnsi" w:cstheme="minorHAnsi"/>
          <w:b w:val="0"/>
          <w:bCs w:val="0"/>
          <w:sz w:val="22"/>
          <w:szCs w:val="22"/>
        </w:rPr>
        <w:t>Ukupan broj osoba zaposlenih po mjesecima i spolu</w:t>
      </w:r>
      <w:bookmarkEnd w:id="43"/>
    </w:p>
    <w:tbl>
      <w:tblPr>
        <w:tblW w:w="89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2"/>
        <w:gridCol w:w="2098"/>
        <w:gridCol w:w="2098"/>
        <w:gridCol w:w="2098"/>
        <w:gridCol w:w="2098"/>
      </w:tblGrid>
      <w:tr w:rsidR="00CE6DC0" w:rsidRPr="00CE6DC0" w14:paraId="51D20E1F" w14:textId="77777777" w:rsidTr="00335B99">
        <w:trPr>
          <w:trHeight w:val="283"/>
        </w:trPr>
        <w:tc>
          <w:tcPr>
            <w:tcW w:w="562" w:type="dxa"/>
            <w:tcBorders>
              <w:top w:val="single" w:sz="4" w:space="0" w:color="auto"/>
              <w:bottom w:val="single" w:sz="4" w:space="0" w:color="auto"/>
            </w:tcBorders>
            <w:shd w:val="clear" w:color="auto" w:fill="auto"/>
            <w:noWrap/>
            <w:vAlign w:val="bottom"/>
            <w:hideMark/>
          </w:tcPr>
          <w:p w14:paraId="0D14EB78" w14:textId="7B1F0CDD" w:rsidR="00474439" w:rsidRPr="00CE6DC0" w:rsidRDefault="00CE6DC0" w:rsidP="00335B99">
            <w:pPr>
              <w:spacing w:before="120" w:after="120" w:line="276" w:lineRule="auto"/>
              <w:contextualSpacing/>
              <w:jc w:val="center"/>
              <w:rPr>
                <w:rFonts w:eastAsia="Times New Roman" w:cstheme="minorHAnsi"/>
                <w:b/>
                <w:bCs/>
                <w:sz w:val="18"/>
                <w:szCs w:val="18"/>
                <w:lang w:eastAsia="hr-HR"/>
              </w:rPr>
            </w:pPr>
            <w:r w:rsidRPr="00CE6DC0">
              <w:rPr>
                <w:rFonts w:eastAsia="Times New Roman" w:cstheme="minorHAnsi"/>
                <w:b/>
                <w:bCs/>
                <w:sz w:val="18"/>
                <w:szCs w:val="18"/>
                <w:lang w:eastAsia="hr-HR"/>
              </w:rPr>
              <w:t>R.br</w:t>
            </w:r>
          </w:p>
        </w:tc>
        <w:tc>
          <w:tcPr>
            <w:tcW w:w="2098" w:type="dxa"/>
            <w:tcBorders>
              <w:top w:val="single" w:sz="4" w:space="0" w:color="auto"/>
              <w:bottom w:val="single" w:sz="4" w:space="0" w:color="auto"/>
            </w:tcBorders>
            <w:shd w:val="clear" w:color="auto" w:fill="auto"/>
            <w:vAlign w:val="bottom"/>
            <w:hideMark/>
          </w:tcPr>
          <w:p w14:paraId="769A1ACE" w14:textId="75479ACC" w:rsidR="00474439" w:rsidRPr="00CE6DC0" w:rsidRDefault="00474439" w:rsidP="00335B99">
            <w:pPr>
              <w:spacing w:before="120" w:after="120" w:line="276" w:lineRule="auto"/>
              <w:contextualSpacing/>
              <w:jc w:val="center"/>
              <w:rPr>
                <w:rFonts w:eastAsia="Times New Roman" w:cstheme="minorHAnsi"/>
                <w:b/>
                <w:bCs/>
                <w:sz w:val="18"/>
                <w:szCs w:val="18"/>
                <w:lang w:eastAsia="hr-HR"/>
              </w:rPr>
            </w:pPr>
            <w:r w:rsidRPr="00CE6DC0">
              <w:rPr>
                <w:rFonts w:eastAsia="Times New Roman" w:cstheme="minorHAnsi"/>
                <w:b/>
                <w:bCs/>
                <w:sz w:val="18"/>
                <w:szCs w:val="18"/>
                <w:lang w:eastAsia="hr-HR"/>
              </w:rPr>
              <w:t>Mjesec</w:t>
            </w:r>
          </w:p>
        </w:tc>
        <w:tc>
          <w:tcPr>
            <w:tcW w:w="2098" w:type="dxa"/>
            <w:tcBorders>
              <w:top w:val="single" w:sz="4" w:space="0" w:color="auto"/>
              <w:bottom w:val="single" w:sz="4" w:space="0" w:color="auto"/>
            </w:tcBorders>
            <w:shd w:val="clear" w:color="auto" w:fill="auto"/>
            <w:vAlign w:val="bottom"/>
            <w:hideMark/>
          </w:tcPr>
          <w:p w14:paraId="1103443B" w14:textId="570A715B" w:rsidR="00474439" w:rsidRPr="00CE6DC0" w:rsidRDefault="00474439" w:rsidP="00335B99">
            <w:pPr>
              <w:spacing w:before="120" w:after="120" w:line="276" w:lineRule="auto"/>
              <w:contextualSpacing/>
              <w:jc w:val="center"/>
              <w:rPr>
                <w:rFonts w:eastAsia="Times New Roman" w:cstheme="minorHAnsi"/>
                <w:b/>
                <w:bCs/>
                <w:sz w:val="18"/>
                <w:szCs w:val="18"/>
                <w:lang w:eastAsia="hr-HR"/>
              </w:rPr>
            </w:pPr>
            <w:r w:rsidRPr="00CE6DC0">
              <w:rPr>
                <w:rFonts w:eastAsia="Times New Roman" w:cstheme="minorHAnsi"/>
                <w:b/>
                <w:bCs/>
                <w:sz w:val="18"/>
                <w:szCs w:val="18"/>
                <w:lang w:eastAsia="hr-HR"/>
              </w:rPr>
              <w:t>Broj zaposlenih</w:t>
            </w:r>
          </w:p>
        </w:tc>
        <w:tc>
          <w:tcPr>
            <w:tcW w:w="2098" w:type="dxa"/>
            <w:tcBorders>
              <w:top w:val="single" w:sz="4" w:space="0" w:color="auto"/>
              <w:bottom w:val="single" w:sz="4" w:space="0" w:color="auto"/>
            </w:tcBorders>
            <w:shd w:val="clear" w:color="auto" w:fill="auto"/>
            <w:vAlign w:val="bottom"/>
            <w:hideMark/>
          </w:tcPr>
          <w:p w14:paraId="455D346B" w14:textId="77777777" w:rsidR="00474439" w:rsidRPr="00CE6DC0" w:rsidRDefault="00474439" w:rsidP="00335B99">
            <w:pPr>
              <w:spacing w:before="120" w:after="120" w:line="276" w:lineRule="auto"/>
              <w:contextualSpacing/>
              <w:jc w:val="center"/>
              <w:rPr>
                <w:rFonts w:eastAsia="Times New Roman" w:cstheme="minorHAnsi"/>
                <w:b/>
                <w:bCs/>
                <w:sz w:val="18"/>
                <w:szCs w:val="18"/>
                <w:lang w:eastAsia="hr-HR"/>
              </w:rPr>
            </w:pPr>
            <w:r w:rsidRPr="00CE6DC0">
              <w:rPr>
                <w:rFonts w:eastAsia="Times New Roman" w:cstheme="minorHAnsi"/>
                <w:b/>
                <w:bCs/>
                <w:sz w:val="18"/>
                <w:szCs w:val="18"/>
                <w:lang w:eastAsia="hr-HR"/>
              </w:rPr>
              <w:t>Žene</w:t>
            </w:r>
          </w:p>
        </w:tc>
        <w:tc>
          <w:tcPr>
            <w:tcW w:w="2098" w:type="dxa"/>
            <w:tcBorders>
              <w:top w:val="single" w:sz="4" w:space="0" w:color="auto"/>
              <w:bottom w:val="single" w:sz="4" w:space="0" w:color="auto"/>
            </w:tcBorders>
            <w:shd w:val="clear" w:color="auto" w:fill="auto"/>
            <w:vAlign w:val="bottom"/>
            <w:hideMark/>
          </w:tcPr>
          <w:p w14:paraId="23B0D46D" w14:textId="77777777" w:rsidR="00474439" w:rsidRPr="00CE6DC0" w:rsidRDefault="00474439" w:rsidP="00335B99">
            <w:pPr>
              <w:spacing w:before="120" w:after="120" w:line="276" w:lineRule="auto"/>
              <w:contextualSpacing/>
              <w:jc w:val="center"/>
              <w:rPr>
                <w:rFonts w:eastAsia="Times New Roman" w:cstheme="minorHAnsi"/>
                <w:b/>
                <w:bCs/>
                <w:sz w:val="18"/>
                <w:szCs w:val="18"/>
                <w:lang w:eastAsia="hr-HR"/>
              </w:rPr>
            </w:pPr>
            <w:r w:rsidRPr="00CE6DC0">
              <w:rPr>
                <w:rFonts w:eastAsia="Times New Roman" w:cstheme="minorHAnsi"/>
                <w:b/>
                <w:bCs/>
                <w:sz w:val="18"/>
                <w:szCs w:val="18"/>
                <w:lang w:eastAsia="hr-HR"/>
              </w:rPr>
              <w:t>Muškarci</w:t>
            </w:r>
          </w:p>
        </w:tc>
      </w:tr>
      <w:tr w:rsidR="00BD25B4" w:rsidRPr="00CE6DC0" w14:paraId="3C683DB3" w14:textId="77777777" w:rsidTr="00BD25B4">
        <w:trPr>
          <w:trHeight w:val="283"/>
        </w:trPr>
        <w:tc>
          <w:tcPr>
            <w:tcW w:w="562" w:type="dxa"/>
            <w:tcBorders>
              <w:top w:val="single" w:sz="4" w:space="0" w:color="auto"/>
            </w:tcBorders>
            <w:shd w:val="clear" w:color="auto" w:fill="auto"/>
            <w:noWrap/>
            <w:vAlign w:val="bottom"/>
            <w:hideMark/>
          </w:tcPr>
          <w:p w14:paraId="0274A1C5"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1</w:t>
            </w:r>
          </w:p>
        </w:tc>
        <w:tc>
          <w:tcPr>
            <w:tcW w:w="2098" w:type="dxa"/>
            <w:tcBorders>
              <w:top w:val="single" w:sz="4" w:space="0" w:color="auto"/>
            </w:tcBorders>
            <w:shd w:val="clear" w:color="auto" w:fill="auto"/>
            <w:noWrap/>
            <w:vAlign w:val="bottom"/>
            <w:hideMark/>
          </w:tcPr>
          <w:p w14:paraId="4F6EA243"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Siječanj</w:t>
            </w:r>
          </w:p>
        </w:tc>
        <w:tc>
          <w:tcPr>
            <w:tcW w:w="2098" w:type="dxa"/>
            <w:tcBorders>
              <w:top w:val="single" w:sz="4" w:space="0" w:color="auto"/>
            </w:tcBorders>
            <w:shd w:val="clear" w:color="auto" w:fill="auto"/>
            <w:noWrap/>
            <w:vAlign w:val="bottom"/>
            <w:hideMark/>
          </w:tcPr>
          <w:p w14:paraId="6253B7CF" w14:textId="7C24A8D1"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70</w:t>
            </w:r>
          </w:p>
        </w:tc>
        <w:tc>
          <w:tcPr>
            <w:tcW w:w="2098" w:type="dxa"/>
            <w:tcBorders>
              <w:top w:val="single" w:sz="4" w:space="0" w:color="auto"/>
            </w:tcBorders>
            <w:shd w:val="clear" w:color="auto" w:fill="auto"/>
            <w:noWrap/>
            <w:vAlign w:val="bottom"/>
            <w:hideMark/>
          </w:tcPr>
          <w:p w14:paraId="40BF7E61" w14:textId="6C1C78B4"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tcBorders>
              <w:top w:val="single" w:sz="4" w:space="0" w:color="auto"/>
            </w:tcBorders>
            <w:shd w:val="clear" w:color="auto" w:fill="auto"/>
            <w:noWrap/>
            <w:vAlign w:val="bottom"/>
            <w:hideMark/>
          </w:tcPr>
          <w:p w14:paraId="0D602496" w14:textId="5723DF72"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61</w:t>
            </w:r>
          </w:p>
        </w:tc>
      </w:tr>
      <w:tr w:rsidR="00BD25B4" w:rsidRPr="00CE6DC0" w14:paraId="45D430A9" w14:textId="77777777" w:rsidTr="00BD25B4">
        <w:trPr>
          <w:trHeight w:val="283"/>
        </w:trPr>
        <w:tc>
          <w:tcPr>
            <w:tcW w:w="562" w:type="dxa"/>
            <w:shd w:val="clear" w:color="auto" w:fill="auto"/>
            <w:noWrap/>
            <w:vAlign w:val="bottom"/>
            <w:hideMark/>
          </w:tcPr>
          <w:p w14:paraId="0613C024"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2</w:t>
            </w:r>
          </w:p>
        </w:tc>
        <w:tc>
          <w:tcPr>
            <w:tcW w:w="2098" w:type="dxa"/>
            <w:shd w:val="clear" w:color="auto" w:fill="auto"/>
            <w:noWrap/>
            <w:vAlign w:val="bottom"/>
            <w:hideMark/>
          </w:tcPr>
          <w:p w14:paraId="3EBEDCD3"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Veljača</w:t>
            </w:r>
          </w:p>
        </w:tc>
        <w:tc>
          <w:tcPr>
            <w:tcW w:w="2098" w:type="dxa"/>
            <w:shd w:val="clear" w:color="auto" w:fill="auto"/>
            <w:noWrap/>
            <w:vAlign w:val="bottom"/>
            <w:hideMark/>
          </w:tcPr>
          <w:p w14:paraId="3B2A69E3" w14:textId="2D82A1B1"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69</w:t>
            </w:r>
          </w:p>
        </w:tc>
        <w:tc>
          <w:tcPr>
            <w:tcW w:w="2098" w:type="dxa"/>
            <w:shd w:val="clear" w:color="auto" w:fill="auto"/>
            <w:noWrap/>
            <w:vAlign w:val="bottom"/>
            <w:hideMark/>
          </w:tcPr>
          <w:p w14:paraId="652CFE22" w14:textId="1BE261B1"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0A1E41EF" w14:textId="33ADFA43"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60</w:t>
            </w:r>
          </w:p>
        </w:tc>
      </w:tr>
      <w:tr w:rsidR="00BD25B4" w:rsidRPr="00CE6DC0" w14:paraId="0616C2BB" w14:textId="77777777" w:rsidTr="00BD25B4">
        <w:trPr>
          <w:trHeight w:val="283"/>
        </w:trPr>
        <w:tc>
          <w:tcPr>
            <w:tcW w:w="562" w:type="dxa"/>
            <w:shd w:val="clear" w:color="auto" w:fill="auto"/>
            <w:noWrap/>
            <w:vAlign w:val="bottom"/>
            <w:hideMark/>
          </w:tcPr>
          <w:p w14:paraId="785B9E21"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3</w:t>
            </w:r>
          </w:p>
        </w:tc>
        <w:tc>
          <w:tcPr>
            <w:tcW w:w="2098" w:type="dxa"/>
            <w:shd w:val="clear" w:color="auto" w:fill="auto"/>
            <w:noWrap/>
            <w:vAlign w:val="bottom"/>
            <w:hideMark/>
          </w:tcPr>
          <w:p w14:paraId="6DCE56EA"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Ožujak</w:t>
            </w:r>
          </w:p>
        </w:tc>
        <w:tc>
          <w:tcPr>
            <w:tcW w:w="2098" w:type="dxa"/>
            <w:shd w:val="clear" w:color="auto" w:fill="auto"/>
            <w:noWrap/>
            <w:vAlign w:val="bottom"/>
            <w:hideMark/>
          </w:tcPr>
          <w:p w14:paraId="1FE943D3" w14:textId="637633BC"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68</w:t>
            </w:r>
          </w:p>
        </w:tc>
        <w:tc>
          <w:tcPr>
            <w:tcW w:w="2098" w:type="dxa"/>
            <w:shd w:val="clear" w:color="auto" w:fill="auto"/>
            <w:noWrap/>
            <w:vAlign w:val="bottom"/>
            <w:hideMark/>
          </w:tcPr>
          <w:p w14:paraId="52DBB005" w14:textId="7AEA4B82"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50FC9CC3" w14:textId="397FB420"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59</w:t>
            </w:r>
          </w:p>
        </w:tc>
      </w:tr>
      <w:tr w:rsidR="00BD25B4" w:rsidRPr="00CE6DC0" w14:paraId="6DBF8F93" w14:textId="77777777" w:rsidTr="00BD25B4">
        <w:trPr>
          <w:trHeight w:val="283"/>
        </w:trPr>
        <w:tc>
          <w:tcPr>
            <w:tcW w:w="562" w:type="dxa"/>
            <w:shd w:val="clear" w:color="auto" w:fill="auto"/>
            <w:noWrap/>
            <w:vAlign w:val="bottom"/>
            <w:hideMark/>
          </w:tcPr>
          <w:p w14:paraId="323923E6"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4</w:t>
            </w:r>
          </w:p>
        </w:tc>
        <w:tc>
          <w:tcPr>
            <w:tcW w:w="2098" w:type="dxa"/>
            <w:shd w:val="clear" w:color="auto" w:fill="auto"/>
            <w:noWrap/>
            <w:vAlign w:val="bottom"/>
            <w:hideMark/>
          </w:tcPr>
          <w:p w14:paraId="55230F96"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Travanj</w:t>
            </w:r>
          </w:p>
        </w:tc>
        <w:tc>
          <w:tcPr>
            <w:tcW w:w="2098" w:type="dxa"/>
            <w:shd w:val="clear" w:color="auto" w:fill="auto"/>
            <w:noWrap/>
            <w:vAlign w:val="bottom"/>
            <w:hideMark/>
          </w:tcPr>
          <w:p w14:paraId="3D19CFF3" w14:textId="44E3B1CB"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68</w:t>
            </w:r>
          </w:p>
        </w:tc>
        <w:tc>
          <w:tcPr>
            <w:tcW w:w="2098" w:type="dxa"/>
            <w:shd w:val="clear" w:color="auto" w:fill="auto"/>
            <w:noWrap/>
            <w:vAlign w:val="bottom"/>
            <w:hideMark/>
          </w:tcPr>
          <w:p w14:paraId="224B6AAE" w14:textId="28387763"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4248610A" w14:textId="1A11D8CA"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59</w:t>
            </w:r>
          </w:p>
        </w:tc>
      </w:tr>
      <w:tr w:rsidR="00BD25B4" w:rsidRPr="00CE6DC0" w14:paraId="55017E5F" w14:textId="77777777" w:rsidTr="00BD25B4">
        <w:trPr>
          <w:trHeight w:val="283"/>
        </w:trPr>
        <w:tc>
          <w:tcPr>
            <w:tcW w:w="562" w:type="dxa"/>
            <w:shd w:val="clear" w:color="auto" w:fill="auto"/>
            <w:noWrap/>
            <w:vAlign w:val="bottom"/>
            <w:hideMark/>
          </w:tcPr>
          <w:p w14:paraId="68F3FD86"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5</w:t>
            </w:r>
          </w:p>
        </w:tc>
        <w:tc>
          <w:tcPr>
            <w:tcW w:w="2098" w:type="dxa"/>
            <w:shd w:val="clear" w:color="auto" w:fill="auto"/>
            <w:noWrap/>
            <w:vAlign w:val="bottom"/>
            <w:hideMark/>
          </w:tcPr>
          <w:p w14:paraId="7351F915"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Svibanj</w:t>
            </w:r>
          </w:p>
        </w:tc>
        <w:tc>
          <w:tcPr>
            <w:tcW w:w="2098" w:type="dxa"/>
            <w:shd w:val="clear" w:color="auto" w:fill="auto"/>
            <w:noWrap/>
            <w:vAlign w:val="bottom"/>
            <w:hideMark/>
          </w:tcPr>
          <w:p w14:paraId="2ACDA10D" w14:textId="2B98059B"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68</w:t>
            </w:r>
          </w:p>
        </w:tc>
        <w:tc>
          <w:tcPr>
            <w:tcW w:w="2098" w:type="dxa"/>
            <w:shd w:val="clear" w:color="auto" w:fill="auto"/>
            <w:noWrap/>
            <w:vAlign w:val="bottom"/>
            <w:hideMark/>
          </w:tcPr>
          <w:p w14:paraId="2DA84478" w14:textId="0213416A"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2B5773C8" w14:textId="08412811"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59</w:t>
            </w:r>
          </w:p>
        </w:tc>
      </w:tr>
      <w:tr w:rsidR="00BD25B4" w:rsidRPr="00CE6DC0" w14:paraId="2D557DBC" w14:textId="77777777" w:rsidTr="00BD25B4">
        <w:trPr>
          <w:trHeight w:val="283"/>
        </w:trPr>
        <w:tc>
          <w:tcPr>
            <w:tcW w:w="562" w:type="dxa"/>
            <w:shd w:val="clear" w:color="auto" w:fill="auto"/>
            <w:noWrap/>
            <w:vAlign w:val="bottom"/>
            <w:hideMark/>
          </w:tcPr>
          <w:p w14:paraId="3559DDA0"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6</w:t>
            </w:r>
          </w:p>
        </w:tc>
        <w:tc>
          <w:tcPr>
            <w:tcW w:w="2098" w:type="dxa"/>
            <w:shd w:val="clear" w:color="auto" w:fill="auto"/>
            <w:noWrap/>
            <w:vAlign w:val="bottom"/>
            <w:hideMark/>
          </w:tcPr>
          <w:p w14:paraId="5398182B"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Lipanj</w:t>
            </w:r>
          </w:p>
        </w:tc>
        <w:tc>
          <w:tcPr>
            <w:tcW w:w="2098" w:type="dxa"/>
            <w:shd w:val="clear" w:color="auto" w:fill="auto"/>
            <w:noWrap/>
            <w:vAlign w:val="bottom"/>
            <w:hideMark/>
          </w:tcPr>
          <w:p w14:paraId="0CE409AF" w14:textId="22E4EA62"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69</w:t>
            </w:r>
          </w:p>
        </w:tc>
        <w:tc>
          <w:tcPr>
            <w:tcW w:w="2098" w:type="dxa"/>
            <w:shd w:val="clear" w:color="auto" w:fill="auto"/>
            <w:noWrap/>
            <w:vAlign w:val="bottom"/>
            <w:hideMark/>
          </w:tcPr>
          <w:p w14:paraId="23542CCF" w14:textId="02AB1100"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10</w:t>
            </w:r>
          </w:p>
        </w:tc>
        <w:tc>
          <w:tcPr>
            <w:tcW w:w="2098" w:type="dxa"/>
            <w:shd w:val="clear" w:color="auto" w:fill="auto"/>
            <w:noWrap/>
            <w:vAlign w:val="bottom"/>
            <w:hideMark/>
          </w:tcPr>
          <w:p w14:paraId="6F47B772" w14:textId="63AFDF8E"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59</w:t>
            </w:r>
          </w:p>
        </w:tc>
      </w:tr>
      <w:tr w:rsidR="00BD25B4" w:rsidRPr="00CE6DC0" w14:paraId="48BDA3A9" w14:textId="77777777" w:rsidTr="00BD25B4">
        <w:trPr>
          <w:trHeight w:val="283"/>
        </w:trPr>
        <w:tc>
          <w:tcPr>
            <w:tcW w:w="562" w:type="dxa"/>
            <w:shd w:val="clear" w:color="auto" w:fill="auto"/>
            <w:noWrap/>
            <w:vAlign w:val="bottom"/>
            <w:hideMark/>
          </w:tcPr>
          <w:p w14:paraId="43C56FBC"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7</w:t>
            </w:r>
          </w:p>
        </w:tc>
        <w:tc>
          <w:tcPr>
            <w:tcW w:w="2098" w:type="dxa"/>
            <w:shd w:val="clear" w:color="auto" w:fill="auto"/>
            <w:noWrap/>
            <w:vAlign w:val="bottom"/>
            <w:hideMark/>
          </w:tcPr>
          <w:p w14:paraId="085C625B"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Srpanj</w:t>
            </w:r>
          </w:p>
        </w:tc>
        <w:tc>
          <w:tcPr>
            <w:tcW w:w="2098" w:type="dxa"/>
            <w:shd w:val="clear" w:color="auto" w:fill="auto"/>
            <w:noWrap/>
            <w:vAlign w:val="bottom"/>
            <w:hideMark/>
          </w:tcPr>
          <w:p w14:paraId="5B35F57A" w14:textId="0652ED91"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70</w:t>
            </w:r>
          </w:p>
        </w:tc>
        <w:tc>
          <w:tcPr>
            <w:tcW w:w="2098" w:type="dxa"/>
            <w:shd w:val="clear" w:color="auto" w:fill="auto"/>
            <w:noWrap/>
            <w:vAlign w:val="bottom"/>
            <w:hideMark/>
          </w:tcPr>
          <w:p w14:paraId="401740E8" w14:textId="13B34F3A"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10</w:t>
            </w:r>
          </w:p>
        </w:tc>
        <w:tc>
          <w:tcPr>
            <w:tcW w:w="2098" w:type="dxa"/>
            <w:shd w:val="clear" w:color="auto" w:fill="auto"/>
            <w:noWrap/>
            <w:vAlign w:val="bottom"/>
            <w:hideMark/>
          </w:tcPr>
          <w:p w14:paraId="5721DA39" w14:textId="684B6DFF"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60</w:t>
            </w:r>
          </w:p>
        </w:tc>
      </w:tr>
      <w:tr w:rsidR="00BD25B4" w:rsidRPr="00CE6DC0" w14:paraId="3A93D6F3" w14:textId="77777777" w:rsidTr="00BD25B4">
        <w:trPr>
          <w:trHeight w:val="283"/>
        </w:trPr>
        <w:tc>
          <w:tcPr>
            <w:tcW w:w="562" w:type="dxa"/>
            <w:shd w:val="clear" w:color="auto" w:fill="auto"/>
            <w:noWrap/>
            <w:vAlign w:val="bottom"/>
            <w:hideMark/>
          </w:tcPr>
          <w:p w14:paraId="2E3C53E7"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8</w:t>
            </w:r>
          </w:p>
        </w:tc>
        <w:tc>
          <w:tcPr>
            <w:tcW w:w="2098" w:type="dxa"/>
            <w:shd w:val="clear" w:color="auto" w:fill="auto"/>
            <w:noWrap/>
            <w:vAlign w:val="bottom"/>
            <w:hideMark/>
          </w:tcPr>
          <w:p w14:paraId="5B6B7FA9"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Kolovoz</w:t>
            </w:r>
          </w:p>
        </w:tc>
        <w:tc>
          <w:tcPr>
            <w:tcW w:w="2098" w:type="dxa"/>
            <w:shd w:val="clear" w:color="auto" w:fill="auto"/>
            <w:noWrap/>
            <w:vAlign w:val="bottom"/>
            <w:hideMark/>
          </w:tcPr>
          <w:p w14:paraId="460D5FD2" w14:textId="78CE6731"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66</w:t>
            </w:r>
          </w:p>
        </w:tc>
        <w:tc>
          <w:tcPr>
            <w:tcW w:w="2098" w:type="dxa"/>
            <w:shd w:val="clear" w:color="auto" w:fill="auto"/>
            <w:noWrap/>
            <w:vAlign w:val="bottom"/>
            <w:hideMark/>
          </w:tcPr>
          <w:p w14:paraId="0A21C493" w14:textId="0CE2805F"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4C7EE13E" w14:textId="495BF3A0"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57</w:t>
            </w:r>
          </w:p>
        </w:tc>
      </w:tr>
      <w:tr w:rsidR="00BD25B4" w:rsidRPr="00CE6DC0" w14:paraId="686C44EE" w14:textId="77777777" w:rsidTr="00BD25B4">
        <w:trPr>
          <w:trHeight w:val="283"/>
        </w:trPr>
        <w:tc>
          <w:tcPr>
            <w:tcW w:w="562" w:type="dxa"/>
            <w:shd w:val="clear" w:color="auto" w:fill="auto"/>
            <w:noWrap/>
            <w:vAlign w:val="bottom"/>
            <w:hideMark/>
          </w:tcPr>
          <w:p w14:paraId="54A9F06F"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9</w:t>
            </w:r>
          </w:p>
        </w:tc>
        <w:tc>
          <w:tcPr>
            <w:tcW w:w="2098" w:type="dxa"/>
            <w:shd w:val="clear" w:color="auto" w:fill="auto"/>
            <w:noWrap/>
            <w:vAlign w:val="bottom"/>
            <w:hideMark/>
          </w:tcPr>
          <w:p w14:paraId="1679A918"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Rujan</w:t>
            </w:r>
          </w:p>
        </w:tc>
        <w:tc>
          <w:tcPr>
            <w:tcW w:w="2098" w:type="dxa"/>
            <w:shd w:val="clear" w:color="auto" w:fill="auto"/>
            <w:noWrap/>
            <w:vAlign w:val="bottom"/>
            <w:hideMark/>
          </w:tcPr>
          <w:p w14:paraId="5458BE3B" w14:textId="3882DBA2"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66</w:t>
            </w:r>
          </w:p>
        </w:tc>
        <w:tc>
          <w:tcPr>
            <w:tcW w:w="2098" w:type="dxa"/>
            <w:shd w:val="clear" w:color="auto" w:fill="auto"/>
            <w:noWrap/>
            <w:vAlign w:val="bottom"/>
            <w:hideMark/>
          </w:tcPr>
          <w:p w14:paraId="6B86C655" w14:textId="5B0A3CE0"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2C73901C" w14:textId="2DC41829"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57</w:t>
            </w:r>
          </w:p>
        </w:tc>
      </w:tr>
      <w:tr w:rsidR="00BD25B4" w:rsidRPr="00CE6DC0" w14:paraId="05C244F8" w14:textId="77777777" w:rsidTr="00BD25B4">
        <w:trPr>
          <w:trHeight w:val="283"/>
        </w:trPr>
        <w:tc>
          <w:tcPr>
            <w:tcW w:w="562" w:type="dxa"/>
            <w:shd w:val="clear" w:color="auto" w:fill="auto"/>
            <w:noWrap/>
            <w:vAlign w:val="bottom"/>
            <w:hideMark/>
          </w:tcPr>
          <w:p w14:paraId="1C9D5899"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10</w:t>
            </w:r>
          </w:p>
        </w:tc>
        <w:tc>
          <w:tcPr>
            <w:tcW w:w="2098" w:type="dxa"/>
            <w:shd w:val="clear" w:color="auto" w:fill="auto"/>
            <w:noWrap/>
            <w:vAlign w:val="bottom"/>
            <w:hideMark/>
          </w:tcPr>
          <w:p w14:paraId="5B5C9BE7"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Listopad</w:t>
            </w:r>
          </w:p>
        </w:tc>
        <w:tc>
          <w:tcPr>
            <w:tcW w:w="2098" w:type="dxa"/>
            <w:shd w:val="clear" w:color="auto" w:fill="auto"/>
            <w:noWrap/>
            <w:vAlign w:val="bottom"/>
            <w:hideMark/>
          </w:tcPr>
          <w:p w14:paraId="0AD5E136" w14:textId="5D4D14AB"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66</w:t>
            </w:r>
          </w:p>
        </w:tc>
        <w:tc>
          <w:tcPr>
            <w:tcW w:w="2098" w:type="dxa"/>
            <w:shd w:val="clear" w:color="auto" w:fill="auto"/>
            <w:noWrap/>
            <w:vAlign w:val="bottom"/>
            <w:hideMark/>
          </w:tcPr>
          <w:p w14:paraId="4A2D847F" w14:textId="4652D68B"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4F40D899" w14:textId="002925CC"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57</w:t>
            </w:r>
          </w:p>
        </w:tc>
      </w:tr>
      <w:tr w:rsidR="00BD25B4" w:rsidRPr="00CE6DC0" w14:paraId="26716518" w14:textId="77777777" w:rsidTr="00BD25B4">
        <w:trPr>
          <w:trHeight w:val="283"/>
        </w:trPr>
        <w:tc>
          <w:tcPr>
            <w:tcW w:w="562" w:type="dxa"/>
            <w:shd w:val="clear" w:color="auto" w:fill="auto"/>
            <w:noWrap/>
            <w:vAlign w:val="bottom"/>
            <w:hideMark/>
          </w:tcPr>
          <w:p w14:paraId="08DC9A57"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11</w:t>
            </w:r>
          </w:p>
        </w:tc>
        <w:tc>
          <w:tcPr>
            <w:tcW w:w="2098" w:type="dxa"/>
            <w:shd w:val="clear" w:color="auto" w:fill="auto"/>
            <w:noWrap/>
            <w:vAlign w:val="bottom"/>
            <w:hideMark/>
          </w:tcPr>
          <w:p w14:paraId="1219B095"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Studeni</w:t>
            </w:r>
          </w:p>
        </w:tc>
        <w:tc>
          <w:tcPr>
            <w:tcW w:w="2098" w:type="dxa"/>
            <w:shd w:val="clear" w:color="auto" w:fill="auto"/>
            <w:noWrap/>
            <w:vAlign w:val="bottom"/>
            <w:hideMark/>
          </w:tcPr>
          <w:p w14:paraId="7E9807B6" w14:textId="00487AB9"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68</w:t>
            </w:r>
          </w:p>
        </w:tc>
        <w:tc>
          <w:tcPr>
            <w:tcW w:w="2098" w:type="dxa"/>
            <w:shd w:val="clear" w:color="auto" w:fill="auto"/>
            <w:noWrap/>
            <w:vAlign w:val="bottom"/>
            <w:hideMark/>
          </w:tcPr>
          <w:p w14:paraId="296CCB2D" w14:textId="3A7EC9BF"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4DBB5324" w14:textId="20D0BFF3"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59</w:t>
            </w:r>
          </w:p>
        </w:tc>
      </w:tr>
      <w:tr w:rsidR="00BD25B4" w:rsidRPr="00CE6DC0" w14:paraId="7CE7AA7E" w14:textId="77777777" w:rsidTr="00BD25B4">
        <w:trPr>
          <w:trHeight w:val="283"/>
        </w:trPr>
        <w:tc>
          <w:tcPr>
            <w:tcW w:w="562" w:type="dxa"/>
            <w:shd w:val="clear" w:color="auto" w:fill="auto"/>
            <w:noWrap/>
            <w:vAlign w:val="bottom"/>
            <w:hideMark/>
          </w:tcPr>
          <w:p w14:paraId="67401B77"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12</w:t>
            </w:r>
          </w:p>
        </w:tc>
        <w:tc>
          <w:tcPr>
            <w:tcW w:w="2098" w:type="dxa"/>
            <w:shd w:val="clear" w:color="auto" w:fill="auto"/>
            <w:noWrap/>
            <w:vAlign w:val="bottom"/>
            <w:hideMark/>
          </w:tcPr>
          <w:p w14:paraId="216A8497" w14:textId="77777777" w:rsidR="00BD25B4" w:rsidRPr="00CE6DC0" w:rsidRDefault="00BD25B4" w:rsidP="00BD25B4">
            <w:pPr>
              <w:spacing w:before="120" w:after="120" w:line="276" w:lineRule="auto"/>
              <w:contextualSpacing/>
              <w:jc w:val="center"/>
              <w:rPr>
                <w:rFonts w:eastAsia="Times New Roman" w:cstheme="minorHAnsi"/>
                <w:sz w:val="18"/>
                <w:szCs w:val="18"/>
                <w:lang w:eastAsia="hr-HR"/>
              </w:rPr>
            </w:pPr>
            <w:r w:rsidRPr="00CE6DC0">
              <w:rPr>
                <w:rFonts w:eastAsia="Times New Roman" w:cstheme="minorHAnsi"/>
                <w:sz w:val="18"/>
                <w:szCs w:val="18"/>
                <w:lang w:eastAsia="hr-HR"/>
              </w:rPr>
              <w:t>Prosinac</w:t>
            </w:r>
          </w:p>
        </w:tc>
        <w:tc>
          <w:tcPr>
            <w:tcW w:w="2098" w:type="dxa"/>
            <w:shd w:val="clear" w:color="auto" w:fill="auto"/>
            <w:noWrap/>
            <w:vAlign w:val="bottom"/>
            <w:hideMark/>
          </w:tcPr>
          <w:p w14:paraId="0E6D5EF7" w14:textId="2C265086"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69</w:t>
            </w:r>
          </w:p>
        </w:tc>
        <w:tc>
          <w:tcPr>
            <w:tcW w:w="2098" w:type="dxa"/>
            <w:shd w:val="clear" w:color="auto" w:fill="auto"/>
            <w:noWrap/>
            <w:vAlign w:val="bottom"/>
            <w:hideMark/>
          </w:tcPr>
          <w:p w14:paraId="14E0CF7F" w14:textId="790F2E56"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9</w:t>
            </w:r>
          </w:p>
        </w:tc>
        <w:tc>
          <w:tcPr>
            <w:tcW w:w="2098" w:type="dxa"/>
            <w:shd w:val="clear" w:color="auto" w:fill="auto"/>
            <w:noWrap/>
            <w:vAlign w:val="bottom"/>
            <w:hideMark/>
          </w:tcPr>
          <w:p w14:paraId="0F850398" w14:textId="5C3E5D02" w:rsidR="00BD25B4" w:rsidRPr="00BD25B4" w:rsidRDefault="00BD25B4" w:rsidP="00BD25B4">
            <w:pPr>
              <w:spacing w:before="120" w:after="120" w:line="276" w:lineRule="auto"/>
              <w:contextualSpacing/>
              <w:jc w:val="center"/>
              <w:rPr>
                <w:rFonts w:eastAsia="Times New Roman" w:cstheme="minorHAnsi"/>
                <w:sz w:val="18"/>
                <w:szCs w:val="18"/>
                <w:lang w:eastAsia="hr-HR"/>
              </w:rPr>
            </w:pPr>
            <w:r w:rsidRPr="00BD25B4">
              <w:rPr>
                <w:sz w:val="18"/>
                <w:szCs w:val="18"/>
              </w:rPr>
              <w:t>60</w:t>
            </w:r>
          </w:p>
        </w:tc>
      </w:tr>
    </w:tbl>
    <w:p w14:paraId="5F6D7273" w14:textId="77777777" w:rsidR="00474439" w:rsidRPr="00C02254" w:rsidRDefault="00474439" w:rsidP="00840E6B"/>
    <w:p w14:paraId="12C41102" w14:textId="11A88776" w:rsidR="00555D45" w:rsidRDefault="00ED4AC8" w:rsidP="00840E6B">
      <w:pPr>
        <w:pStyle w:val="Caption"/>
        <w:keepNext/>
        <w:spacing w:after="240" w:line="276" w:lineRule="auto"/>
        <w:jc w:val="both"/>
        <w:rPr>
          <w:rFonts w:asciiTheme="minorHAnsi" w:hAnsiTheme="minorHAnsi" w:cstheme="minorHAnsi"/>
          <w:b w:val="0"/>
          <w:bCs w:val="0"/>
          <w:sz w:val="22"/>
          <w:szCs w:val="22"/>
        </w:rPr>
      </w:pPr>
      <w:bookmarkStart w:id="44" w:name="_Toc200366450"/>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12</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004C42E7" w:rsidRPr="00C82290">
        <w:rPr>
          <w:rFonts w:asciiTheme="minorHAnsi" w:hAnsiTheme="minorHAnsi" w:cstheme="minorHAnsi"/>
          <w:b w:val="0"/>
          <w:bCs w:val="0"/>
          <w:sz w:val="22"/>
          <w:szCs w:val="22"/>
        </w:rPr>
        <w:t>Ukupan broj zaposlenih prema stručnoj spremi</w:t>
      </w:r>
      <w:bookmarkEnd w:id="44"/>
    </w:p>
    <w:tbl>
      <w:tblPr>
        <w:tblW w:w="894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9"/>
        <w:gridCol w:w="1681"/>
        <w:gridCol w:w="1302"/>
        <w:gridCol w:w="1113"/>
        <w:gridCol w:w="1239"/>
        <w:gridCol w:w="1008"/>
        <w:gridCol w:w="1008"/>
        <w:gridCol w:w="1008"/>
      </w:tblGrid>
      <w:tr w:rsidR="00CB36E4" w:rsidRPr="00CB36E4" w14:paraId="05648A53" w14:textId="77777777" w:rsidTr="00335B99">
        <w:trPr>
          <w:trHeight w:val="283"/>
        </w:trPr>
        <w:tc>
          <w:tcPr>
            <w:tcW w:w="589" w:type="dxa"/>
            <w:tcBorders>
              <w:top w:val="single" w:sz="4" w:space="0" w:color="auto"/>
              <w:bottom w:val="single" w:sz="4" w:space="0" w:color="auto"/>
            </w:tcBorders>
            <w:shd w:val="clear" w:color="auto" w:fill="auto"/>
            <w:noWrap/>
            <w:vAlign w:val="bottom"/>
            <w:hideMark/>
          </w:tcPr>
          <w:p w14:paraId="00085A7B" w14:textId="77777777"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R.br</w:t>
            </w:r>
          </w:p>
        </w:tc>
        <w:tc>
          <w:tcPr>
            <w:tcW w:w="1681" w:type="dxa"/>
            <w:tcBorders>
              <w:top w:val="single" w:sz="4" w:space="0" w:color="auto"/>
              <w:bottom w:val="single" w:sz="4" w:space="0" w:color="auto"/>
            </w:tcBorders>
            <w:shd w:val="clear" w:color="auto" w:fill="auto"/>
            <w:vAlign w:val="bottom"/>
            <w:hideMark/>
          </w:tcPr>
          <w:p w14:paraId="5B83C8C5" w14:textId="6FDAFB3E"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Mjesec</w:t>
            </w:r>
          </w:p>
        </w:tc>
        <w:tc>
          <w:tcPr>
            <w:tcW w:w="1302" w:type="dxa"/>
            <w:tcBorders>
              <w:top w:val="single" w:sz="4" w:space="0" w:color="auto"/>
              <w:bottom w:val="single" w:sz="4" w:space="0" w:color="auto"/>
            </w:tcBorders>
            <w:shd w:val="clear" w:color="auto" w:fill="auto"/>
            <w:vAlign w:val="bottom"/>
            <w:hideMark/>
          </w:tcPr>
          <w:p w14:paraId="69BA0E39" w14:textId="3EE56CFD"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Broj zaposlenih</w:t>
            </w:r>
          </w:p>
        </w:tc>
        <w:tc>
          <w:tcPr>
            <w:tcW w:w="1113" w:type="dxa"/>
            <w:tcBorders>
              <w:top w:val="single" w:sz="4" w:space="0" w:color="auto"/>
              <w:bottom w:val="single" w:sz="4" w:space="0" w:color="auto"/>
            </w:tcBorders>
            <w:shd w:val="clear" w:color="auto" w:fill="auto"/>
            <w:vAlign w:val="bottom"/>
            <w:hideMark/>
          </w:tcPr>
          <w:p w14:paraId="21C09453" w14:textId="77777777"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VSS</w:t>
            </w:r>
          </w:p>
        </w:tc>
        <w:tc>
          <w:tcPr>
            <w:tcW w:w="1239" w:type="dxa"/>
            <w:tcBorders>
              <w:top w:val="single" w:sz="4" w:space="0" w:color="auto"/>
              <w:bottom w:val="single" w:sz="4" w:space="0" w:color="auto"/>
            </w:tcBorders>
            <w:shd w:val="clear" w:color="auto" w:fill="auto"/>
            <w:vAlign w:val="bottom"/>
            <w:hideMark/>
          </w:tcPr>
          <w:p w14:paraId="7406F20A" w14:textId="77777777"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VŠS</w:t>
            </w:r>
          </w:p>
        </w:tc>
        <w:tc>
          <w:tcPr>
            <w:tcW w:w="1008" w:type="dxa"/>
            <w:tcBorders>
              <w:top w:val="single" w:sz="4" w:space="0" w:color="auto"/>
              <w:bottom w:val="single" w:sz="4" w:space="0" w:color="auto"/>
            </w:tcBorders>
            <w:shd w:val="clear" w:color="auto" w:fill="auto"/>
            <w:noWrap/>
            <w:vAlign w:val="bottom"/>
            <w:hideMark/>
          </w:tcPr>
          <w:p w14:paraId="49806B2F" w14:textId="77777777"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SSS</w:t>
            </w:r>
          </w:p>
        </w:tc>
        <w:tc>
          <w:tcPr>
            <w:tcW w:w="1008" w:type="dxa"/>
            <w:tcBorders>
              <w:top w:val="single" w:sz="4" w:space="0" w:color="auto"/>
              <w:bottom w:val="single" w:sz="4" w:space="0" w:color="auto"/>
            </w:tcBorders>
            <w:shd w:val="clear" w:color="auto" w:fill="auto"/>
            <w:noWrap/>
            <w:vAlign w:val="bottom"/>
            <w:hideMark/>
          </w:tcPr>
          <w:p w14:paraId="5E9CC629" w14:textId="77777777"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NSS</w:t>
            </w:r>
          </w:p>
        </w:tc>
        <w:tc>
          <w:tcPr>
            <w:tcW w:w="1008" w:type="dxa"/>
            <w:tcBorders>
              <w:top w:val="single" w:sz="4" w:space="0" w:color="auto"/>
              <w:bottom w:val="single" w:sz="4" w:space="0" w:color="auto"/>
            </w:tcBorders>
            <w:shd w:val="clear" w:color="auto" w:fill="auto"/>
            <w:noWrap/>
            <w:vAlign w:val="bottom"/>
            <w:hideMark/>
          </w:tcPr>
          <w:p w14:paraId="3F6AF5CD" w14:textId="77777777" w:rsidR="00474439" w:rsidRPr="00772F10" w:rsidRDefault="00474439" w:rsidP="00335B99">
            <w:pPr>
              <w:spacing w:after="0" w:line="240" w:lineRule="auto"/>
              <w:jc w:val="center"/>
              <w:rPr>
                <w:rFonts w:eastAsia="Times New Roman" w:cstheme="minorHAnsi"/>
                <w:b/>
                <w:bCs/>
                <w:sz w:val="18"/>
                <w:szCs w:val="18"/>
                <w:lang w:eastAsia="hr-HR"/>
              </w:rPr>
            </w:pPr>
            <w:r w:rsidRPr="00772F10">
              <w:rPr>
                <w:rFonts w:eastAsia="Times New Roman" w:cstheme="minorHAnsi"/>
                <w:b/>
                <w:bCs/>
                <w:sz w:val="18"/>
                <w:szCs w:val="18"/>
                <w:lang w:eastAsia="hr-HR"/>
              </w:rPr>
              <w:t>NKV</w:t>
            </w:r>
          </w:p>
        </w:tc>
      </w:tr>
      <w:tr w:rsidR="00BD25B4" w:rsidRPr="00CB36E4" w14:paraId="577AFA0C" w14:textId="77777777" w:rsidTr="00BD25B4">
        <w:trPr>
          <w:trHeight w:val="283"/>
        </w:trPr>
        <w:tc>
          <w:tcPr>
            <w:tcW w:w="589" w:type="dxa"/>
            <w:tcBorders>
              <w:top w:val="single" w:sz="4" w:space="0" w:color="auto"/>
            </w:tcBorders>
            <w:shd w:val="clear" w:color="auto" w:fill="auto"/>
            <w:noWrap/>
            <w:vAlign w:val="bottom"/>
            <w:hideMark/>
          </w:tcPr>
          <w:p w14:paraId="7D1B4540"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1</w:t>
            </w:r>
          </w:p>
        </w:tc>
        <w:tc>
          <w:tcPr>
            <w:tcW w:w="1681" w:type="dxa"/>
            <w:tcBorders>
              <w:top w:val="single" w:sz="4" w:space="0" w:color="auto"/>
            </w:tcBorders>
            <w:shd w:val="clear" w:color="auto" w:fill="auto"/>
            <w:noWrap/>
            <w:vAlign w:val="bottom"/>
            <w:hideMark/>
          </w:tcPr>
          <w:p w14:paraId="1A3CA3CF"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Siječanj</w:t>
            </w:r>
          </w:p>
        </w:tc>
        <w:tc>
          <w:tcPr>
            <w:tcW w:w="1302" w:type="dxa"/>
            <w:tcBorders>
              <w:top w:val="single" w:sz="4" w:space="0" w:color="auto"/>
            </w:tcBorders>
            <w:shd w:val="clear" w:color="auto" w:fill="auto"/>
            <w:noWrap/>
            <w:vAlign w:val="bottom"/>
            <w:hideMark/>
          </w:tcPr>
          <w:p w14:paraId="236503E8" w14:textId="14780FDB"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70</w:t>
            </w:r>
          </w:p>
        </w:tc>
        <w:tc>
          <w:tcPr>
            <w:tcW w:w="1113" w:type="dxa"/>
            <w:tcBorders>
              <w:top w:val="single" w:sz="4" w:space="0" w:color="auto"/>
            </w:tcBorders>
            <w:shd w:val="clear" w:color="auto" w:fill="auto"/>
            <w:noWrap/>
            <w:vAlign w:val="bottom"/>
            <w:hideMark/>
          </w:tcPr>
          <w:p w14:paraId="7553AE99" w14:textId="248F2D37"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9</w:t>
            </w:r>
          </w:p>
        </w:tc>
        <w:tc>
          <w:tcPr>
            <w:tcW w:w="1239" w:type="dxa"/>
            <w:tcBorders>
              <w:top w:val="single" w:sz="4" w:space="0" w:color="auto"/>
            </w:tcBorders>
            <w:shd w:val="clear" w:color="auto" w:fill="auto"/>
            <w:noWrap/>
            <w:vAlign w:val="bottom"/>
            <w:hideMark/>
          </w:tcPr>
          <w:p w14:paraId="265E2330" w14:textId="0E8CBDD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5</w:t>
            </w:r>
          </w:p>
        </w:tc>
        <w:tc>
          <w:tcPr>
            <w:tcW w:w="1008" w:type="dxa"/>
            <w:tcBorders>
              <w:top w:val="single" w:sz="4" w:space="0" w:color="auto"/>
            </w:tcBorders>
            <w:shd w:val="clear" w:color="auto" w:fill="auto"/>
            <w:noWrap/>
            <w:vAlign w:val="bottom"/>
            <w:hideMark/>
          </w:tcPr>
          <w:p w14:paraId="0478A8CE" w14:textId="0356199F"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42</w:t>
            </w:r>
          </w:p>
        </w:tc>
        <w:tc>
          <w:tcPr>
            <w:tcW w:w="1008" w:type="dxa"/>
            <w:tcBorders>
              <w:top w:val="single" w:sz="4" w:space="0" w:color="auto"/>
            </w:tcBorders>
            <w:shd w:val="clear" w:color="auto" w:fill="auto"/>
            <w:noWrap/>
            <w:vAlign w:val="bottom"/>
            <w:hideMark/>
          </w:tcPr>
          <w:p w14:paraId="23F09B70" w14:textId="3BACC83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tcBorders>
              <w:top w:val="single" w:sz="4" w:space="0" w:color="auto"/>
            </w:tcBorders>
            <w:shd w:val="clear" w:color="auto" w:fill="auto"/>
            <w:noWrap/>
            <w:vAlign w:val="bottom"/>
            <w:hideMark/>
          </w:tcPr>
          <w:p w14:paraId="6087DECB" w14:textId="4531F8F0"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1FAB94AD" w14:textId="77777777" w:rsidTr="00BD25B4">
        <w:trPr>
          <w:trHeight w:val="283"/>
        </w:trPr>
        <w:tc>
          <w:tcPr>
            <w:tcW w:w="589" w:type="dxa"/>
            <w:shd w:val="clear" w:color="auto" w:fill="auto"/>
            <w:noWrap/>
            <w:vAlign w:val="bottom"/>
            <w:hideMark/>
          </w:tcPr>
          <w:p w14:paraId="23D77235"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2</w:t>
            </w:r>
          </w:p>
        </w:tc>
        <w:tc>
          <w:tcPr>
            <w:tcW w:w="1681" w:type="dxa"/>
            <w:shd w:val="clear" w:color="auto" w:fill="auto"/>
            <w:noWrap/>
            <w:vAlign w:val="bottom"/>
            <w:hideMark/>
          </w:tcPr>
          <w:p w14:paraId="1B45188C"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Veljača</w:t>
            </w:r>
          </w:p>
        </w:tc>
        <w:tc>
          <w:tcPr>
            <w:tcW w:w="1302" w:type="dxa"/>
            <w:shd w:val="clear" w:color="auto" w:fill="auto"/>
            <w:noWrap/>
            <w:vAlign w:val="bottom"/>
            <w:hideMark/>
          </w:tcPr>
          <w:p w14:paraId="44CB7CAA" w14:textId="7DC9E4B1"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69</w:t>
            </w:r>
          </w:p>
        </w:tc>
        <w:tc>
          <w:tcPr>
            <w:tcW w:w="1113" w:type="dxa"/>
            <w:shd w:val="clear" w:color="auto" w:fill="auto"/>
            <w:noWrap/>
            <w:vAlign w:val="bottom"/>
            <w:hideMark/>
          </w:tcPr>
          <w:p w14:paraId="4D7A5C60" w14:textId="412130A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8</w:t>
            </w:r>
          </w:p>
        </w:tc>
        <w:tc>
          <w:tcPr>
            <w:tcW w:w="1239" w:type="dxa"/>
            <w:shd w:val="clear" w:color="auto" w:fill="auto"/>
            <w:noWrap/>
            <w:vAlign w:val="bottom"/>
            <w:hideMark/>
          </w:tcPr>
          <w:p w14:paraId="6A36A7D0" w14:textId="1CBDEC4C"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5</w:t>
            </w:r>
          </w:p>
        </w:tc>
        <w:tc>
          <w:tcPr>
            <w:tcW w:w="1008" w:type="dxa"/>
            <w:shd w:val="clear" w:color="auto" w:fill="auto"/>
            <w:noWrap/>
            <w:vAlign w:val="bottom"/>
            <w:hideMark/>
          </w:tcPr>
          <w:p w14:paraId="4DD0C7B4" w14:textId="66B3B533"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42</w:t>
            </w:r>
          </w:p>
        </w:tc>
        <w:tc>
          <w:tcPr>
            <w:tcW w:w="1008" w:type="dxa"/>
            <w:shd w:val="clear" w:color="auto" w:fill="auto"/>
            <w:noWrap/>
            <w:vAlign w:val="bottom"/>
            <w:hideMark/>
          </w:tcPr>
          <w:p w14:paraId="5D8A28DE" w14:textId="5A398572"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184EBCBE" w14:textId="6F77730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2CB87DEF" w14:textId="77777777" w:rsidTr="00BD25B4">
        <w:trPr>
          <w:trHeight w:val="283"/>
        </w:trPr>
        <w:tc>
          <w:tcPr>
            <w:tcW w:w="589" w:type="dxa"/>
            <w:shd w:val="clear" w:color="auto" w:fill="auto"/>
            <w:noWrap/>
            <w:vAlign w:val="bottom"/>
            <w:hideMark/>
          </w:tcPr>
          <w:p w14:paraId="1473678C"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3</w:t>
            </w:r>
          </w:p>
        </w:tc>
        <w:tc>
          <w:tcPr>
            <w:tcW w:w="1681" w:type="dxa"/>
            <w:shd w:val="clear" w:color="auto" w:fill="auto"/>
            <w:noWrap/>
            <w:vAlign w:val="bottom"/>
            <w:hideMark/>
          </w:tcPr>
          <w:p w14:paraId="2A583044"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Ožujak</w:t>
            </w:r>
          </w:p>
        </w:tc>
        <w:tc>
          <w:tcPr>
            <w:tcW w:w="1302" w:type="dxa"/>
            <w:shd w:val="clear" w:color="auto" w:fill="auto"/>
            <w:noWrap/>
            <w:vAlign w:val="bottom"/>
            <w:hideMark/>
          </w:tcPr>
          <w:p w14:paraId="14406258" w14:textId="0D170EF0"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68</w:t>
            </w:r>
          </w:p>
        </w:tc>
        <w:tc>
          <w:tcPr>
            <w:tcW w:w="1113" w:type="dxa"/>
            <w:shd w:val="clear" w:color="auto" w:fill="auto"/>
            <w:noWrap/>
            <w:vAlign w:val="bottom"/>
            <w:hideMark/>
          </w:tcPr>
          <w:p w14:paraId="050981F2" w14:textId="759F52FC"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8</w:t>
            </w:r>
          </w:p>
        </w:tc>
        <w:tc>
          <w:tcPr>
            <w:tcW w:w="1239" w:type="dxa"/>
            <w:shd w:val="clear" w:color="auto" w:fill="auto"/>
            <w:noWrap/>
            <w:vAlign w:val="bottom"/>
            <w:hideMark/>
          </w:tcPr>
          <w:p w14:paraId="58CAC853" w14:textId="2B5F0565"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5</w:t>
            </w:r>
          </w:p>
        </w:tc>
        <w:tc>
          <w:tcPr>
            <w:tcW w:w="1008" w:type="dxa"/>
            <w:shd w:val="clear" w:color="auto" w:fill="auto"/>
            <w:noWrap/>
            <w:vAlign w:val="bottom"/>
            <w:hideMark/>
          </w:tcPr>
          <w:p w14:paraId="767406D2" w14:textId="08FA435C"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41</w:t>
            </w:r>
          </w:p>
        </w:tc>
        <w:tc>
          <w:tcPr>
            <w:tcW w:w="1008" w:type="dxa"/>
            <w:shd w:val="clear" w:color="auto" w:fill="auto"/>
            <w:noWrap/>
            <w:vAlign w:val="bottom"/>
            <w:hideMark/>
          </w:tcPr>
          <w:p w14:paraId="5C368AFE" w14:textId="310EDA80"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337F10E9" w14:textId="5831B12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4D4D0A20" w14:textId="77777777" w:rsidTr="00BD25B4">
        <w:trPr>
          <w:trHeight w:val="283"/>
        </w:trPr>
        <w:tc>
          <w:tcPr>
            <w:tcW w:w="589" w:type="dxa"/>
            <w:shd w:val="clear" w:color="auto" w:fill="auto"/>
            <w:noWrap/>
            <w:vAlign w:val="bottom"/>
            <w:hideMark/>
          </w:tcPr>
          <w:p w14:paraId="3CC3F1A5"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4</w:t>
            </w:r>
          </w:p>
        </w:tc>
        <w:tc>
          <w:tcPr>
            <w:tcW w:w="1681" w:type="dxa"/>
            <w:shd w:val="clear" w:color="auto" w:fill="auto"/>
            <w:noWrap/>
            <w:vAlign w:val="bottom"/>
            <w:hideMark/>
          </w:tcPr>
          <w:p w14:paraId="441A2D25"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Travanj</w:t>
            </w:r>
          </w:p>
        </w:tc>
        <w:tc>
          <w:tcPr>
            <w:tcW w:w="1302" w:type="dxa"/>
            <w:shd w:val="clear" w:color="auto" w:fill="auto"/>
            <w:noWrap/>
            <w:vAlign w:val="bottom"/>
            <w:hideMark/>
          </w:tcPr>
          <w:p w14:paraId="3B42B4FD" w14:textId="3BEAF13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68</w:t>
            </w:r>
          </w:p>
        </w:tc>
        <w:tc>
          <w:tcPr>
            <w:tcW w:w="1113" w:type="dxa"/>
            <w:shd w:val="clear" w:color="auto" w:fill="auto"/>
            <w:noWrap/>
            <w:vAlign w:val="bottom"/>
            <w:hideMark/>
          </w:tcPr>
          <w:p w14:paraId="092631DE" w14:textId="63DD045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9</w:t>
            </w:r>
          </w:p>
        </w:tc>
        <w:tc>
          <w:tcPr>
            <w:tcW w:w="1239" w:type="dxa"/>
            <w:shd w:val="clear" w:color="auto" w:fill="auto"/>
            <w:noWrap/>
            <w:vAlign w:val="bottom"/>
            <w:hideMark/>
          </w:tcPr>
          <w:p w14:paraId="1953D0F7" w14:textId="71148BD9"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3F8459DD" w14:textId="61F682F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41</w:t>
            </w:r>
          </w:p>
        </w:tc>
        <w:tc>
          <w:tcPr>
            <w:tcW w:w="1008" w:type="dxa"/>
            <w:shd w:val="clear" w:color="auto" w:fill="auto"/>
            <w:noWrap/>
            <w:vAlign w:val="bottom"/>
            <w:hideMark/>
          </w:tcPr>
          <w:p w14:paraId="53784DB9" w14:textId="4F84A94C"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494A9543" w14:textId="03D67CB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3FF1E384" w14:textId="77777777" w:rsidTr="00BD25B4">
        <w:trPr>
          <w:trHeight w:val="283"/>
        </w:trPr>
        <w:tc>
          <w:tcPr>
            <w:tcW w:w="589" w:type="dxa"/>
            <w:shd w:val="clear" w:color="auto" w:fill="auto"/>
            <w:noWrap/>
            <w:vAlign w:val="bottom"/>
            <w:hideMark/>
          </w:tcPr>
          <w:p w14:paraId="1F8A3ED9"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5</w:t>
            </w:r>
          </w:p>
        </w:tc>
        <w:tc>
          <w:tcPr>
            <w:tcW w:w="1681" w:type="dxa"/>
            <w:shd w:val="clear" w:color="auto" w:fill="auto"/>
            <w:noWrap/>
            <w:vAlign w:val="bottom"/>
            <w:hideMark/>
          </w:tcPr>
          <w:p w14:paraId="1599E0C7"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Svibanj</w:t>
            </w:r>
          </w:p>
        </w:tc>
        <w:tc>
          <w:tcPr>
            <w:tcW w:w="1302" w:type="dxa"/>
            <w:shd w:val="clear" w:color="auto" w:fill="auto"/>
            <w:noWrap/>
            <w:vAlign w:val="bottom"/>
            <w:hideMark/>
          </w:tcPr>
          <w:p w14:paraId="4B50F2E1" w14:textId="547C40AD"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68</w:t>
            </w:r>
          </w:p>
        </w:tc>
        <w:tc>
          <w:tcPr>
            <w:tcW w:w="1113" w:type="dxa"/>
            <w:shd w:val="clear" w:color="auto" w:fill="auto"/>
            <w:noWrap/>
            <w:vAlign w:val="bottom"/>
            <w:hideMark/>
          </w:tcPr>
          <w:p w14:paraId="7B82919A" w14:textId="0A837EB5"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9</w:t>
            </w:r>
          </w:p>
        </w:tc>
        <w:tc>
          <w:tcPr>
            <w:tcW w:w="1239" w:type="dxa"/>
            <w:shd w:val="clear" w:color="auto" w:fill="auto"/>
            <w:noWrap/>
            <w:vAlign w:val="bottom"/>
            <w:hideMark/>
          </w:tcPr>
          <w:p w14:paraId="5B18C86A" w14:textId="3A7F0E75"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60CD73EE" w14:textId="24BC1A29"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41</w:t>
            </w:r>
          </w:p>
        </w:tc>
        <w:tc>
          <w:tcPr>
            <w:tcW w:w="1008" w:type="dxa"/>
            <w:shd w:val="clear" w:color="auto" w:fill="auto"/>
            <w:noWrap/>
            <w:vAlign w:val="bottom"/>
            <w:hideMark/>
          </w:tcPr>
          <w:p w14:paraId="44E5611B" w14:textId="5C4D1482"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2ECB1503" w14:textId="0EB4F2D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064D0EB7" w14:textId="77777777" w:rsidTr="00BD25B4">
        <w:trPr>
          <w:trHeight w:val="283"/>
        </w:trPr>
        <w:tc>
          <w:tcPr>
            <w:tcW w:w="589" w:type="dxa"/>
            <w:shd w:val="clear" w:color="auto" w:fill="auto"/>
            <w:noWrap/>
            <w:vAlign w:val="bottom"/>
            <w:hideMark/>
          </w:tcPr>
          <w:p w14:paraId="3DB2071C"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6</w:t>
            </w:r>
          </w:p>
        </w:tc>
        <w:tc>
          <w:tcPr>
            <w:tcW w:w="1681" w:type="dxa"/>
            <w:shd w:val="clear" w:color="auto" w:fill="auto"/>
            <w:noWrap/>
            <w:vAlign w:val="bottom"/>
            <w:hideMark/>
          </w:tcPr>
          <w:p w14:paraId="71C793F0"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Lipanj</w:t>
            </w:r>
          </w:p>
        </w:tc>
        <w:tc>
          <w:tcPr>
            <w:tcW w:w="1302" w:type="dxa"/>
            <w:shd w:val="clear" w:color="auto" w:fill="auto"/>
            <w:noWrap/>
            <w:vAlign w:val="bottom"/>
            <w:hideMark/>
          </w:tcPr>
          <w:p w14:paraId="10834511" w14:textId="674080E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69</w:t>
            </w:r>
          </w:p>
        </w:tc>
        <w:tc>
          <w:tcPr>
            <w:tcW w:w="1113" w:type="dxa"/>
            <w:shd w:val="clear" w:color="auto" w:fill="auto"/>
            <w:noWrap/>
            <w:vAlign w:val="bottom"/>
            <w:hideMark/>
          </w:tcPr>
          <w:p w14:paraId="16FD5FCA" w14:textId="631825B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9</w:t>
            </w:r>
          </w:p>
        </w:tc>
        <w:tc>
          <w:tcPr>
            <w:tcW w:w="1239" w:type="dxa"/>
            <w:shd w:val="clear" w:color="auto" w:fill="auto"/>
            <w:noWrap/>
            <w:vAlign w:val="bottom"/>
            <w:hideMark/>
          </w:tcPr>
          <w:p w14:paraId="11508E38" w14:textId="58B0FACD"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5A6CB8E8" w14:textId="427E29F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42</w:t>
            </w:r>
          </w:p>
        </w:tc>
        <w:tc>
          <w:tcPr>
            <w:tcW w:w="1008" w:type="dxa"/>
            <w:shd w:val="clear" w:color="auto" w:fill="auto"/>
            <w:noWrap/>
            <w:vAlign w:val="bottom"/>
            <w:hideMark/>
          </w:tcPr>
          <w:p w14:paraId="17FE8FD3" w14:textId="64A625C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1BE04894" w14:textId="468EF04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379CCA70" w14:textId="77777777" w:rsidTr="00BD25B4">
        <w:trPr>
          <w:trHeight w:val="283"/>
        </w:trPr>
        <w:tc>
          <w:tcPr>
            <w:tcW w:w="589" w:type="dxa"/>
            <w:shd w:val="clear" w:color="auto" w:fill="auto"/>
            <w:noWrap/>
            <w:vAlign w:val="bottom"/>
            <w:hideMark/>
          </w:tcPr>
          <w:p w14:paraId="553A37C1"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7</w:t>
            </w:r>
          </w:p>
        </w:tc>
        <w:tc>
          <w:tcPr>
            <w:tcW w:w="1681" w:type="dxa"/>
            <w:shd w:val="clear" w:color="auto" w:fill="auto"/>
            <w:noWrap/>
            <w:vAlign w:val="bottom"/>
            <w:hideMark/>
          </w:tcPr>
          <w:p w14:paraId="3579C693"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Srpanj</w:t>
            </w:r>
          </w:p>
        </w:tc>
        <w:tc>
          <w:tcPr>
            <w:tcW w:w="1302" w:type="dxa"/>
            <w:shd w:val="clear" w:color="auto" w:fill="auto"/>
            <w:noWrap/>
            <w:vAlign w:val="bottom"/>
            <w:hideMark/>
          </w:tcPr>
          <w:p w14:paraId="1BC3B89E" w14:textId="17794447"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70</w:t>
            </w:r>
          </w:p>
        </w:tc>
        <w:tc>
          <w:tcPr>
            <w:tcW w:w="1113" w:type="dxa"/>
            <w:shd w:val="clear" w:color="auto" w:fill="auto"/>
            <w:noWrap/>
            <w:vAlign w:val="bottom"/>
            <w:hideMark/>
          </w:tcPr>
          <w:p w14:paraId="3E8E3641" w14:textId="1C84151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9</w:t>
            </w:r>
          </w:p>
        </w:tc>
        <w:tc>
          <w:tcPr>
            <w:tcW w:w="1239" w:type="dxa"/>
            <w:shd w:val="clear" w:color="auto" w:fill="auto"/>
            <w:noWrap/>
            <w:vAlign w:val="bottom"/>
            <w:hideMark/>
          </w:tcPr>
          <w:p w14:paraId="70C41F92" w14:textId="12F87926"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2EFC1A94" w14:textId="4B91B269"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43</w:t>
            </w:r>
          </w:p>
        </w:tc>
        <w:tc>
          <w:tcPr>
            <w:tcW w:w="1008" w:type="dxa"/>
            <w:shd w:val="clear" w:color="auto" w:fill="auto"/>
            <w:noWrap/>
            <w:vAlign w:val="bottom"/>
            <w:hideMark/>
          </w:tcPr>
          <w:p w14:paraId="18946108" w14:textId="67BDA9F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5</w:t>
            </w:r>
          </w:p>
        </w:tc>
        <w:tc>
          <w:tcPr>
            <w:tcW w:w="1008" w:type="dxa"/>
            <w:shd w:val="clear" w:color="auto" w:fill="auto"/>
            <w:noWrap/>
            <w:vAlign w:val="bottom"/>
            <w:hideMark/>
          </w:tcPr>
          <w:p w14:paraId="0F5B2B67" w14:textId="1CF7D1D4"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9</w:t>
            </w:r>
          </w:p>
        </w:tc>
      </w:tr>
      <w:tr w:rsidR="00BD25B4" w:rsidRPr="00CB36E4" w14:paraId="2F0D8D81" w14:textId="77777777" w:rsidTr="00BD25B4">
        <w:trPr>
          <w:trHeight w:val="283"/>
        </w:trPr>
        <w:tc>
          <w:tcPr>
            <w:tcW w:w="589" w:type="dxa"/>
            <w:shd w:val="clear" w:color="auto" w:fill="auto"/>
            <w:noWrap/>
            <w:vAlign w:val="bottom"/>
            <w:hideMark/>
          </w:tcPr>
          <w:p w14:paraId="150EF11F"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8</w:t>
            </w:r>
          </w:p>
        </w:tc>
        <w:tc>
          <w:tcPr>
            <w:tcW w:w="1681" w:type="dxa"/>
            <w:shd w:val="clear" w:color="auto" w:fill="auto"/>
            <w:noWrap/>
            <w:vAlign w:val="bottom"/>
            <w:hideMark/>
          </w:tcPr>
          <w:p w14:paraId="79450235"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Kolovoz</w:t>
            </w:r>
          </w:p>
        </w:tc>
        <w:tc>
          <w:tcPr>
            <w:tcW w:w="1302" w:type="dxa"/>
            <w:shd w:val="clear" w:color="auto" w:fill="auto"/>
            <w:noWrap/>
            <w:vAlign w:val="bottom"/>
            <w:hideMark/>
          </w:tcPr>
          <w:p w14:paraId="6772A430" w14:textId="3A10C0C1"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66</w:t>
            </w:r>
          </w:p>
        </w:tc>
        <w:tc>
          <w:tcPr>
            <w:tcW w:w="1113" w:type="dxa"/>
            <w:shd w:val="clear" w:color="auto" w:fill="auto"/>
            <w:noWrap/>
            <w:vAlign w:val="bottom"/>
            <w:hideMark/>
          </w:tcPr>
          <w:p w14:paraId="3411A5DF" w14:textId="5DB71F06"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8</w:t>
            </w:r>
          </w:p>
        </w:tc>
        <w:tc>
          <w:tcPr>
            <w:tcW w:w="1239" w:type="dxa"/>
            <w:shd w:val="clear" w:color="auto" w:fill="auto"/>
            <w:noWrap/>
            <w:vAlign w:val="bottom"/>
            <w:hideMark/>
          </w:tcPr>
          <w:p w14:paraId="24152D16" w14:textId="62EB94D4"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5B6F6CFF" w14:textId="20DDD185"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41</w:t>
            </w:r>
          </w:p>
        </w:tc>
        <w:tc>
          <w:tcPr>
            <w:tcW w:w="1008" w:type="dxa"/>
            <w:shd w:val="clear" w:color="auto" w:fill="auto"/>
            <w:noWrap/>
            <w:vAlign w:val="bottom"/>
            <w:hideMark/>
          </w:tcPr>
          <w:p w14:paraId="5CB561D4" w14:textId="524A3D6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3576F123" w14:textId="28E7806F"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9</w:t>
            </w:r>
          </w:p>
        </w:tc>
      </w:tr>
      <w:tr w:rsidR="00BD25B4" w:rsidRPr="00CB36E4" w14:paraId="19285FAE" w14:textId="77777777" w:rsidTr="00BD25B4">
        <w:trPr>
          <w:trHeight w:val="283"/>
        </w:trPr>
        <w:tc>
          <w:tcPr>
            <w:tcW w:w="589" w:type="dxa"/>
            <w:shd w:val="clear" w:color="auto" w:fill="auto"/>
            <w:noWrap/>
            <w:vAlign w:val="bottom"/>
            <w:hideMark/>
          </w:tcPr>
          <w:p w14:paraId="35FA53C6"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9</w:t>
            </w:r>
          </w:p>
        </w:tc>
        <w:tc>
          <w:tcPr>
            <w:tcW w:w="1681" w:type="dxa"/>
            <w:shd w:val="clear" w:color="auto" w:fill="auto"/>
            <w:noWrap/>
            <w:vAlign w:val="bottom"/>
            <w:hideMark/>
          </w:tcPr>
          <w:p w14:paraId="5F6C9876"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Rujan</w:t>
            </w:r>
          </w:p>
        </w:tc>
        <w:tc>
          <w:tcPr>
            <w:tcW w:w="1302" w:type="dxa"/>
            <w:shd w:val="clear" w:color="auto" w:fill="auto"/>
            <w:noWrap/>
            <w:vAlign w:val="bottom"/>
            <w:hideMark/>
          </w:tcPr>
          <w:p w14:paraId="6421D649" w14:textId="5A07C4DD"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66</w:t>
            </w:r>
          </w:p>
        </w:tc>
        <w:tc>
          <w:tcPr>
            <w:tcW w:w="1113" w:type="dxa"/>
            <w:shd w:val="clear" w:color="auto" w:fill="auto"/>
            <w:noWrap/>
            <w:vAlign w:val="bottom"/>
            <w:hideMark/>
          </w:tcPr>
          <w:p w14:paraId="01268C2F" w14:textId="767B4C9F"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8</w:t>
            </w:r>
          </w:p>
        </w:tc>
        <w:tc>
          <w:tcPr>
            <w:tcW w:w="1239" w:type="dxa"/>
            <w:shd w:val="clear" w:color="auto" w:fill="auto"/>
            <w:noWrap/>
            <w:vAlign w:val="bottom"/>
            <w:hideMark/>
          </w:tcPr>
          <w:p w14:paraId="3EDC9C80" w14:textId="2DB5CC2C"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306CA189" w14:textId="22533539"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41</w:t>
            </w:r>
          </w:p>
        </w:tc>
        <w:tc>
          <w:tcPr>
            <w:tcW w:w="1008" w:type="dxa"/>
            <w:shd w:val="clear" w:color="auto" w:fill="auto"/>
            <w:noWrap/>
            <w:vAlign w:val="bottom"/>
            <w:hideMark/>
          </w:tcPr>
          <w:p w14:paraId="527DCB34" w14:textId="0A770612"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3EE959D7" w14:textId="4A1E29F4"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9</w:t>
            </w:r>
          </w:p>
        </w:tc>
      </w:tr>
      <w:tr w:rsidR="00BD25B4" w:rsidRPr="00CB36E4" w14:paraId="64E21EED" w14:textId="77777777" w:rsidTr="00BD25B4">
        <w:trPr>
          <w:trHeight w:val="283"/>
        </w:trPr>
        <w:tc>
          <w:tcPr>
            <w:tcW w:w="589" w:type="dxa"/>
            <w:shd w:val="clear" w:color="auto" w:fill="auto"/>
            <w:noWrap/>
            <w:vAlign w:val="bottom"/>
            <w:hideMark/>
          </w:tcPr>
          <w:p w14:paraId="3CEB5022"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10</w:t>
            </w:r>
          </w:p>
        </w:tc>
        <w:tc>
          <w:tcPr>
            <w:tcW w:w="1681" w:type="dxa"/>
            <w:shd w:val="clear" w:color="auto" w:fill="auto"/>
            <w:noWrap/>
            <w:vAlign w:val="bottom"/>
            <w:hideMark/>
          </w:tcPr>
          <w:p w14:paraId="2A6DEB7D"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Listopad</w:t>
            </w:r>
          </w:p>
        </w:tc>
        <w:tc>
          <w:tcPr>
            <w:tcW w:w="1302" w:type="dxa"/>
            <w:shd w:val="clear" w:color="auto" w:fill="auto"/>
            <w:noWrap/>
            <w:vAlign w:val="bottom"/>
            <w:hideMark/>
          </w:tcPr>
          <w:p w14:paraId="55EFEAA8" w14:textId="5CFBC7CA"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66</w:t>
            </w:r>
          </w:p>
        </w:tc>
        <w:tc>
          <w:tcPr>
            <w:tcW w:w="1113" w:type="dxa"/>
            <w:shd w:val="clear" w:color="auto" w:fill="auto"/>
            <w:noWrap/>
            <w:vAlign w:val="bottom"/>
            <w:hideMark/>
          </w:tcPr>
          <w:p w14:paraId="700A1D79" w14:textId="3CBA77F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8</w:t>
            </w:r>
          </w:p>
        </w:tc>
        <w:tc>
          <w:tcPr>
            <w:tcW w:w="1239" w:type="dxa"/>
            <w:shd w:val="clear" w:color="auto" w:fill="auto"/>
            <w:noWrap/>
            <w:vAlign w:val="bottom"/>
            <w:hideMark/>
          </w:tcPr>
          <w:p w14:paraId="4F19A11E" w14:textId="097D8F1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4</w:t>
            </w:r>
          </w:p>
        </w:tc>
        <w:tc>
          <w:tcPr>
            <w:tcW w:w="1008" w:type="dxa"/>
            <w:shd w:val="clear" w:color="auto" w:fill="auto"/>
            <w:noWrap/>
            <w:vAlign w:val="bottom"/>
            <w:hideMark/>
          </w:tcPr>
          <w:p w14:paraId="2546E6F9" w14:textId="351F33E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40</w:t>
            </w:r>
          </w:p>
        </w:tc>
        <w:tc>
          <w:tcPr>
            <w:tcW w:w="1008" w:type="dxa"/>
            <w:shd w:val="clear" w:color="auto" w:fill="auto"/>
            <w:noWrap/>
            <w:vAlign w:val="bottom"/>
            <w:hideMark/>
          </w:tcPr>
          <w:p w14:paraId="2C17A797" w14:textId="76856809"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4</w:t>
            </w:r>
          </w:p>
        </w:tc>
        <w:tc>
          <w:tcPr>
            <w:tcW w:w="1008" w:type="dxa"/>
            <w:shd w:val="clear" w:color="auto" w:fill="auto"/>
            <w:noWrap/>
            <w:vAlign w:val="bottom"/>
            <w:hideMark/>
          </w:tcPr>
          <w:p w14:paraId="22850A1F" w14:textId="334EA516"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2DE7C496" w14:textId="77777777" w:rsidTr="00BD25B4">
        <w:trPr>
          <w:trHeight w:val="283"/>
        </w:trPr>
        <w:tc>
          <w:tcPr>
            <w:tcW w:w="589" w:type="dxa"/>
            <w:shd w:val="clear" w:color="auto" w:fill="auto"/>
            <w:noWrap/>
            <w:vAlign w:val="bottom"/>
            <w:hideMark/>
          </w:tcPr>
          <w:p w14:paraId="51C957DE"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11</w:t>
            </w:r>
          </w:p>
        </w:tc>
        <w:tc>
          <w:tcPr>
            <w:tcW w:w="1681" w:type="dxa"/>
            <w:shd w:val="clear" w:color="auto" w:fill="auto"/>
            <w:noWrap/>
            <w:vAlign w:val="bottom"/>
            <w:hideMark/>
          </w:tcPr>
          <w:p w14:paraId="343CBD76"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Studeni</w:t>
            </w:r>
          </w:p>
        </w:tc>
        <w:tc>
          <w:tcPr>
            <w:tcW w:w="1302" w:type="dxa"/>
            <w:shd w:val="clear" w:color="auto" w:fill="auto"/>
            <w:noWrap/>
            <w:vAlign w:val="bottom"/>
            <w:hideMark/>
          </w:tcPr>
          <w:p w14:paraId="193D1B3B" w14:textId="449AEEC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68</w:t>
            </w:r>
          </w:p>
        </w:tc>
        <w:tc>
          <w:tcPr>
            <w:tcW w:w="1113" w:type="dxa"/>
            <w:shd w:val="clear" w:color="auto" w:fill="auto"/>
            <w:noWrap/>
            <w:vAlign w:val="bottom"/>
            <w:hideMark/>
          </w:tcPr>
          <w:p w14:paraId="584A6539" w14:textId="25FB8466"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8</w:t>
            </w:r>
          </w:p>
        </w:tc>
        <w:tc>
          <w:tcPr>
            <w:tcW w:w="1239" w:type="dxa"/>
            <w:shd w:val="clear" w:color="auto" w:fill="auto"/>
            <w:noWrap/>
            <w:vAlign w:val="bottom"/>
            <w:hideMark/>
          </w:tcPr>
          <w:p w14:paraId="391A1DCA" w14:textId="1B6B9A07"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5</w:t>
            </w:r>
          </w:p>
        </w:tc>
        <w:tc>
          <w:tcPr>
            <w:tcW w:w="1008" w:type="dxa"/>
            <w:shd w:val="clear" w:color="auto" w:fill="auto"/>
            <w:noWrap/>
            <w:vAlign w:val="bottom"/>
            <w:hideMark/>
          </w:tcPr>
          <w:p w14:paraId="39F59F4E" w14:textId="5A6C1C73"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42</w:t>
            </w:r>
          </w:p>
        </w:tc>
        <w:tc>
          <w:tcPr>
            <w:tcW w:w="1008" w:type="dxa"/>
            <w:shd w:val="clear" w:color="auto" w:fill="auto"/>
            <w:noWrap/>
            <w:vAlign w:val="bottom"/>
            <w:hideMark/>
          </w:tcPr>
          <w:p w14:paraId="1EED53C5" w14:textId="20EECE5D"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3</w:t>
            </w:r>
          </w:p>
        </w:tc>
        <w:tc>
          <w:tcPr>
            <w:tcW w:w="1008" w:type="dxa"/>
            <w:shd w:val="clear" w:color="auto" w:fill="auto"/>
            <w:noWrap/>
            <w:vAlign w:val="bottom"/>
            <w:hideMark/>
          </w:tcPr>
          <w:p w14:paraId="11B37DA4" w14:textId="470134A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r w:rsidR="00BD25B4" w:rsidRPr="00CB36E4" w14:paraId="432275C6" w14:textId="77777777" w:rsidTr="00BD25B4">
        <w:trPr>
          <w:trHeight w:val="283"/>
        </w:trPr>
        <w:tc>
          <w:tcPr>
            <w:tcW w:w="589" w:type="dxa"/>
            <w:shd w:val="clear" w:color="auto" w:fill="auto"/>
            <w:noWrap/>
            <w:vAlign w:val="bottom"/>
            <w:hideMark/>
          </w:tcPr>
          <w:p w14:paraId="2F6D7753"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12</w:t>
            </w:r>
          </w:p>
        </w:tc>
        <w:tc>
          <w:tcPr>
            <w:tcW w:w="1681" w:type="dxa"/>
            <w:shd w:val="clear" w:color="auto" w:fill="auto"/>
            <w:noWrap/>
            <w:vAlign w:val="bottom"/>
            <w:hideMark/>
          </w:tcPr>
          <w:p w14:paraId="158773E9" w14:textId="77777777" w:rsidR="00BD25B4" w:rsidRPr="00772F10" w:rsidRDefault="00BD25B4" w:rsidP="00BD25B4">
            <w:pPr>
              <w:spacing w:after="0" w:line="240" w:lineRule="auto"/>
              <w:jc w:val="center"/>
              <w:rPr>
                <w:rFonts w:eastAsia="Times New Roman" w:cstheme="minorHAnsi"/>
                <w:sz w:val="18"/>
                <w:szCs w:val="18"/>
                <w:lang w:eastAsia="hr-HR"/>
              </w:rPr>
            </w:pPr>
            <w:r w:rsidRPr="00772F10">
              <w:rPr>
                <w:rFonts w:eastAsia="Times New Roman" w:cstheme="minorHAnsi"/>
                <w:sz w:val="18"/>
                <w:szCs w:val="18"/>
                <w:lang w:eastAsia="hr-HR"/>
              </w:rPr>
              <w:t>Prosinac</w:t>
            </w:r>
          </w:p>
        </w:tc>
        <w:tc>
          <w:tcPr>
            <w:tcW w:w="1302" w:type="dxa"/>
            <w:shd w:val="clear" w:color="auto" w:fill="auto"/>
            <w:noWrap/>
            <w:vAlign w:val="bottom"/>
            <w:hideMark/>
          </w:tcPr>
          <w:p w14:paraId="0876736F" w14:textId="3058EE9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69</w:t>
            </w:r>
          </w:p>
        </w:tc>
        <w:tc>
          <w:tcPr>
            <w:tcW w:w="1113" w:type="dxa"/>
            <w:shd w:val="clear" w:color="auto" w:fill="auto"/>
            <w:noWrap/>
            <w:vAlign w:val="bottom"/>
            <w:hideMark/>
          </w:tcPr>
          <w:p w14:paraId="43372F3C" w14:textId="0FC3434E"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8</w:t>
            </w:r>
          </w:p>
        </w:tc>
        <w:tc>
          <w:tcPr>
            <w:tcW w:w="1239" w:type="dxa"/>
            <w:shd w:val="clear" w:color="auto" w:fill="auto"/>
            <w:noWrap/>
            <w:vAlign w:val="bottom"/>
            <w:hideMark/>
          </w:tcPr>
          <w:p w14:paraId="371BD655" w14:textId="191E7C9D"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hr-HR"/>
              </w:rPr>
              <w:t>5</w:t>
            </w:r>
          </w:p>
        </w:tc>
        <w:tc>
          <w:tcPr>
            <w:tcW w:w="1008" w:type="dxa"/>
            <w:shd w:val="clear" w:color="auto" w:fill="auto"/>
            <w:noWrap/>
            <w:vAlign w:val="bottom"/>
            <w:hideMark/>
          </w:tcPr>
          <w:p w14:paraId="41FA43EF" w14:textId="195D7EDD"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sz w:val="18"/>
                <w:szCs w:val="18"/>
                <w:lang w:eastAsia="en-GB"/>
              </w:rPr>
              <w:t>43</w:t>
            </w:r>
          </w:p>
        </w:tc>
        <w:tc>
          <w:tcPr>
            <w:tcW w:w="1008" w:type="dxa"/>
            <w:shd w:val="clear" w:color="auto" w:fill="auto"/>
            <w:noWrap/>
            <w:vAlign w:val="bottom"/>
            <w:hideMark/>
          </w:tcPr>
          <w:p w14:paraId="390D057C" w14:textId="3CA44A18"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3</w:t>
            </w:r>
          </w:p>
        </w:tc>
        <w:tc>
          <w:tcPr>
            <w:tcW w:w="1008" w:type="dxa"/>
            <w:shd w:val="clear" w:color="auto" w:fill="auto"/>
            <w:noWrap/>
            <w:vAlign w:val="bottom"/>
            <w:hideMark/>
          </w:tcPr>
          <w:p w14:paraId="439841D6" w14:textId="7FE3F564" w:rsidR="00BD25B4" w:rsidRPr="00BD25B4" w:rsidRDefault="00BD25B4" w:rsidP="00BD25B4">
            <w:pPr>
              <w:spacing w:after="0" w:line="240" w:lineRule="auto"/>
              <w:jc w:val="center"/>
              <w:rPr>
                <w:rFonts w:eastAsia="Times New Roman" w:cstheme="minorHAnsi"/>
                <w:sz w:val="18"/>
                <w:szCs w:val="18"/>
                <w:lang w:eastAsia="hr-HR"/>
              </w:rPr>
            </w:pPr>
            <w:r w:rsidRPr="00BD25B4">
              <w:rPr>
                <w:rFonts w:eastAsia="Times New Roman" w:cstheme="minorHAnsi"/>
                <w:color w:val="000000"/>
                <w:sz w:val="18"/>
                <w:szCs w:val="18"/>
                <w:lang w:eastAsia="en-GB"/>
              </w:rPr>
              <w:t>10</w:t>
            </w:r>
          </w:p>
        </w:tc>
      </w:tr>
    </w:tbl>
    <w:p w14:paraId="4DD5204B" w14:textId="77777777" w:rsidR="00C02254" w:rsidRPr="00CB36E4" w:rsidRDefault="00C02254" w:rsidP="00C02254">
      <w:pPr>
        <w:rPr>
          <w:color w:val="FF0000"/>
        </w:rPr>
      </w:pPr>
    </w:p>
    <w:p w14:paraId="104886D9" w14:textId="77777777" w:rsidR="00C02254" w:rsidRDefault="00C02254">
      <w:pPr>
        <w:pStyle w:val="Caption"/>
        <w:keepNext/>
        <w:spacing w:after="240"/>
        <w:jc w:val="both"/>
        <w:rPr>
          <w:rFonts w:asciiTheme="minorHAnsi" w:hAnsiTheme="minorHAnsi" w:cstheme="minorHAnsi"/>
          <w:sz w:val="22"/>
          <w:szCs w:val="22"/>
        </w:rPr>
      </w:pPr>
      <w:r>
        <w:rPr>
          <w:rFonts w:asciiTheme="minorHAnsi" w:hAnsiTheme="minorHAnsi" w:cstheme="minorHAnsi"/>
          <w:sz w:val="22"/>
          <w:szCs w:val="22"/>
        </w:rPr>
        <w:br/>
      </w:r>
    </w:p>
    <w:p w14:paraId="7CD52BF7" w14:textId="77777777" w:rsidR="00C02254" w:rsidRDefault="00C02254">
      <w:pPr>
        <w:rPr>
          <w:rFonts w:eastAsia="Times New Roman" w:cstheme="minorHAnsi"/>
          <w:b/>
          <w:bCs/>
        </w:rPr>
      </w:pPr>
      <w:r>
        <w:rPr>
          <w:rFonts w:cstheme="minorHAnsi"/>
        </w:rPr>
        <w:br w:type="page"/>
      </w:r>
    </w:p>
    <w:p w14:paraId="46F143B0" w14:textId="4EE46141" w:rsidR="00ED4AC8" w:rsidRDefault="00ED4AC8">
      <w:pPr>
        <w:pStyle w:val="Caption"/>
        <w:keepNext/>
        <w:spacing w:after="240"/>
        <w:jc w:val="both"/>
        <w:rPr>
          <w:rFonts w:asciiTheme="minorHAnsi" w:hAnsiTheme="minorHAnsi" w:cstheme="minorHAnsi"/>
          <w:b w:val="0"/>
          <w:bCs w:val="0"/>
          <w:color w:val="000000" w:themeColor="text1"/>
          <w:sz w:val="22"/>
          <w:szCs w:val="22"/>
        </w:rPr>
      </w:pPr>
      <w:bookmarkStart w:id="45" w:name="_Toc200366451"/>
      <w:r w:rsidRPr="00840E6B">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13</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00ED7AFF" w:rsidRPr="0024645F">
        <w:rPr>
          <w:rFonts w:asciiTheme="minorHAnsi" w:hAnsiTheme="minorHAnsi" w:cstheme="minorHAnsi"/>
          <w:b w:val="0"/>
          <w:bCs w:val="0"/>
          <w:sz w:val="22"/>
          <w:szCs w:val="22"/>
        </w:rPr>
        <w:t xml:space="preserve">Plan kadrova </w:t>
      </w:r>
      <w:r w:rsidR="00B10146" w:rsidRPr="007C4CA8">
        <w:rPr>
          <w:rFonts w:asciiTheme="minorHAnsi" w:hAnsiTheme="minorHAnsi" w:cstheme="minorHAnsi"/>
          <w:b w:val="0"/>
          <w:bCs w:val="0"/>
          <w:color w:val="000000" w:themeColor="text1"/>
          <w:sz w:val="22"/>
          <w:szCs w:val="22"/>
        </w:rPr>
        <w:t>za 2024. godinu i realizacija do 31.12.2024.</w:t>
      </w:r>
      <w:r w:rsidR="00B47DA2">
        <w:rPr>
          <w:rFonts w:asciiTheme="minorHAnsi" w:hAnsiTheme="minorHAnsi" w:cstheme="minorHAnsi"/>
          <w:b w:val="0"/>
          <w:bCs w:val="0"/>
          <w:color w:val="000000" w:themeColor="text1"/>
          <w:sz w:val="22"/>
          <w:szCs w:val="22"/>
        </w:rPr>
        <w:t xml:space="preserve"> godine</w:t>
      </w:r>
      <w:bookmarkEnd w:id="45"/>
      <w:r w:rsidR="00B47DA2">
        <w:rPr>
          <w:rFonts w:asciiTheme="minorHAnsi" w:hAnsiTheme="minorHAnsi" w:cstheme="minorHAnsi"/>
          <w:b w:val="0"/>
          <w:bCs w:val="0"/>
          <w:color w:val="000000" w:themeColor="text1"/>
          <w:sz w:val="22"/>
          <w:szCs w:val="22"/>
        </w:rPr>
        <w:t xml:space="preserve"> </w:t>
      </w:r>
    </w:p>
    <w:tbl>
      <w:tblPr>
        <w:tblW w:w="9452" w:type="dxa"/>
        <w:tblInd w:w="-1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0"/>
        <w:gridCol w:w="3214"/>
        <w:gridCol w:w="1377"/>
        <w:gridCol w:w="1377"/>
        <w:gridCol w:w="1377"/>
        <w:gridCol w:w="1377"/>
      </w:tblGrid>
      <w:tr w:rsidR="00B10146" w:rsidRPr="007C4CA8" w14:paraId="3546913F" w14:textId="77777777" w:rsidTr="00335B99">
        <w:trPr>
          <w:trHeight w:val="180"/>
        </w:trPr>
        <w:tc>
          <w:tcPr>
            <w:tcW w:w="730" w:type="dxa"/>
            <w:tcBorders>
              <w:top w:val="single" w:sz="4" w:space="0" w:color="auto"/>
              <w:bottom w:val="single" w:sz="4" w:space="0" w:color="auto"/>
            </w:tcBorders>
            <w:vAlign w:val="bottom"/>
          </w:tcPr>
          <w:p w14:paraId="52E0B6A7" w14:textId="77777777" w:rsidR="00B10146" w:rsidRPr="007C4CA8" w:rsidRDefault="00B10146" w:rsidP="00335B99">
            <w:pPr>
              <w:pStyle w:val="Default"/>
              <w:spacing w:before="120"/>
              <w:ind w:left="57"/>
              <w:rPr>
                <w:rFonts w:asciiTheme="minorHAnsi" w:hAnsiTheme="minorHAnsi" w:cstheme="minorHAnsi"/>
                <w:color w:val="000000" w:themeColor="text1"/>
                <w:sz w:val="18"/>
                <w:szCs w:val="18"/>
              </w:rPr>
            </w:pPr>
            <w:r w:rsidRPr="007C4CA8">
              <w:rPr>
                <w:rFonts w:asciiTheme="minorHAnsi" w:hAnsiTheme="minorHAnsi" w:cstheme="minorHAnsi"/>
                <w:b/>
                <w:bCs/>
                <w:color w:val="000000" w:themeColor="text1"/>
                <w:sz w:val="18"/>
                <w:szCs w:val="18"/>
              </w:rPr>
              <w:t>R.br</w:t>
            </w:r>
          </w:p>
        </w:tc>
        <w:tc>
          <w:tcPr>
            <w:tcW w:w="3214" w:type="dxa"/>
            <w:tcBorders>
              <w:top w:val="single" w:sz="4" w:space="0" w:color="auto"/>
              <w:bottom w:val="single" w:sz="4" w:space="0" w:color="auto"/>
            </w:tcBorders>
            <w:vAlign w:val="bottom"/>
          </w:tcPr>
          <w:p w14:paraId="11CBFEA9" w14:textId="77777777" w:rsidR="00B10146" w:rsidRPr="007C4CA8" w:rsidRDefault="00B10146" w:rsidP="00335B99">
            <w:pPr>
              <w:pStyle w:val="Default"/>
              <w:spacing w:before="120"/>
              <w:ind w:left="57"/>
              <w:rPr>
                <w:rFonts w:asciiTheme="minorHAnsi" w:hAnsiTheme="minorHAnsi" w:cstheme="minorHAnsi"/>
                <w:color w:val="000000" w:themeColor="text1"/>
                <w:sz w:val="18"/>
                <w:szCs w:val="18"/>
              </w:rPr>
            </w:pPr>
            <w:r w:rsidRPr="007C4CA8">
              <w:rPr>
                <w:rFonts w:asciiTheme="minorHAnsi" w:hAnsiTheme="minorHAnsi" w:cstheme="minorHAnsi"/>
                <w:b/>
                <w:bCs/>
                <w:color w:val="000000" w:themeColor="text1"/>
                <w:sz w:val="18"/>
                <w:szCs w:val="18"/>
              </w:rPr>
              <w:t>Naziv radnog mjesta</w:t>
            </w:r>
          </w:p>
        </w:tc>
        <w:tc>
          <w:tcPr>
            <w:tcW w:w="1377" w:type="dxa"/>
            <w:tcBorders>
              <w:top w:val="single" w:sz="4" w:space="0" w:color="auto"/>
              <w:bottom w:val="single" w:sz="4" w:space="0" w:color="auto"/>
            </w:tcBorders>
            <w:vAlign w:val="bottom"/>
          </w:tcPr>
          <w:p w14:paraId="59F552A3" w14:textId="77777777" w:rsidR="00B10146" w:rsidRPr="007C4CA8" w:rsidRDefault="00B10146" w:rsidP="00335B99">
            <w:pPr>
              <w:pStyle w:val="Default"/>
              <w:spacing w:before="120"/>
              <w:ind w:left="57"/>
              <w:jc w:val="center"/>
              <w:rPr>
                <w:rFonts w:asciiTheme="minorHAnsi" w:hAnsiTheme="minorHAnsi" w:cstheme="minorHAnsi"/>
                <w:color w:val="000000" w:themeColor="text1"/>
                <w:sz w:val="18"/>
                <w:szCs w:val="18"/>
              </w:rPr>
            </w:pPr>
            <w:r w:rsidRPr="007C4CA8">
              <w:rPr>
                <w:rFonts w:asciiTheme="minorHAnsi" w:hAnsiTheme="minorHAnsi" w:cstheme="minorHAnsi"/>
                <w:b/>
                <w:bCs/>
                <w:color w:val="000000" w:themeColor="text1"/>
                <w:sz w:val="18"/>
                <w:szCs w:val="18"/>
              </w:rPr>
              <w:t>Stanje 01.01.2024.</w:t>
            </w:r>
          </w:p>
        </w:tc>
        <w:tc>
          <w:tcPr>
            <w:tcW w:w="1377" w:type="dxa"/>
            <w:tcBorders>
              <w:top w:val="single" w:sz="4" w:space="0" w:color="auto"/>
              <w:bottom w:val="single" w:sz="4" w:space="0" w:color="auto"/>
            </w:tcBorders>
            <w:vAlign w:val="bottom"/>
          </w:tcPr>
          <w:p w14:paraId="33702EBA" w14:textId="77777777" w:rsidR="00B10146" w:rsidRPr="007C4CA8" w:rsidRDefault="00B10146" w:rsidP="00335B99">
            <w:pPr>
              <w:pStyle w:val="Default"/>
              <w:spacing w:before="120"/>
              <w:ind w:left="57"/>
              <w:jc w:val="center"/>
              <w:rPr>
                <w:rFonts w:asciiTheme="minorHAnsi" w:hAnsiTheme="minorHAnsi" w:cstheme="minorHAnsi"/>
                <w:b/>
                <w:bCs/>
                <w:color w:val="000000" w:themeColor="text1"/>
                <w:sz w:val="18"/>
                <w:szCs w:val="18"/>
              </w:rPr>
            </w:pPr>
            <w:r w:rsidRPr="007C4CA8">
              <w:rPr>
                <w:rFonts w:asciiTheme="minorHAnsi" w:hAnsiTheme="minorHAnsi" w:cstheme="minorHAnsi"/>
                <w:b/>
                <w:bCs/>
                <w:color w:val="000000" w:themeColor="text1"/>
                <w:sz w:val="18"/>
                <w:szCs w:val="18"/>
              </w:rPr>
              <w:t>Stanje 30.06.2024.</w:t>
            </w:r>
          </w:p>
        </w:tc>
        <w:tc>
          <w:tcPr>
            <w:tcW w:w="1377" w:type="dxa"/>
            <w:tcBorders>
              <w:top w:val="single" w:sz="4" w:space="0" w:color="auto"/>
              <w:bottom w:val="single" w:sz="4" w:space="0" w:color="auto"/>
            </w:tcBorders>
            <w:vAlign w:val="bottom"/>
          </w:tcPr>
          <w:p w14:paraId="71BD648B" w14:textId="77777777" w:rsidR="00B10146" w:rsidRPr="007C4CA8" w:rsidRDefault="00B10146" w:rsidP="00335B99">
            <w:pPr>
              <w:pStyle w:val="Default"/>
              <w:spacing w:before="120"/>
              <w:ind w:left="57"/>
              <w:jc w:val="center"/>
              <w:rPr>
                <w:rFonts w:asciiTheme="minorHAnsi" w:hAnsiTheme="minorHAnsi" w:cstheme="minorHAnsi"/>
                <w:color w:val="000000" w:themeColor="text1"/>
                <w:sz w:val="18"/>
                <w:szCs w:val="18"/>
              </w:rPr>
            </w:pPr>
            <w:r w:rsidRPr="007C4CA8">
              <w:rPr>
                <w:rFonts w:asciiTheme="minorHAnsi" w:hAnsiTheme="minorHAnsi" w:cstheme="minorHAnsi"/>
                <w:b/>
                <w:bCs/>
                <w:color w:val="000000" w:themeColor="text1"/>
                <w:sz w:val="18"/>
                <w:szCs w:val="18"/>
              </w:rPr>
              <w:t>Plan do 31.12.2024.</w:t>
            </w:r>
          </w:p>
        </w:tc>
        <w:tc>
          <w:tcPr>
            <w:tcW w:w="1377" w:type="dxa"/>
            <w:tcBorders>
              <w:top w:val="single" w:sz="4" w:space="0" w:color="auto"/>
              <w:bottom w:val="single" w:sz="4" w:space="0" w:color="auto"/>
            </w:tcBorders>
            <w:vAlign w:val="bottom"/>
          </w:tcPr>
          <w:p w14:paraId="09C71392" w14:textId="77777777" w:rsidR="00B10146" w:rsidRPr="007C4CA8" w:rsidRDefault="00B10146" w:rsidP="00335B99">
            <w:pPr>
              <w:pStyle w:val="Default"/>
              <w:spacing w:before="120"/>
              <w:ind w:left="57"/>
              <w:jc w:val="center"/>
              <w:rPr>
                <w:rFonts w:asciiTheme="minorHAnsi" w:hAnsiTheme="minorHAnsi" w:cstheme="minorHAnsi"/>
                <w:color w:val="000000" w:themeColor="text1"/>
                <w:sz w:val="18"/>
                <w:szCs w:val="18"/>
              </w:rPr>
            </w:pPr>
            <w:r w:rsidRPr="007C4CA8">
              <w:rPr>
                <w:rFonts w:asciiTheme="minorHAnsi" w:hAnsiTheme="minorHAnsi" w:cstheme="minorHAnsi"/>
                <w:b/>
                <w:bCs/>
                <w:color w:val="000000" w:themeColor="text1"/>
                <w:sz w:val="18"/>
                <w:szCs w:val="18"/>
              </w:rPr>
              <w:t>Realizirano</w:t>
            </w:r>
          </w:p>
        </w:tc>
      </w:tr>
      <w:tr w:rsidR="00520038" w:rsidRPr="00A4762A" w14:paraId="6D38C64D" w14:textId="77777777" w:rsidTr="00520038">
        <w:trPr>
          <w:trHeight w:val="283"/>
        </w:trPr>
        <w:tc>
          <w:tcPr>
            <w:tcW w:w="730" w:type="dxa"/>
            <w:tcBorders>
              <w:top w:val="single" w:sz="4" w:space="0" w:color="auto"/>
            </w:tcBorders>
            <w:vAlign w:val="bottom"/>
          </w:tcPr>
          <w:p w14:paraId="6F3EE31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sz w:val="18"/>
                <w:szCs w:val="18"/>
              </w:rPr>
              <w:t xml:space="preserve">1 </w:t>
            </w:r>
          </w:p>
        </w:tc>
        <w:tc>
          <w:tcPr>
            <w:tcW w:w="3214" w:type="dxa"/>
            <w:tcBorders>
              <w:top w:val="single" w:sz="4" w:space="0" w:color="auto"/>
            </w:tcBorders>
            <w:vAlign w:val="bottom"/>
          </w:tcPr>
          <w:p w14:paraId="5A9BEFC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sz w:val="18"/>
                <w:szCs w:val="18"/>
              </w:rPr>
              <w:t xml:space="preserve">Radnik općih poslova </w:t>
            </w:r>
          </w:p>
        </w:tc>
        <w:tc>
          <w:tcPr>
            <w:tcW w:w="1377" w:type="dxa"/>
            <w:tcBorders>
              <w:top w:val="single" w:sz="4" w:space="0" w:color="auto"/>
            </w:tcBorders>
            <w:vAlign w:val="bottom"/>
          </w:tcPr>
          <w:p w14:paraId="2B4BA00F" w14:textId="11344F1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sz w:val="18"/>
                <w:szCs w:val="18"/>
              </w:rPr>
              <w:t>6</w:t>
            </w:r>
          </w:p>
        </w:tc>
        <w:tc>
          <w:tcPr>
            <w:tcW w:w="1377" w:type="dxa"/>
            <w:tcBorders>
              <w:top w:val="single" w:sz="4" w:space="0" w:color="auto"/>
            </w:tcBorders>
            <w:vAlign w:val="bottom"/>
          </w:tcPr>
          <w:p w14:paraId="0F481A59" w14:textId="011F6756"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sz w:val="18"/>
                <w:szCs w:val="18"/>
              </w:rPr>
              <w:t>8</w:t>
            </w:r>
          </w:p>
        </w:tc>
        <w:tc>
          <w:tcPr>
            <w:tcW w:w="1377" w:type="dxa"/>
            <w:tcBorders>
              <w:top w:val="single" w:sz="4" w:space="0" w:color="auto"/>
            </w:tcBorders>
            <w:vAlign w:val="bottom"/>
          </w:tcPr>
          <w:p w14:paraId="5C2772F7" w14:textId="2B8FC8D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sz w:val="18"/>
                <w:szCs w:val="18"/>
              </w:rPr>
              <w:t>8</w:t>
            </w:r>
          </w:p>
        </w:tc>
        <w:tc>
          <w:tcPr>
            <w:tcW w:w="1377" w:type="dxa"/>
            <w:tcBorders>
              <w:top w:val="single" w:sz="4" w:space="0" w:color="auto"/>
            </w:tcBorders>
            <w:vAlign w:val="bottom"/>
          </w:tcPr>
          <w:p w14:paraId="70725521" w14:textId="19D21713"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7</w:t>
            </w:r>
          </w:p>
        </w:tc>
      </w:tr>
      <w:tr w:rsidR="00520038" w:rsidRPr="00A4762A" w14:paraId="14177E03" w14:textId="77777777" w:rsidTr="00520038">
        <w:trPr>
          <w:trHeight w:val="283"/>
        </w:trPr>
        <w:tc>
          <w:tcPr>
            <w:tcW w:w="730" w:type="dxa"/>
            <w:vAlign w:val="bottom"/>
          </w:tcPr>
          <w:p w14:paraId="361C66CB"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 </w:t>
            </w:r>
          </w:p>
        </w:tc>
        <w:tc>
          <w:tcPr>
            <w:tcW w:w="3214" w:type="dxa"/>
            <w:vAlign w:val="bottom"/>
          </w:tcPr>
          <w:p w14:paraId="7AA04618"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Operater MBO B2 </w:t>
            </w:r>
          </w:p>
        </w:tc>
        <w:tc>
          <w:tcPr>
            <w:tcW w:w="1377" w:type="dxa"/>
            <w:vAlign w:val="bottom"/>
          </w:tcPr>
          <w:p w14:paraId="71AE0A71" w14:textId="491C1E8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3CD3777A" w14:textId="7ADD640D"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179B68DA" w14:textId="2ABF4B7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40122B64" w14:textId="4E0E97FB"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2</w:t>
            </w:r>
          </w:p>
        </w:tc>
      </w:tr>
      <w:tr w:rsidR="00520038" w:rsidRPr="00A4762A" w14:paraId="4EBEC3DC" w14:textId="77777777" w:rsidTr="00520038">
        <w:trPr>
          <w:trHeight w:val="283"/>
        </w:trPr>
        <w:tc>
          <w:tcPr>
            <w:tcW w:w="730" w:type="dxa"/>
            <w:vAlign w:val="bottom"/>
          </w:tcPr>
          <w:p w14:paraId="6449F508"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3 </w:t>
            </w:r>
          </w:p>
        </w:tc>
        <w:tc>
          <w:tcPr>
            <w:tcW w:w="3214" w:type="dxa"/>
            <w:vAlign w:val="bottom"/>
          </w:tcPr>
          <w:p w14:paraId="044A19B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Skladištar</w:t>
            </w:r>
          </w:p>
        </w:tc>
        <w:tc>
          <w:tcPr>
            <w:tcW w:w="1377" w:type="dxa"/>
            <w:vAlign w:val="bottom"/>
          </w:tcPr>
          <w:p w14:paraId="29CA155E" w14:textId="30EB6E24"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8A28958" w14:textId="6C70C274"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0</w:t>
            </w:r>
          </w:p>
        </w:tc>
        <w:tc>
          <w:tcPr>
            <w:tcW w:w="1377" w:type="dxa"/>
            <w:vAlign w:val="bottom"/>
          </w:tcPr>
          <w:p w14:paraId="1E7BD8C7" w14:textId="15BA787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037FBAD" w14:textId="2B929634"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0</w:t>
            </w:r>
          </w:p>
        </w:tc>
      </w:tr>
      <w:tr w:rsidR="00520038" w:rsidRPr="00A4762A" w14:paraId="4CFFC32F" w14:textId="77777777" w:rsidTr="00520038">
        <w:trPr>
          <w:trHeight w:val="283"/>
        </w:trPr>
        <w:tc>
          <w:tcPr>
            <w:tcW w:w="730" w:type="dxa"/>
            <w:vAlign w:val="bottom"/>
          </w:tcPr>
          <w:p w14:paraId="076CA89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4 </w:t>
            </w:r>
          </w:p>
        </w:tc>
        <w:tc>
          <w:tcPr>
            <w:tcW w:w="3214" w:type="dxa"/>
            <w:vAlign w:val="bottom"/>
          </w:tcPr>
          <w:p w14:paraId="6E8D52C5"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Operater vage </w:t>
            </w:r>
          </w:p>
        </w:tc>
        <w:tc>
          <w:tcPr>
            <w:tcW w:w="1377" w:type="dxa"/>
            <w:vAlign w:val="bottom"/>
          </w:tcPr>
          <w:p w14:paraId="3EAD3133" w14:textId="5AF0107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15453F15" w14:textId="731CD31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1C91BC08" w14:textId="5F54CA48"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1DE7499D" w14:textId="2144D00E"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3</w:t>
            </w:r>
          </w:p>
        </w:tc>
      </w:tr>
      <w:tr w:rsidR="00520038" w:rsidRPr="00A4762A" w14:paraId="31846963" w14:textId="77777777" w:rsidTr="00520038">
        <w:trPr>
          <w:trHeight w:val="283"/>
        </w:trPr>
        <w:tc>
          <w:tcPr>
            <w:tcW w:w="730" w:type="dxa"/>
            <w:vAlign w:val="bottom"/>
          </w:tcPr>
          <w:p w14:paraId="0AEFAFE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5 </w:t>
            </w:r>
          </w:p>
        </w:tc>
        <w:tc>
          <w:tcPr>
            <w:tcW w:w="3214" w:type="dxa"/>
            <w:vAlign w:val="bottom"/>
          </w:tcPr>
          <w:p w14:paraId="283CE660"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Operater MBO A </w:t>
            </w:r>
          </w:p>
        </w:tc>
        <w:tc>
          <w:tcPr>
            <w:tcW w:w="1377" w:type="dxa"/>
            <w:vAlign w:val="bottom"/>
          </w:tcPr>
          <w:p w14:paraId="435EAB18" w14:textId="4286824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21D696BB" w14:textId="61D5253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406143B3" w14:textId="7647D6C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6E6EF39B" w14:textId="78A675FD"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3</w:t>
            </w:r>
          </w:p>
        </w:tc>
      </w:tr>
      <w:tr w:rsidR="00520038" w:rsidRPr="00A4762A" w14:paraId="78304CD8" w14:textId="77777777" w:rsidTr="00520038">
        <w:trPr>
          <w:trHeight w:val="283"/>
        </w:trPr>
        <w:tc>
          <w:tcPr>
            <w:tcW w:w="730" w:type="dxa"/>
            <w:vAlign w:val="bottom"/>
          </w:tcPr>
          <w:p w14:paraId="3FCBB9FB"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6 </w:t>
            </w:r>
          </w:p>
        </w:tc>
        <w:tc>
          <w:tcPr>
            <w:tcW w:w="3214" w:type="dxa"/>
            <w:vAlign w:val="bottom"/>
          </w:tcPr>
          <w:p w14:paraId="05AAA2C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Operater MBO B1 </w:t>
            </w:r>
          </w:p>
        </w:tc>
        <w:tc>
          <w:tcPr>
            <w:tcW w:w="1377" w:type="dxa"/>
            <w:vAlign w:val="bottom"/>
          </w:tcPr>
          <w:p w14:paraId="7E34A3C1" w14:textId="77059658"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447B2B09" w14:textId="5150DCE7"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2</w:t>
            </w:r>
          </w:p>
        </w:tc>
        <w:tc>
          <w:tcPr>
            <w:tcW w:w="1377" w:type="dxa"/>
            <w:vAlign w:val="bottom"/>
          </w:tcPr>
          <w:p w14:paraId="442EBEED" w14:textId="38FA589F"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505F6EF3" w14:textId="1CAF6488"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2</w:t>
            </w:r>
          </w:p>
        </w:tc>
      </w:tr>
      <w:tr w:rsidR="00520038" w:rsidRPr="00A4762A" w14:paraId="4C103A37" w14:textId="77777777" w:rsidTr="00520038">
        <w:trPr>
          <w:trHeight w:val="283"/>
        </w:trPr>
        <w:tc>
          <w:tcPr>
            <w:tcW w:w="730" w:type="dxa"/>
            <w:vAlign w:val="bottom"/>
          </w:tcPr>
          <w:p w14:paraId="7001023C"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7 </w:t>
            </w:r>
          </w:p>
        </w:tc>
        <w:tc>
          <w:tcPr>
            <w:tcW w:w="3214" w:type="dxa"/>
            <w:vAlign w:val="bottom"/>
          </w:tcPr>
          <w:p w14:paraId="71BFBD17"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Upravitelj stroja </w:t>
            </w:r>
          </w:p>
        </w:tc>
        <w:tc>
          <w:tcPr>
            <w:tcW w:w="1377" w:type="dxa"/>
            <w:vAlign w:val="bottom"/>
          </w:tcPr>
          <w:p w14:paraId="63C620F3" w14:textId="7E6C6F7E"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42EB0562" w14:textId="53E9E51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4D3A6B26" w14:textId="24262A2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552D75E2" w14:textId="01529866"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3</w:t>
            </w:r>
          </w:p>
        </w:tc>
      </w:tr>
      <w:tr w:rsidR="00520038" w:rsidRPr="00A4762A" w14:paraId="2661B3DF" w14:textId="77777777" w:rsidTr="00520038">
        <w:trPr>
          <w:trHeight w:val="283"/>
        </w:trPr>
        <w:tc>
          <w:tcPr>
            <w:tcW w:w="730" w:type="dxa"/>
            <w:vAlign w:val="bottom"/>
          </w:tcPr>
          <w:p w14:paraId="25962507"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8 </w:t>
            </w:r>
          </w:p>
        </w:tc>
        <w:tc>
          <w:tcPr>
            <w:tcW w:w="3214" w:type="dxa"/>
            <w:vAlign w:val="bottom"/>
          </w:tcPr>
          <w:p w14:paraId="0C17373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Vozač </w:t>
            </w:r>
          </w:p>
        </w:tc>
        <w:tc>
          <w:tcPr>
            <w:tcW w:w="1377" w:type="dxa"/>
            <w:vAlign w:val="bottom"/>
          </w:tcPr>
          <w:p w14:paraId="71AEF3C0" w14:textId="04C5999D"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11</w:t>
            </w:r>
          </w:p>
        </w:tc>
        <w:tc>
          <w:tcPr>
            <w:tcW w:w="1377" w:type="dxa"/>
            <w:vAlign w:val="bottom"/>
          </w:tcPr>
          <w:p w14:paraId="5FCA0FB9" w14:textId="1FD1A855"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11</w:t>
            </w:r>
          </w:p>
        </w:tc>
        <w:tc>
          <w:tcPr>
            <w:tcW w:w="1377" w:type="dxa"/>
            <w:vAlign w:val="bottom"/>
          </w:tcPr>
          <w:p w14:paraId="65CA1987" w14:textId="5AAD9DE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11</w:t>
            </w:r>
          </w:p>
        </w:tc>
        <w:tc>
          <w:tcPr>
            <w:tcW w:w="1377" w:type="dxa"/>
            <w:vAlign w:val="bottom"/>
          </w:tcPr>
          <w:p w14:paraId="15422A69" w14:textId="1B2016C8"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11</w:t>
            </w:r>
          </w:p>
        </w:tc>
      </w:tr>
      <w:tr w:rsidR="00520038" w:rsidRPr="00A4762A" w14:paraId="381A1425" w14:textId="77777777" w:rsidTr="00520038">
        <w:trPr>
          <w:trHeight w:val="283"/>
        </w:trPr>
        <w:tc>
          <w:tcPr>
            <w:tcW w:w="730" w:type="dxa"/>
            <w:vAlign w:val="bottom"/>
          </w:tcPr>
          <w:p w14:paraId="0D3E2E8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9 </w:t>
            </w:r>
          </w:p>
        </w:tc>
        <w:tc>
          <w:tcPr>
            <w:tcW w:w="3214" w:type="dxa"/>
            <w:vAlign w:val="bottom"/>
          </w:tcPr>
          <w:p w14:paraId="258CCE6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Referent nabave </w:t>
            </w:r>
          </w:p>
        </w:tc>
        <w:tc>
          <w:tcPr>
            <w:tcW w:w="1377" w:type="dxa"/>
            <w:vAlign w:val="bottom"/>
          </w:tcPr>
          <w:p w14:paraId="25D851CA" w14:textId="37D9D16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6C68793" w14:textId="21F7A80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394C0066" w14:textId="63AE4535"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33B81568" w14:textId="70E9C65A"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0D983AB5" w14:textId="77777777" w:rsidTr="00520038">
        <w:trPr>
          <w:trHeight w:val="283"/>
        </w:trPr>
        <w:tc>
          <w:tcPr>
            <w:tcW w:w="730" w:type="dxa"/>
            <w:vAlign w:val="bottom"/>
          </w:tcPr>
          <w:p w14:paraId="5B838F5B"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10 </w:t>
            </w:r>
          </w:p>
        </w:tc>
        <w:tc>
          <w:tcPr>
            <w:tcW w:w="3214" w:type="dxa"/>
            <w:vAlign w:val="bottom"/>
          </w:tcPr>
          <w:p w14:paraId="611F6D93"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Tehničar </w:t>
            </w:r>
          </w:p>
        </w:tc>
        <w:tc>
          <w:tcPr>
            <w:tcW w:w="1377" w:type="dxa"/>
            <w:vAlign w:val="bottom"/>
          </w:tcPr>
          <w:p w14:paraId="0DBB803D" w14:textId="5908214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D3363D9" w14:textId="03F52984"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78A64CE" w14:textId="7B5B3D35"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34A1F1C" w14:textId="436BB772"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7EB8877D" w14:textId="77777777" w:rsidTr="00520038">
        <w:trPr>
          <w:trHeight w:val="283"/>
        </w:trPr>
        <w:tc>
          <w:tcPr>
            <w:tcW w:w="730" w:type="dxa"/>
            <w:vAlign w:val="bottom"/>
          </w:tcPr>
          <w:p w14:paraId="2410FAD0"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11 </w:t>
            </w:r>
          </w:p>
        </w:tc>
        <w:tc>
          <w:tcPr>
            <w:tcW w:w="3214" w:type="dxa"/>
            <w:vAlign w:val="bottom"/>
          </w:tcPr>
          <w:p w14:paraId="3A72B4DC"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Tajnik/Administrator/PR </w:t>
            </w:r>
          </w:p>
        </w:tc>
        <w:tc>
          <w:tcPr>
            <w:tcW w:w="1377" w:type="dxa"/>
            <w:vAlign w:val="bottom"/>
          </w:tcPr>
          <w:p w14:paraId="5D9137B5" w14:textId="6568CDEC"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7130827" w14:textId="16923C25"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02C7B24" w14:textId="1A8BE64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57CC5AE" w14:textId="00B018F6"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3B2FA3C9" w14:textId="77777777" w:rsidTr="00520038">
        <w:trPr>
          <w:trHeight w:val="283"/>
        </w:trPr>
        <w:tc>
          <w:tcPr>
            <w:tcW w:w="730" w:type="dxa"/>
            <w:vAlign w:val="bottom"/>
          </w:tcPr>
          <w:p w14:paraId="0832BA1A"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12 </w:t>
            </w:r>
          </w:p>
        </w:tc>
        <w:tc>
          <w:tcPr>
            <w:tcW w:w="3214" w:type="dxa"/>
            <w:vAlign w:val="bottom"/>
          </w:tcPr>
          <w:p w14:paraId="1D1A3C4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Mehaničar </w:t>
            </w:r>
          </w:p>
        </w:tc>
        <w:tc>
          <w:tcPr>
            <w:tcW w:w="1377" w:type="dxa"/>
            <w:vAlign w:val="bottom"/>
          </w:tcPr>
          <w:p w14:paraId="12885368" w14:textId="4D6DB25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2</w:t>
            </w:r>
          </w:p>
        </w:tc>
        <w:tc>
          <w:tcPr>
            <w:tcW w:w="1377" w:type="dxa"/>
            <w:vAlign w:val="bottom"/>
          </w:tcPr>
          <w:p w14:paraId="12F472CF" w14:textId="70356E2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2</w:t>
            </w:r>
          </w:p>
        </w:tc>
        <w:tc>
          <w:tcPr>
            <w:tcW w:w="1377" w:type="dxa"/>
            <w:vAlign w:val="bottom"/>
          </w:tcPr>
          <w:p w14:paraId="46E52140" w14:textId="39B125E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2</w:t>
            </w:r>
          </w:p>
        </w:tc>
        <w:tc>
          <w:tcPr>
            <w:tcW w:w="1377" w:type="dxa"/>
            <w:vAlign w:val="bottom"/>
          </w:tcPr>
          <w:p w14:paraId="5F397AFA" w14:textId="3F1BA8B2"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2</w:t>
            </w:r>
          </w:p>
        </w:tc>
      </w:tr>
      <w:tr w:rsidR="00520038" w:rsidRPr="00A4762A" w14:paraId="3375E51F" w14:textId="77777777" w:rsidTr="00520038">
        <w:trPr>
          <w:trHeight w:val="283"/>
        </w:trPr>
        <w:tc>
          <w:tcPr>
            <w:tcW w:w="730" w:type="dxa"/>
            <w:vAlign w:val="bottom"/>
          </w:tcPr>
          <w:p w14:paraId="2DAB1D21"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13 </w:t>
            </w:r>
          </w:p>
        </w:tc>
        <w:tc>
          <w:tcPr>
            <w:tcW w:w="3214" w:type="dxa"/>
            <w:vAlign w:val="bottom"/>
          </w:tcPr>
          <w:p w14:paraId="18893CE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Elektroničar </w:t>
            </w:r>
          </w:p>
        </w:tc>
        <w:tc>
          <w:tcPr>
            <w:tcW w:w="1377" w:type="dxa"/>
            <w:vAlign w:val="bottom"/>
          </w:tcPr>
          <w:p w14:paraId="63F323F1" w14:textId="284F435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1B6B836" w14:textId="50A7E3A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9C5930F" w14:textId="44809530"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BA77D12" w14:textId="4B4564FE"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6F1C5CB3" w14:textId="77777777" w:rsidTr="00520038">
        <w:trPr>
          <w:trHeight w:val="283"/>
        </w:trPr>
        <w:tc>
          <w:tcPr>
            <w:tcW w:w="730" w:type="dxa"/>
            <w:vAlign w:val="bottom"/>
          </w:tcPr>
          <w:p w14:paraId="4CE397F9"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14 </w:t>
            </w:r>
          </w:p>
        </w:tc>
        <w:tc>
          <w:tcPr>
            <w:tcW w:w="3214" w:type="dxa"/>
            <w:vAlign w:val="bottom"/>
          </w:tcPr>
          <w:p w14:paraId="524A10C2"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smjene MBO A </w:t>
            </w:r>
          </w:p>
        </w:tc>
        <w:tc>
          <w:tcPr>
            <w:tcW w:w="1377" w:type="dxa"/>
            <w:vAlign w:val="bottom"/>
          </w:tcPr>
          <w:p w14:paraId="7E71D27E" w14:textId="7CCF425E"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6FA51AD1" w14:textId="36C19FDD"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2C02A542" w14:textId="5DE6B8D7"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7C8AAD04" w14:textId="056D7F90"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3</w:t>
            </w:r>
          </w:p>
        </w:tc>
      </w:tr>
      <w:tr w:rsidR="00520038" w:rsidRPr="00A4762A" w14:paraId="504645EF" w14:textId="77777777" w:rsidTr="00520038">
        <w:trPr>
          <w:trHeight w:val="283"/>
        </w:trPr>
        <w:tc>
          <w:tcPr>
            <w:tcW w:w="730" w:type="dxa"/>
            <w:vAlign w:val="bottom"/>
          </w:tcPr>
          <w:p w14:paraId="2E1D2EB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15 </w:t>
            </w:r>
          </w:p>
        </w:tc>
        <w:tc>
          <w:tcPr>
            <w:tcW w:w="3214" w:type="dxa"/>
            <w:vAlign w:val="bottom"/>
          </w:tcPr>
          <w:p w14:paraId="309728A2"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smjene MBO B </w:t>
            </w:r>
          </w:p>
        </w:tc>
        <w:tc>
          <w:tcPr>
            <w:tcW w:w="1377" w:type="dxa"/>
            <w:vAlign w:val="bottom"/>
          </w:tcPr>
          <w:p w14:paraId="31FEA120" w14:textId="653E379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10780D0A" w14:textId="1B9031B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6898E5E3" w14:textId="79B87C17"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3</w:t>
            </w:r>
          </w:p>
        </w:tc>
        <w:tc>
          <w:tcPr>
            <w:tcW w:w="1377" w:type="dxa"/>
            <w:vAlign w:val="bottom"/>
          </w:tcPr>
          <w:p w14:paraId="4CB82A94" w14:textId="2878DC33"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3</w:t>
            </w:r>
          </w:p>
        </w:tc>
      </w:tr>
      <w:tr w:rsidR="00520038" w:rsidRPr="00A4762A" w14:paraId="62EAF2E3" w14:textId="77777777" w:rsidTr="00520038">
        <w:trPr>
          <w:trHeight w:val="283"/>
        </w:trPr>
        <w:tc>
          <w:tcPr>
            <w:tcW w:w="730" w:type="dxa"/>
            <w:vAlign w:val="bottom"/>
          </w:tcPr>
          <w:p w14:paraId="32F5B752"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16 </w:t>
            </w:r>
          </w:p>
        </w:tc>
        <w:tc>
          <w:tcPr>
            <w:tcW w:w="3214" w:type="dxa"/>
            <w:vAlign w:val="bottom"/>
          </w:tcPr>
          <w:p w14:paraId="178681E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odlagališta </w:t>
            </w:r>
          </w:p>
        </w:tc>
        <w:tc>
          <w:tcPr>
            <w:tcW w:w="1377" w:type="dxa"/>
            <w:vAlign w:val="bottom"/>
          </w:tcPr>
          <w:p w14:paraId="1E3369B2" w14:textId="20C5530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356A8A29" w14:textId="30CC810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3431F16" w14:textId="1C36E7AC"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10C60D0" w14:textId="3AE6F394"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6F3E9A46" w14:textId="77777777" w:rsidTr="00520038">
        <w:trPr>
          <w:trHeight w:val="283"/>
        </w:trPr>
        <w:tc>
          <w:tcPr>
            <w:tcW w:w="730" w:type="dxa"/>
            <w:vAlign w:val="bottom"/>
          </w:tcPr>
          <w:p w14:paraId="6A74DAC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17 </w:t>
            </w:r>
          </w:p>
        </w:tc>
        <w:tc>
          <w:tcPr>
            <w:tcW w:w="3214" w:type="dxa"/>
            <w:vAlign w:val="bottom"/>
          </w:tcPr>
          <w:p w14:paraId="1FFB2A11"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plina </w:t>
            </w:r>
          </w:p>
        </w:tc>
        <w:tc>
          <w:tcPr>
            <w:tcW w:w="1377" w:type="dxa"/>
            <w:vAlign w:val="bottom"/>
          </w:tcPr>
          <w:p w14:paraId="0189931D" w14:textId="35226A4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5DD7736" w14:textId="2F7B48AF"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C330485" w14:textId="46C3FDD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C41469B" w14:textId="13AEAAE7"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08B382DE" w14:textId="77777777" w:rsidTr="00520038">
        <w:trPr>
          <w:trHeight w:val="283"/>
        </w:trPr>
        <w:tc>
          <w:tcPr>
            <w:tcW w:w="730" w:type="dxa"/>
            <w:vAlign w:val="bottom"/>
          </w:tcPr>
          <w:p w14:paraId="4FB153E8"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18 </w:t>
            </w:r>
          </w:p>
        </w:tc>
        <w:tc>
          <w:tcPr>
            <w:tcW w:w="3214" w:type="dxa"/>
            <w:vAlign w:val="bottom"/>
          </w:tcPr>
          <w:p w14:paraId="60ECDB72"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UPOV-a </w:t>
            </w:r>
          </w:p>
        </w:tc>
        <w:tc>
          <w:tcPr>
            <w:tcW w:w="1377" w:type="dxa"/>
            <w:vAlign w:val="bottom"/>
          </w:tcPr>
          <w:p w14:paraId="79ABA164" w14:textId="4216F76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85B78A2" w14:textId="54CD9CF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82FA9B4" w14:textId="06D1BD8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78E49D6" w14:textId="6BBEB850"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22D735DE" w14:textId="77777777" w:rsidTr="00520038">
        <w:trPr>
          <w:trHeight w:val="283"/>
        </w:trPr>
        <w:tc>
          <w:tcPr>
            <w:tcW w:w="730" w:type="dxa"/>
            <w:vAlign w:val="bottom"/>
          </w:tcPr>
          <w:p w14:paraId="69B0363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19 </w:t>
            </w:r>
          </w:p>
        </w:tc>
        <w:tc>
          <w:tcPr>
            <w:tcW w:w="3214" w:type="dxa"/>
            <w:vAlign w:val="bottom"/>
          </w:tcPr>
          <w:p w14:paraId="281DE030"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Održavanja/Elektroničar </w:t>
            </w:r>
          </w:p>
        </w:tc>
        <w:tc>
          <w:tcPr>
            <w:tcW w:w="1377" w:type="dxa"/>
            <w:vAlign w:val="bottom"/>
          </w:tcPr>
          <w:p w14:paraId="1D2E47FD" w14:textId="5355D13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38C7161" w14:textId="640F080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DE6601F" w14:textId="320CA77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A023C7C" w14:textId="24BE495D"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0</w:t>
            </w:r>
          </w:p>
        </w:tc>
      </w:tr>
      <w:tr w:rsidR="00520038" w:rsidRPr="00A4762A" w14:paraId="4829CD2E" w14:textId="77777777" w:rsidTr="00520038">
        <w:trPr>
          <w:trHeight w:val="283"/>
        </w:trPr>
        <w:tc>
          <w:tcPr>
            <w:tcW w:w="730" w:type="dxa"/>
            <w:vAlign w:val="bottom"/>
          </w:tcPr>
          <w:p w14:paraId="353A50C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20 </w:t>
            </w:r>
          </w:p>
        </w:tc>
        <w:tc>
          <w:tcPr>
            <w:tcW w:w="3214" w:type="dxa"/>
            <w:vAlign w:val="bottom"/>
          </w:tcPr>
          <w:p w14:paraId="193AA96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Glavni laborant </w:t>
            </w:r>
          </w:p>
        </w:tc>
        <w:tc>
          <w:tcPr>
            <w:tcW w:w="1377" w:type="dxa"/>
            <w:vAlign w:val="bottom"/>
          </w:tcPr>
          <w:p w14:paraId="7A82BC72" w14:textId="34EBFC6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484594E" w14:textId="52C6D8DF"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462AA6C" w14:textId="4DEADA8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3830EE11" w14:textId="7EE2025D"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366B20DA" w14:textId="77777777" w:rsidTr="00520038">
        <w:trPr>
          <w:trHeight w:val="283"/>
        </w:trPr>
        <w:tc>
          <w:tcPr>
            <w:tcW w:w="730" w:type="dxa"/>
            <w:vAlign w:val="bottom"/>
          </w:tcPr>
          <w:p w14:paraId="06B130BC"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21 </w:t>
            </w:r>
          </w:p>
        </w:tc>
        <w:tc>
          <w:tcPr>
            <w:tcW w:w="3214" w:type="dxa"/>
            <w:vAlign w:val="bottom"/>
          </w:tcPr>
          <w:p w14:paraId="56A759A9"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Inženjer zaštite na radu </w:t>
            </w:r>
          </w:p>
        </w:tc>
        <w:tc>
          <w:tcPr>
            <w:tcW w:w="1377" w:type="dxa"/>
            <w:vAlign w:val="bottom"/>
          </w:tcPr>
          <w:p w14:paraId="6D279F87" w14:textId="692FE596"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41FF6E8" w14:textId="08A1BF8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94FD54E" w14:textId="1B9E328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6B705EE" w14:textId="7F8A7F95"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2CB4198D" w14:textId="77777777" w:rsidTr="00520038">
        <w:trPr>
          <w:trHeight w:val="283"/>
        </w:trPr>
        <w:tc>
          <w:tcPr>
            <w:tcW w:w="730" w:type="dxa"/>
            <w:vAlign w:val="bottom"/>
          </w:tcPr>
          <w:p w14:paraId="46D8172C"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22 </w:t>
            </w:r>
          </w:p>
        </w:tc>
        <w:tc>
          <w:tcPr>
            <w:tcW w:w="3214" w:type="dxa"/>
            <w:vAlign w:val="bottom"/>
          </w:tcPr>
          <w:p w14:paraId="6AFDD3D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Inženjer zaštite okoliša </w:t>
            </w:r>
          </w:p>
        </w:tc>
        <w:tc>
          <w:tcPr>
            <w:tcW w:w="1377" w:type="dxa"/>
            <w:vAlign w:val="bottom"/>
          </w:tcPr>
          <w:p w14:paraId="26B5C02B" w14:textId="5B68F84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59A0744" w14:textId="57353D3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11586C9" w14:textId="3BF007B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1E080A5" w14:textId="084DB924"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1687880B" w14:textId="77777777" w:rsidTr="00520038">
        <w:trPr>
          <w:trHeight w:val="283"/>
        </w:trPr>
        <w:tc>
          <w:tcPr>
            <w:tcW w:w="730" w:type="dxa"/>
            <w:vAlign w:val="bottom"/>
          </w:tcPr>
          <w:p w14:paraId="1445075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23 </w:t>
            </w:r>
          </w:p>
        </w:tc>
        <w:tc>
          <w:tcPr>
            <w:tcW w:w="3214" w:type="dxa"/>
            <w:vAlign w:val="bottom"/>
          </w:tcPr>
          <w:p w14:paraId="3738967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Savjetnik za upravljanje i održ. odlagališta </w:t>
            </w:r>
          </w:p>
        </w:tc>
        <w:tc>
          <w:tcPr>
            <w:tcW w:w="1377" w:type="dxa"/>
            <w:vAlign w:val="bottom"/>
          </w:tcPr>
          <w:p w14:paraId="10F1FE1F" w14:textId="0BACC29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EAEB465" w14:textId="3CDED2D0"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F4B44F4" w14:textId="7CBDF51F"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5A142AD" w14:textId="082BBF12"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754461B7" w14:textId="77777777" w:rsidTr="00520038">
        <w:trPr>
          <w:trHeight w:val="283"/>
        </w:trPr>
        <w:tc>
          <w:tcPr>
            <w:tcW w:w="730" w:type="dxa"/>
            <w:vAlign w:val="bottom"/>
          </w:tcPr>
          <w:p w14:paraId="687AD361"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24 </w:t>
            </w:r>
          </w:p>
        </w:tc>
        <w:tc>
          <w:tcPr>
            <w:tcW w:w="3214" w:type="dxa"/>
            <w:vAlign w:val="bottom"/>
          </w:tcPr>
          <w:p w14:paraId="4B0C11B8"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poslova informatike </w:t>
            </w:r>
          </w:p>
        </w:tc>
        <w:tc>
          <w:tcPr>
            <w:tcW w:w="1377" w:type="dxa"/>
            <w:vAlign w:val="bottom"/>
          </w:tcPr>
          <w:p w14:paraId="2910A5BF" w14:textId="6D8D6DFF"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EB36B6C" w14:textId="562CE9FD"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42D02AC" w14:textId="2EFC721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0DCC64D1" w14:textId="3E768C3C"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051AF345" w14:textId="77777777" w:rsidTr="00520038">
        <w:trPr>
          <w:trHeight w:val="283"/>
        </w:trPr>
        <w:tc>
          <w:tcPr>
            <w:tcW w:w="730" w:type="dxa"/>
            <w:vAlign w:val="bottom"/>
          </w:tcPr>
          <w:p w14:paraId="5B65A7BC"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25 </w:t>
            </w:r>
          </w:p>
        </w:tc>
        <w:tc>
          <w:tcPr>
            <w:tcW w:w="3214" w:type="dxa"/>
            <w:vAlign w:val="bottom"/>
          </w:tcPr>
          <w:p w14:paraId="65E0B3AE"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poslova financijske operative </w:t>
            </w:r>
          </w:p>
        </w:tc>
        <w:tc>
          <w:tcPr>
            <w:tcW w:w="1377" w:type="dxa"/>
            <w:vAlign w:val="bottom"/>
          </w:tcPr>
          <w:p w14:paraId="785A18FD" w14:textId="3573DA1E"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0</w:t>
            </w:r>
          </w:p>
        </w:tc>
        <w:tc>
          <w:tcPr>
            <w:tcW w:w="1377" w:type="dxa"/>
            <w:vAlign w:val="bottom"/>
          </w:tcPr>
          <w:p w14:paraId="337D88A3" w14:textId="2AA7983D"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0</w:t>
            </w:r>
          </w:p>
        </w:tc>
        <w:tc>
          <w:tcPr>
            <w:tcW w:w="1377" w:type="dxa"/>
            <w:vAlign w:val="bottom"/>
          </w:tcPr>
          <w:p w14:paraId="71EFB040" w14:textId="5267BF64"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0</w:t>
            </w:r>
          </w:p>
        </w:tc>
        <w:tc>
          <w:tcPr>
            <w:tcW w:w="1377" w:type="dxa"/>
            <w:vAlign w:val="bottom"/>
          </w:tcPr>
          <w:p w14:paraId="13497BB1" w14:textId="66098EA6"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0</w:t>
            </w:r>
          </w:p>
        </w:tc>
      </w:tr>
      <w:tr w:rsidR="00520038" w:rsidRPr="00A4762A" w14:paraId="68AE1755" w14:textId="77777777" w:rsidTr="00520038">
        <w:trPr>
          <w:trHeight w:val="283"/>
        </w:trPr>
        <w:tc>
          <w:tcPr>
            <w:tcW w:w="730" w:type="dxa"/>
            <w:vAlign w:val="bottom"/>
          </w:tcPr>
          <w:p w14:paraId="75F359DB"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26 </w:t>
            </w:r>
          </w:p>
        </w:tc>
        <w:tc>
          <w:tcPr>
            <w:tcW w:w="3214" w:type="dxa"/>
            <w:vAlign w:val="bottom"/>
          </w:tcPr>
          <w:p w14:paraId="13CB24D1"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Računovođa </w:t>
            </w:r>
          </w:p>
        </w:tc>
        <w:tc>
          <w:tcPr>
            <w:tcW w:w="1377" w:type="dxa"/>
            <w:vAlign w:val="bottom"/>
          </w:tcPr>
          <w:p w14:paraId="73501BF2" w14:textId="3103D2B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34D11B1" w14:textId="06949DB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EAC9A08" w14:textId="4FEEA42C"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E9DD981" w14:textId="2249F7C2"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2A06D865" w14:textId="77777777" w:rsidTr="00520038">
        <w:trPr>
          <w:trHeight w:val="283"/>
        </w:trPr>
        <w:tc>
          <w:tcPr>
            <w:tcW w:w="730" w:type="dxa"/>
            <w:vAlign w:val="bottom"/>
          </w:tcPr>
          <w:p w14:paraId="79C2002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27 </w:t>
            </w:r>
          </w:p>
        </w:tc>
        <w:tc>
          <w:tcPr>
            <w:tcW w:w="3214" w:type="dxa"/>
            <w:vAlign w:val="bottom"/>
          </w:tcPr>
          <w:p w14:paraId="228DB88F"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poslova nabave </w:t>
            </w:r>
          </w:p>
        </w:tc>
        <w:tc>
          <w:tcPr>
            <w:tcW w:w="1377" w:type="dxa"/>
            <w:vAlign w:val="bottom"/>
          </w:tcPr>
          <w:p w14:paraId="31EE0351" w14:textId="7D435FB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3020B34" w14:textId="7B7AA47E"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0747606" w14:textId="0B6C2AE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EE09D7F" w14:textId="423A6741"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3ED514FC" w14:textId="77777777" w:rsidTr="00520038">
        <w:trPr>
          <w:trHeight w:val="283"/>
        </w:trPr>
        <w:tc>
          <w:tcPr>
            <w:tcW w:w="730" w:type="dxa"/>
            <w:vAlign w:val="bottom"/>
          </w:tcPr>
          <w:p w14:paraId="63A86A90"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28 </w:t>
            </w:r>
          </w:p>
        </w:tc>
        <w:tc>
          <w:tcPr>
            <w:tcW w:w="3214" w:type="dxa"/>
            <w:vAlign w:val="bottom"/>
          </w:tcPr>
          <w:p w14:paraId="4F0D0847"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Voditelj pravnih i kadrovskih poslova </w:t>
            </w:r>
          </w:p>
        </w:tc>
        <w:tc>
          <w:tcPr>
            <w:tcW w:w="1377" w:type="dxa"/>
            <w:vAlign w:val="bottom"/>
          </w:tcPr>
          <w:p w14:paraId="42037032" w14:textId="4194E57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8F4174B" w14:textId="5E1E92C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72E45A7" w14:textId="1AA19685"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532F45A" w14:textId="6DF58FFE"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70D6737F" w14:textId="77777777" w:rsidTr="00520038">
        <w:trPr>
          <w:trHeight w:val="283"/>
        </w:trPr>
        <w:tc>
          <w:tcPr>
            <w:tcW w:w="730" w:type="dxa"/>
            <w:vAlign w:val="bottom"/>
          </w:tcPr>
          <w:p w14:paraId="0F92DDCB"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29 </w:t>
            </w:r>
          </w:p>
        </w:tc>
        <w:tc>
          <w:tcPr>
            <w:tcW w:w="3214" w:type="dxa"/>
            <w:vAlign w:val="bottom"/>
          </w:tcPr>
          <w:p w14:paraId="10536AD9"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Rukovoditelj prihvata </w:t>
            </w:r>
          </w:p>
        </w:tc>
        <w:tc>
          <w:tcPr>
            <w:tcW w:w="1377" w:type="dxa"/>
            <w:vAlign w:val="bottom"/>
          </w:tcPr>
          <w:p w14:paraId="6B36BFDA" w14:textId="5EA93C5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E6AF0CD" w14:textId="30BFB486"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7A4C3CF" w14:textId="6F168090"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6F8C625" w14:textId="69EA8AB4"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0979D6D2" w14:textId="77777777" w:rsidTr="00520038">
        <w:trPr>
          <w:trHeight w:val="283"/>
        </w:trPr>
        <w:tc>
          <w:tcPr>
            <w:tcW w:w="730" w:type="dxa"/>
            <w:vAlign w:val="bottom"/>
          </w:tcPr>
          <w:p w14:paraId="6E19CB37"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30 </w:t>
            </w:r>
          </w:p>
        </w:tc>
        <w:tc>
          <w:tcPr>
            <w:tcW w:w="3214" w:type="dxa"/>
            <w:vAlign w:val="bottom"/>
          </w:tcPr>
          <w:p w14:paraId="6E95F563"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Rukovoditelj Voda i plin </w:t>
            </w:r>
          </w:p>
        </w:tc>
        <w:tc>
          <w:tcPr>
            <w:tcW w:w="1377" w:type="dxa"/>
            <w:vAlign w:val="bottom"/>
          </w:tcPr>
          <w:p w14:paraId="09F3D346" w14:textId="2C152582"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9FCE517" w14:textId="13F8C72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5ED9A32" w14:textId="70874725"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74126CA" w14:textId="6428A97B"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53564213" w14:textId="77777777" w:rsidTr="00520038">
        <w:trPr>
          <w:trHeight w:val="283"/>
        </w:trPr>
        <w:tc>
          <w:tcPr>
            <w:tcW w:w="730" w:type="dxa"/>
            <w:vAlign w:val="bottom"/>
          </w:tcPr>
          <w:p w14:paraId="2232FC0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31 </w:t>
            </w:r>
          </w:p>
        </w:tc>
        <w:tc>
          <w:tcPr>
            <w:tcW w:w="3214" w:type="dxa"/>
            <w:vAlign w:val="bottom"/>
          </w:tcPr>
          <w:p w14:paraId="18FC3652"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Rukovoditelj Održavanja </w:t>
            </w:r>
          </w:p>
        </w:tc>
        <w:tc>
          <w:tcPr>
            <w:tcW w:w="1377" w:type="dxa"/>
            <w:vAlign w:val="bottom"/>
          </w:tcPr>
          <w:p w14:paraId="1EBCB917" w14:textId="5EF02506"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9155DE7" w14:textId="6D869AA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3C049BF" w14:textId="6E18E103"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12DA14A2" w14:textId="1A373BA7"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144EFC74" w14:textId="77777777" w:rsidTr="00520038">
        <w:trPr>
          <w:trHeight w:val="283"/>
        </w:trPr>
        <w:tc>
          <w:tcPr>
            <w:tcW w:w="730" w:type="dxa"/>
            <w:vAlign w:val="bottom"/>
          </w:tcPr>
          <w:p w14:paraId="2F31A7B9"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32 </w:t>
            </w:r>
          </w:p>
        </w:tc>
        <w:tc>
          <w:tcPr>
            <w:tcW w:w="3214" w:type="dxa"/>
            <w:vAlign w:val="bottom"/>
          </w:tcPr>
          <w:p w14:paraId="1EFC2F5D"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Rukovoditelj rač, financije i nabava </w:t>
            </w:r>
          </w:p>
        </w:tc>
        <w:tc>
          <w:tcPr>
            <w:tcW w:w="1377" w:type="dxa"/>
            <w:vAlign w:val="bottom"/>
          </w:tcPr>
          <w:p w14:paraId="4BB1BD61" w14:textId="72D65C08"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CBB0DB9" w14:textId="1AACAADB"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2F0A6A18" w14:textId="7F3D80DC"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3D94E62C" w14:textId="196197C6"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681EC10B" w14:textId="77777777" w:rsidTr="00520038">
        <w:trPr>
          <w:trHeight w:val="283"/>
        </w:trPr>
        <w:tc>
          <w:tcPr>
            <w:tcW w:w="730" w:type="dxa"/>
            <w:vAlign w:val="bottom"/>
          </w:tcPr>
          <w:p w14:paraId="3537B925"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33 </w:t>
            </w:r>
          </w:p>
        </w:tc>
        <w:tc>
          <w:tcPr>
            <w:tcW w:w="3214" w:type="dxa"/>
            <w:vAlign w:val="bottom"/>
          </w:tcPr>
          <w:p w14:paraId="35C69377"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Rukovoditelj MBO/Odlagalište </w:t>
            </w:r>
          </w:p>
        </w:tc>
        <w:tc>
          <w:tcPr>
            <w:tcW w:w="1377" w:type="dxa"/>
            <w:vAlign w:val="bottom"/>
          </w:tcPr>
          <w:p w14:paraId="1E13F999" w14:textId="6AFF880C"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7F5B335A" w14:textId="438F4D2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8CDFC8D" w14:textId="116CA77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15EACFA" w14:textId="58AACFCD"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65E319ED" w14:textId="77777777" w:rsidTr="00520038">
        <w:trPr>
          <w:trHeight w:val="283"/>
        </w:trPr>
        <w:tc>
          <w:tcPr>
            <w:tcW w:w="730" w:type="dxa"/>
            <w:vAlign w:val="bottom"/>
          </w:tcPr>
          <w:p w14:paraId="7EE0B51C"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34 </w:t>
            </w:r>
          </w:p>
        </w:tc>
        <w:tc>
          <w:tcPr>
            <w:tcW w:w="3214" w:type="dxa"/>
            <w:vAlign w:val="bottom"/>
          </w:tcPr>
          <w:p w14:paraId="0D90E584"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color w:val="auto"/>
                <w:sz w:val="18"/>
                <w:szCs w:val="18"/>
              </w:rPr>
              <w:t xml:space="preserve">Tehnički rukovoditelj Centra </w:t>
            </w:r>
          </w:p>
        </w:tc>
        <w:tc>
          <w:tcPr>
            <w:tcW w:w="1377" w:type="dxa"/>
            <w:vAlign w:val="bottom"/>
          </w:tcPr>
          <w:p w14:paraId="0AC1B3A0" w14:textId="1DA4C76C"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4414BD38" w14:textId="290C7C49"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6AABDABE" w14:textId="6D7C827A"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color w:val="auto"/>
                <w:sz w:val="18"/>
                <w:szCs w:val="18"/>
              </w:rPr>
              <w:t>1</w:t>
            </w:r>
          </w:p>
        </w:tc>
        <w:tc>
          <w:tcPr>
            <w:tcW w:w="1377" w:type="dxa"/>
            <w:vAlign w:val="bottom"/>
          </w:tcPr>
          <w:p w14:paraId="5DF39D36" w14:textId="77410A95" w:rsidR="00520038" w:rsidRPr="00520038" w:rsidRDefault="00520038" w:rsidP="00520038">
            <w:pPr>
              <w:pStyle w:val="Default"/>
              <w:spacing w:before="120"/>
              <w:ind w:left="57"/>
              <w:jc w:val="center"/>
              <w:rPr>
                <w:rFonts w:asciiTheme="minorHAnsi" w:hAnsiTheme="minorHAnsi" w:cstheme="minorHAnsi"/>
                <w:color w:val="000000" w:themeColor="text1"/>
                <w:sz w:val="18"/>
                <w:szCs w:val="18"/>
              </w:rPr>
            </w:pPr>
            <w:r w:rsidRPr="00520038">
              <w:rPr>
                <w:rFonts w:asciiTheme="minorHAnsi" w:hAnsiTheme="minorHAnsi" w:cstheme="minorHAnsi"/>
                <w:color w:val="000000" w:themeColor="text1"/>
                <w:sz w:val="18"/>
                <w:szCs w:val="18"/>
              </w:rPr>
              <w:t>1</w:t>
            </w:r>
          </w:p>
        </w:tc>
      </w:tr>
      <w:tr w:rsidR="00520038" w:rsidRPr="00A4762A" w14:paraId="4C57089A" w14:textId="77777777" w:rsidTr="00520038">
        <w:trPr>
          <w:trHeight w:val="283"/>
        </w:trPr>
        <w:tc>
          <w:tcPr>
            <w:tcW w:w="730" w:type="dxa"/>
            <w:vAlign w:val="bottom"/>
          </w:tcPr>
          <w:p w14:paraId="546675DC" w14:textId="77777777" w:rsidR="00520038" w:rsidRPr="00A4762A" w:rsidRDefault="00520038" w:rsidP="00520038">
            <w:pPr>
              <w:pStyle w:val="Default"/>
              <w:spacing w:before="120"/>
              <w:ind w:left="57"/>
              <w:rPr>
                <w:rFonts w:asciiTheme="minorHAnsi" w:hAnsiTheme="minorHAnsi" w:cstheme="minorHAnsi"/>
                <w:color w:val="FF0000"/>
                <w:sz w:val="18"/>
                <w:szCs w:val="18"/>
              </w:rPr>
            </w:pPr>
          </w:p>
        </w:tc>
        <w:tc>
          <w:tcPr>
            <w:tcW w:w="3214" w:type="dxa"/>
            <w:vAlign w:val="bottom"/>
          </w:tcPr>
          <w:p w14:paraId="79C44DD0" w14:textId="77777777" w:rsidR="00520038" w:rsidRPr="00A4762A" w:rsidRDefault="00520038" w:rsidP="00520038">
            <w:pPr>
              <w:pStyle w:val="Default"/>
              <w:spacing w:before="120"/>
              <w:ind w:left="57"/>
              <w:rPr>
                <w:rFonts w:asciiTheme="minorHAnsi" w:hAnsiTheme="minorHAnsi" w:cstheme="minorHAnsi"/>
                <w:color w:val="FF0000"/>
                <w:sz w:val="18"/>
                <w:szCs w:val="18"/>
              </w:rPr>
            </w:pPr>
            <w:r w:rsidRPr="00A60167">
              <w:rPr>
                <w:rFonts w:asciiTheme="minorHAnsi" w:hAnsiTheme="minorHAnsi" w:cstheme="minorHAnsi"/>
                <w:b/>
                <w:bCs/>
                <w:color w:val="auto"/>
                <w:sz w:val="18"/>
                <w:szCs w:val="18"/>
              </w:rPr>
              <w:t>UKUPNO</w:t>
            </w:r>
          </w:p>
        </w:tc>
        <w:tc>
          <w:tcPr>
            <w:tcW w:w="1377" w:type="dxa"/>
            <w:vAlign w:val="bottom"/>
          </w:tcPr>
          <w:p w14:paraId="7AEA1D0B" w14:textId="52F0C001"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b/>
                <w:bCs/>
                <w:color w:val="auto"/>
                <w:sz w:val="18"/>
                <w:szCs w:val="18"/>
              </w:rPr>
              <w:t>63</w:t>
            </w:r>
          </w:p>
        </w:tc>
        <w:tc>
          <w:tcPr>
            <w:tcW w:w="1377" w:type="dxa"/>
            <w:vAlign w:val="bottom"/>
          </w:tcPr>
          <w:p w14:paraId="02693233" w14:textId="7CD8D6ED"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b/>
                <w:bCs/>
                <w:color w:val="auto"/>
                <w:sz w:val="18"/>
                <w:szCs w:val="18"/>
              </w:rPr>
              <w:t>63</w:t>
            </w:r>
          </w:p>
        </w:tc>
        <w:tc>
          <w:tcPr>
            <w:tcW w:w="1377" w:type="dxa"/>
            <w:vAlign w:val="bottom"/>
          </w:tcPr>
          <w:p w14:paraId="18B7841B" w14:textId="7401A790" w:rsidR="00520038" w:rsidRPr="00520038" w:rsidRDefault="00520038" w:rsidP="00520038">
            <w:pPr>
              <w:pStyle w:val="Default"/>
              <w:spacing w:before="120"/>
              <w:ind w:left="57"/>
              <w:jc w:val="center"/>
              <w:rPr>
                <w:rFonts w:asciiTheme="minorHAnsi" w:hAnsiTheme="minorHAnsi" w:cstheme="minorHAnsi"/>
                <w:color w:val="FF0000"/>
                <w:sz w:val="18"/>
                <w:szCs w:val="18"/>
              </w:rPr>
            </w:pPr>
            <w:r w:rsidRPr="00520038">
              <w:rPr>
                <w:rFonts w:asciiTheme="minorHAnsi" w:hAnsiTheme="minorHAnsi" w:cstheme="minorHAnsi"/>
                <w:b/>
                <w:bCs/>
                <w:color w:val="auto"/>
                <w:sz w:val="18"/>
                <w:szCs w:val="18"/>
              </w:rPr>
              <w:t>65</w:t>
            </w:r>
          </w:p>
        </w:tc>
        <w:tc>
          <w:tcPr>
            <w:tcW w:w="1377" w:type="dxa"/>
            <w:vAlign w:val="bottom"/>
          </w:tcPr>
          <w:p w14:paraId="5353AE6A" w14:textId="7F36DD02" w:rsidR="00520038" w:rsidRPr="00520038" w:rsidRDefault="00520038" w:rsidP="00520038">
            <w:pPr>
              <w:pStyle w:val="Default"/>
              <w:spacing w:before="120"/>
              <w:ind w:left="57"/>
              <w:jc w:val="center"/>
              <w:rPr>
                <w:rFonts w:asciiTheme="minorHAnsi" w:hAnsiTheme="minorHAnsi" w:cstheme="minorHAnsi"/>
                <w:b/>
                <w:bCs/>
                <w:color w:val="000000" w:themeColor="text1"/>
                <w:sz w:val="18"/>
                <w:szCs w:val="18"/>
              </w:rPr>
            </w:pPr>
            <w:r w:rsidRPr="00520038">
              <w:rPr>
                <w:rFonts w:asciiTheme="minorHAnsi" w:hAnsiTheme="minorHAnsi" w:cstheme="minorHAnsi"/>
                <w:b/>
                <w:bCs/>
                <w:color w:val="000000" w:themeColor="text1"/>
                <w:sz w:val="18"/>
                <w:szCs w:val="18"/>
              </w:rPr>
              <w:t>60</w:t>
            </w:r>
          </w:p>
        </w:tc>
      </w:tr>
    </w:tbl>
    <w:p w14:paraId="15615AAF" w14:textId="77777777" w:rsidR="00B10146" w:rsidRPr="00B10146" w:rsidRDefault="00B10146" w:rsidP="00B10146"/>
    <w:p w14:paraId="2B835E72" w14:textId="44128B5E" w:rsidR="00A66CE6" w:rsidRPr="0024645F" w:rsidRDefault="00A66CE6" w:rsidP="000F6564">
      <w:pPr>
        <w:rPr>
          <w:rFonts w:eastAsia="Times New Roman" w:cstheme="minorHAnsi"/>
          <w:sz w:val="18"/>
          <w:szCs w:val="18"/>
        </w:rPr>
        <w:sectPr w:rsidR="00A66CE6" w:rsidRPr="0024645F" w:rsidSect="00F567D0">
          <w:footerReference w:type="default" r:id="rId17"/>
          <w:footerReference w:type="first" r:id="rId18"/>
          <w:pgSz w:w="11906" w:h="16838" w:code="9"/>
          <w:pgMar w:top="1418" w:right="1418" w:bottom="1418" w:left="1134" w:header="709" w:footer="709" w:gutter="0"/>
          <w:cols w:space="708"/>
          <w:titlePg/>
          <w:docGrid w:linePitch="360"/>
        </w:sectPr>
      </w:pPr>
    </w:p>
    <w:p w14:paraId="0DC94059" w14:textId="4648200B" w:rsidR="00A61EC0" w:rsidRPr="00BF1B9A" w:rsidRDefault="004C038D" w:rsidP="00344E76">
      <w:pPr>
        <w:pStyle w:val="Heading2"/>
      </w:pPr>
      <w:bookmarkStart w:id="46" w:name="_Toc200094282"/>
      <w:r w:rsidRPr="00BF1B9A">
        <w:lastRenderedPageBreak/>
        <w:t>2.2. Prikaz iskorištenosti radnog vremena u satima za 2</w:t>
      </w:r>
      <w:r w:rsidR="00411A4D" w:rsidRPr="00BF1B9A">
        <w:t>02</w:t>
      </w:r>
      <w:r w:rsidR="00EF3CE2">
        <w:t>4</w:t>
      </w:r>
      <w:r w:rsidRPr="00BF1B9A">
        <w:t>. godinu</w:t>
      </w:r>
      <w:bookmarkEnd w:id="46"/>
    </w:p>
    <w:p w14:paraId="7F107B74" w14:textId="365D043B" w:rsidR="0090639F" w:rsidRPr="007E6F51" w:rsidRDefault="0090639F" w:rsidP="0090639F">
      <w:pPr>
        <w:rPr>
          <w:b/>
          <w:bCs/>
          <w:color w:val="FF0000"/>
        </w:rPr>
      </w:pPr>
    </w:p>
    <w:p w14:paraId="7185C3D3" w14:textId="6EAA5BA4" w:rsidR="00B64DC8" w:rsidRPr="00840E6B" w:rsidRDefault="00B64DC8" w:rsidP="00840E6B">
      <w:pPr>
        <w:pStyle w:val="Caption"/>
        <w:keepNext/>
        <w:spacing w:after="240"/>
        <w:rPr>
          <w:rFonts w:asciiTheme="minorHAnsi" w:hAnsiTheme="minorHAnsi" w:cstheme="minorHAnsi"/>
          <w:sz w:val="22"/>
          <w:szCs w:val="22"/>
        </w:rPr>
      </w:pPr>
      <w:bookmarkStart w:id="47" w:name="_Toc200366452"/>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14</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Iskorištenost radnog vremena u satima</w:t>
      </w:r>
      <w:bookmarkEnd w:id="47"/>
    </w:p>
    <w:tbl>
      <w:tblPr>
        <w:tblW w:w="963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14"/>
        <w:gridCol w:w="1417"/>
        <w:gridCol w:w="1417"/>
        <w:gridCol w:w="1417"/>
        <w:gridCol w:w="1134"/>
        <w:gridCol w:w="1134"/>
      </w:tblGrid>
      <w:tr w:rsidR="001D241A" w:rsidRPr="001D241A" w14:paraId="770A5EFF" w14:textId="77777777" w:rsidTr="00E9713D">
        <w:trPr>
          <w:trHeight w:val="554"/>
        </w:trPr>
        <w:tc>
          <w:tcPr>
            <w:tcW w:w="3114" w:type="dxa"/>
            <w:tcBorders>
              <w:top w:val="single" w:sz="4" w:space="0" w:color="auto"/>
              <w:bottom w:val="single" w:sz="4" w:space="0" w:color="auto"/>
            </w:tcBorders>
            <w:shd w:val="clear" w:color="auto" w:fill="auto"/>
            <w:noWrap/>
            <w:vAlign w:val="center"/>
            <w:hideMark/>
          </w:tcPr>
          <w:p w14:paraId="0FA8B9AC" w14:textId="77777777" w:rsidR="001D241A" w:rsidRPr="001D241A" w:rsidRDefault="001D241A" w:rsidP="001D241A">
            <w:pPr>
              <w:spacing w:after="0" w:line="240" w:lineRule="auto"/>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Opis</w:t>
            </w:r>
          </w:p>
        </w:tc>
        <w:tc>
          <w:tcPr>
            <w:tcW w:w="1417" w:type="dxa"/>
            <w:tcBorders>
              <w:top w:val="single" w:sz="4" w:space="0" w:color="auto"/>
              <w:bottom w:val="single" w:sz="4" w:space="0" w:color="auto"/>
            </w:tcBorders>
            <w:shd w:val="clear" w:color="auto" w:fill="auto"/>
            <w:noWrap/>
            <w:vAlign w:val="center"/>
            <w:hideMark/>
          </w:tcPr>
          <w:p w14:paraId="56E7BC5F" w14:textId="19AB7223" w:rsidR="001D241A" w:rsidRPr="001D241A" w:rsidRDefault="001D241A" w:rsidP="001D241A">
            <w:pPr>
              <w:spacing w:after="0" w:line="240" w:lineRule="auto"/>
              <w:jc w:val="center"/>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202</w:t>
            </w:r>
            <w:r w:rsidR="00BE5D5A">
              <w:rPr>
                <w:rFonts w:eastAsia="Times New Roman" w:cstheme="minorHAnsi"/>
                <w:b/>
                <w:bCs/>
                <w:color w:val="000000"/>
                <w:sz w:val="18"/>
                <w:szCs w:val="18"/>
                <w:lang w:eastAsia="hr-HR"/>
              </w:rPr>
              <w:t>3</w:t>
            </w:r>
          </w:p>
        </w:tc>
        <w:tc>
          <w:tcPr>
            <w:tcW w:w="1417" w:type="dxa"/>
            <w:tcBorders>
              <w:top w:val="single" w:sz="4" w:space="0" w:color="auto"/>
              <w:bottom w:val="single" w:sz="4" w:space="0" w:color="auto"/>
            </w:tcBorders>
            <w:shd w:val="clear" w:color="auto" w:fill="auto"/>
            <w:noWrap/>
            <w:vAlign w:val="center"/>
            <w:hideMark/>
          </w:tcPr>
          <w:p w14:paraId="13326DE5" w14:textId="655C892D" w:rsidR="001D241A" w:rsidRPr="001D241A" w:rsidRDefault="001D241A" w:rsidP="001D241A">
            <w:pPr>
              <w:spacing w:after="0" w:line="240" w:lineRule="auto"/>
              <w:jc w:val="center"/>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202</w:t>
            </w:r>
            <w:r w:rsidR="00BE5D5A">
              <w:rPr>
                <w:rFonts w:eastAsia="Times New Roman" w:cstheme="minorHAnsi"/>
                <w:b/>
                <w:bCs/>
                <w:color w:val="000000"/>
                <w:sz w:val="18"/>
                <w:szCs w:val="18"/>
                <w:lang w:eastAsia="hr-HR"/>
              </w:rPr>
              <w:t>4</w:t>
            </w:r>
          </w:p>
        </w:tc>
        <w:tc>
          <w:tcPr>
            <w:tcW w:w="1417" w:type="dxa"/>
            <w:tcBorders>
              <w:top w:val="single" w:sz="4" w:space="0" w:color="auto"/>
              <w:bottom w:val="single" w:sz="4" w:space="0" w:color="auto"/>
            </w:tcBorders>
            <w:shd w:val="clear" w:color="auto" w:fill="auto"/>
            <w:vAlign w:val="center"/>
            <w:hideMark/>
          </w:tcPr>
          <w:p w14:paraId="10AE9474" w14:textId="77777777" w:rsidR="001D241A" w:rsidRPr="001D241A" w:rsidRDefault="001D241A" w:rsidP="001D241A">
            <w:pPr>
              <w:spacing w:after="0" w:line="240" w:lineRule="auto"/>
              <w:jc w:val="center"/>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Indeks (3/2)</w:t>
            </w:r>
          </w:p>
        </w:tc>
        <w:tc>
          <w:tcPr>
            <w:tcW w:w="1134" w:type="dxa"/>
            <w:tcBorders>
              <w:top w:val="single" w:sz="4" w:space="0" w:color="auto"/>
              <w:bottom w:val="single" w:sz="4" w:space="0" w:color="auto"/>
            </w:tcBorders>
            <w:shd w:val="clear" w:color="auto" w:fill="auto"/>
            <w:vAlign w:val="center"/>
            <w:hideMark/>
          </w:tcPr>
          <w:p w14:paraId="1481EAB4" w14:textId="5736F7C6" w:rsidR="001D241A" w:rsidRPr="001D241A" w:rsidRDefault="001D241A" w:rsidP="001D241A">
            <w:pPr>
              <w:spacing w:after="0" w:line="240" w:lineRule="auto"/>
              <w:jc w:val="center"/>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 Udjela u 202</w:t>
            </w:r>
            <w:r w:rsidR="00BE5D5A">
              <w:rPr>
                <w:rFonts w:eastAsia="Times New Roman" w:cstheme="minorHAnsi"/>
                <w:b/>
                <w:bCs/>
                <w:color w:val="000000"/>
                <w:sz w:val="18"/>
                <w:szCs w:val="18"/>
                <w:lang w:eastAsia="hr-HR"/>
              </w:rPr>
              <w:t>3</w:t>
            </w:r>
          </w:p>
        </w:tc>
        <w:tc>
          <w:tcPr>
            <w:tcW w:w="1134" w:type="dxa"/>
            <w:tcBorders>
              <w:top w:val="single" w:sz="4" w:space="0" w:color="auto"/>
              <w:bottom w:val="single" w:sz="4" w:space="0" w:color="auto"/>
            </w:tcBorders>
            <w:shd w:val="clear" w:color="auto" w:fill="auto"/>
            <w:vAlign w:val="center"/>
            <w:hideMark/>
          </w:tcPr>
          <w:p w14:paraId="5715B695" w14:textId="75381076" w:rsidR="001D241A" w:rsidRPr="001D241A" w:rsidRDefault="001D241A" w:rsidP="001D241A">
            <w:pPr>
              <w:spacing w:after="0" w:line="240" w:lineRule="auto"/>
              <w:jc w:val="center"/>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 Udjela u 202</w:t>
            </w:r>
            <w:r w:rsidR="00BE5D5A">
              <w:rPr>
                <w:rFonts w:eastAsia="Times New Roman" w:cstheme="minorHAnsi"/>
                <w:b/>
                <w:bCs/>
                <w:color w:val="000000"/>
                <w:sz w:val="18"/>
                <w:szCs w:val="18"/>
                <w:lang w:eastAsia="hr-HR"/>
              </w:rPr>
              <w:t>4</w:t>
            </w:r>
          </w:p>
        </w:tc>
      </w:tr>
      <w:tr w:rsidR="001D241A" w:rsidRPr="001D241A" w14:paraId="78C78337" w14:textId="77777777" w:rsidTr="00E9713D">
        <w:trPr>
          <w:trHeight w:val="156"/>
        </w:trPr>
        <w:tc>
          <w:tcPr>
            <w:tcW w:w="3114" w:type="dxa"/>
            <w:tcBorders>
              <w:top w:val="single" w:sz="4" w:space="0" w:color="auto"/>
              <w:bottom w:val="single" w:sz="4" w:space="0" w:color="auto"/>
            </w:tcBorders>
            <w:shd w:val="clear" w:color="auto" w:fill="auto"/>
            <w:noWrap/>
            <w:vAlign w:val="center"/>
            <w:hideMark/>
          </w:tcPr>
          <w:p w14:paraId="63EB59EA" w14:textId="77777777" w:rsidR="001D241A" w:rsidRPr="001D241A" w:rsidRDefault="001D241A" w:rsidP="00D1796F">
            <w:pPr>
              <w:spacing w:after="0" w:line="240" w:lineRule="auto"/>
              <w:jc w:val="center"/>
              <w:rPr>
                <w:rFonts w:eastAsia="Times New Roman" w:cstheme="minorHAnsi"/>
                <w:i/>
                <w:iCs/>
                <w:color w:val="BFBFBF" w:themeColor="background1" w:themeShade="BF"/>
                <w:sz w:val="16"/>
                <w:szCs w:val="16"/>
                <w:lang w:eastAsia="hr-HR"/>
              </w:rPr>
            </w:pPr>
            <w:r w:rsidRPr="001D241A">
              <w:rPr>
                <w:rFonts w:eastAsia="Times New Roman" w:cstheme="minorHAnsi"/>
                <w:i/>
                <w:iCs/>
                <w:color w:val="BFBFBF" w:themeColor="background1" w:themeShade="BF"/>
                <w:sz w:val="16"/>
                <w:szCs w:val="16"/>
                <w:lang w:eastAsia="hr-HR"/>
              </w:rPr>
              <w:t>1</w:t>
            </w:r>
          </w:p>
        </w:tc>
        <w:tc>
          <w:tcPr>
            <w:tcW w:w="1417" w:type="dxa"/>
            <w:tcBorders>
              <w:top w:val="single" w:sz="4" w:space="0" w:color="auto"/>
              <w:bottom w:val="single" w:sz="4" w:space="0" w:color="auto"/>
            </w:tcBorders>
            <w:shd w:val="clear" w:color="auto" w:fill="auto"/>
            <w:noWrap/>
            <w:vAlign w:val="center"/>
            <w:hideMark/>
          </w:tcPr>
          <w:p w14:paraId="56E55AD2" w14:textId="50C26ADD" w:rsidR="001D241A" w:rsidRPr="001D241A" w:rsidRDefault="00D1796F" w:rsidP="00D1796F">
            <w:pPr>
              <w:spacing w:after="0" w:line="240" w:lineRule="auto"/>
              <w:jc w:val="center"/>
              <w:rPr>
                <w:rFonts w:eastAsia="Times New Roman" w:cstheme="minorHAnsi"/>
                <w:i/>
                <w:iCs/>
                <w:color w:val="BFBFBF" w:themeColor="background1" w:themeShade="BF"/>
                <w:sz w:val="16"/>
                <w:szCs w:val="16"/>
                <w:lang w:eastAsia="hr-HR"/>
              </w:rPr>
            </w:pPr>
            <w:r w:rsidRPr="00D1796F">
              <w:rPr>
                <w:rFonts w:eastAsia="Times New Roman" w:cstheme="minorHAnsi"/>
                <w:i/>
                <w:iCs/>
                <w:color w:val="BFBFBF" w:themeColor="background1" w:themeShade="BF"/>
                <w:sz w:val="16"/>
                <w:szCs w:val="16"/>
                <w:lang w:eastAsia="hr-HR"/>
              </w:rPr>
              <w:t>2</w:t>
            </w:r>
          </w:p>
        </w:tc>
        <w:tc>
          <w:tcPr>
            <w:tcW w:w="1417" w:type="dxa"/>
            <w:tcBorders>
              <w:top w:val="single" w:sz="4" w:space="0" w:color="auto"/>
              <w:bottom w:val="single" w:sz="4" w:space="0" w:color="auto"/>
            </w:tcBorders>
            <w:shd w:val="clear" w:color="auto" w:fill="auto"/>
            <w:noWrap/>
            <w:vAlign w:val="center"/>
            <w:hideMark/>
          </w:tcPr>
          <w:p w14:paraId="37DA0AF3" w14:textId="4D8A7D7F" w:rsidR="001D241A" w:rsidRPr="001D241A" w:rsidRDefault="00D1796F" w:rsidP="00D1796F">
            <w:pPr>
              <w:spacing w:after="0" w:line="240" w:lineRule="auto"/>
              <w:jc w:val="center"/>
              <w:rPr>
                <w:rFonts w:eastAsia="Times New Roman" w:cstheme="minorHAnsi"/>
                <w:i/>
                <w:iCs/>
                <w:color w:val="BFBFBF" w:themeColor="background1" w:themeShade="BF"/>
                <w:sz w:val="16"/>
                <w:szCs w:val="16"/>
                <w:lang w:eastAsia="hr-HR"/>
              </w:rPr>
            </w:pPr>
            <w:r w:rsidRPr="00D1796F">
              <w:rPr>
                <w:rFonts w:eastAsia="Times New Roman" w:cstheme="minorHAnsi"/>
                <w:i/>
                <w:iCs/>
                <w:color w:val="BFBFBF" w:themeColor="background1" w:themeShade="BF"/>
                <w:sz w:val="16"/>
                <w:szCs w:val="16"/>
                <w:lang w:eastAsia="hr-HR"/>
              </w:rPr>
              <w:t>3</w:t>
            </w:r>
          </w:p>
        </w:tc>
        <w:tc>
          <w:tcPr>
            <w:tcW w:w="1417" w:type="dxa"/>
            <w:tcBorders>
              <w:top w:val="single" w:sz="4" w:space="0" w:color="auto"/>
              <w:bottom w:val="single" w:sz="4" w:space="0" w:color="auto"/>
            </w:tcBorders>
            <w:shd w:val="clear" w:color="auto" w:fill="auto"/>
            <w:noWrap/>
            <w:vAlign w:val="center"/>
            <w:hideMark/>
          </w:tcPr>
          <w:p w14:paraId="42E2CBE4" w14:textId="54FD497A" w:rsidR="001D241A" w:rsidRPr="001D241A" w:rsidRDefault="00D1796F" w:rsidP="00D1796F">
            <w:pPr>
              <w:spacing w:after="0" w:line="240" w:lineRule="auto"/>
              <w:jc w:val="center"/>
              <w:rPr>
                <w:rFonts w:eastAsia="Times New Roman" w:cstheme="minorHAnsi"/>
                <w:i/>
                <w:iCs/>
                <w:color w:val="BFBFBF" w:themeColor="background1" w:themeShade="BF"/>
                <w:sz w:val="16"/>
                <w:szCs w:val="16"/>
                <w:lang w:eastAsia="hr-HR"/>
              </w:rPr>
            </w:pPr>
            <w:r w:rsidRPr="00D1796F">
              <w:rPr>
                <w:rFonts w:eastAsia="Times New Roman" w:cstheme="minorHAnsi"/>
                <w:i/>
                <w:iCs/>
                <w:color w:val="BFBFBF" w:themeColor="background1" w:themeShade="BF"/>
                <w:sz w:val="16"/>
                <w:szCs w:val="16"/>
                <w:lang w:eastAsia="hr-HR"/>
              </w:rPr>
              <w:t>4</w:t>
            </w:r>
          </w:p>
        </w:tc>
        <w:tc>
          <w:tcPr>
            <w:tcW w:w="1134" w:type="dxa"/>
            <w:tcBorders>
              <w:top w:val="single" w:sz="4" w:space="0" w:color="auto"/>
              <w:bottom w:val="single" w:sz="4" w:space="0" w:color="auto"/>
            </w:tcBorders>
            <w:shd w:val="clear" w:color="auto" w:fill="auto"/>
            <w:noWrap/>
            <w:vAlign w:val="center"/>
            <w:hideMark/>
          </w:tcPr>
          <w:p w14:paraId="11B4CBD6" w14:textId="13F8AD15" w:rsidR="001D241A" w:rsidRPr="001D241A" w:rsidRDefault="00D1796F" w:rsidP="00D1796F">
            <w:pPr>
              <w:spacing w:after="0" w:line="240" w:lineRule="auto"/>
              <w:jc w:val="center"/>
              <w:rPr>
                <w:rFonts w:eastAsia="Times New Roman" w:cstheme="minorHAnsi"/>
                <w:i/>
                <w:iCs/>
                <w:color w:val="BFBFBF" w:themeColor="background1" w:themeShade="BF"/>
                <w:sz w:val="16"/>
                <w:szCs w:val="16"/>
                <w:lang w:eastAsia="hr-HR"/>
              </w:rPr>
            </w:pPr>
            <w:r w:rsidRPr="00D1796F">
              <w:rPr>
                <w:rFonts w:eastAsia="Times New Roman" w:cstheme="minorHAnsi"/>
                <w:i/>
                <w:iCs/>
                <w:color w:val="BFBFBF" w:themeColor="background1" w:themeShade="BF"/>
                <w:sz w:val="16"/>
                <w:szCs w:val="16"/>
                <w:lang w:eastAsia="hr-HR"/>
              </w:rPr>
              <w:t>5</w:t>
            </w:r>
          </w:p>
        </w:tc>
        <w:tc>
          <w:tcPr>
            <w:tcW w:w="1134" w:type="dxa"/>
            <w:tcBorders>
              <w:top w:val="single" w:sz="4" w:space="0" w:color="auto"/>
              <w:bottom w:val="single" w:sz="4" w:space="0" w:color="auto"/>
            </w:tcBorders>
            <w:shd w:val="clear" w:color="auto" w:fill="auto"/>
            <w:noWrap/>
            <w:vAlign w:val="center"/>
            <w:hideMark/>
          </w:tcPr>
          <w:p w14:paraId="5FFC9AB2" w14:textId="4614B759" w:rsidR="001D241A" w:rsidRPr="001D241A" w:rsidRDefault="00D1796F" w:rsidP="00D1796F">
            <w:pPr>
              <w:spacing w:after="0" w:line="240" w:lineRule="auto"/>
              <w:jc w:val="center"/>
              <w:rPr>
                <w:rFonts w:eastAsia="Times New Roman" w:cstheme="minorHAnsi"/>
                <w:i/>
                <w:iCs/>
                <w:color w:val="BFBFBF" w:themeColor="background1" w:themeShade="BF"/>
                <w:sz w:val="16"/>
                <w:szCs w:val="16"/>
                <w:lang w:eastAsia="hr-HR"/>
              </w:rPr>
            </w:pPr>
            <w:r w:rsidRPr="00D1796F">
              <w:rPr>
                <w:rFonts w:eastAsia="Times New Roman" w:cstheme="minorHAnsi"/>
                <w:i/>
                <w:iCs/>
                <w:color w:val="BFBFBF" w:themeColor="background1" w:themeShade="BF"/>
                <w:sz w:val="16"/>
                <w:szCs w:val="16"/>
                <w:lang w:eastAsia="hr-HR"/>
              </w:rPr>
              <w:t>6</w:t>
            </w:r>
          </w:p>
        </w:tc>
      </w:tr>
      <w:tr w:rsidR="00E9713D" w:rsidRPr="001D241A" w14:paraId="7024B9E5" w14:textId="77777777" w:rsidTr="00E9713D">
        <w:trPr>
          <w:trHeight w:val="288"/>
        </w:trPr>
        <w:tc>
          <w:tcPr>
            <w:tcW w:w="3114" w:type="dxa"/>
            <w:tcBorders>
              <w:top w:val="single" w:sz="4" w:space="0" w:color="auto"/>
            </w:tcBorders>
            <w:shd w:val="clear" w:color="auto" w:fill="auto"/>
            <w:noWrap/>
            <w:vAlign w:val="center"/>
            <w:hideMark/>
          </w:tcPr>
          <w:p w14:paraId="1901CC0B"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1.smjena</w:t>
            </w:r>
          </w:p>
        </w:tc>
        <w:tc>
          <w:tcPr>
            <w:tcW w:w="1417" w:type="dxa"/>
            <w:tcBorders>
              <w:top w:val="single" w:sz="4" w:space="0" w:color="auto"/>
            </w:tcBorders>
            <w:shd w:val="clear" w:color="auto" w:fill="auto"/>
            <w:noWrap/>
            <w:vAlign w:val="center"/>
            <w:hideMark/>
          </w:tcPr>
          <w:p w14:paraId="74FD8D99" w14:textId="1AEECFE8"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83.908</w:t>
            </w:r>
          </w:p>
        </w:tc>
        <w:tc>
          <w:tcPr>
            <w:tcW w:w="1417" w:type="dxa"/>
            <w:tcBorders>
              <w:top w:val="single" w:sz="4" w:space="0" w:color="auto"/>
            </w:tcBorders>
            <w:shd w:val="clear" w:color="auto" w:fill="auto"/>
            <w:noWrap/>
            <w:vAlign w:val="center"/>
            <w:hideMark/>
          </w:tcPr>
          <w:p w14:paraId="3E2E0AFD" w14:textId="34BA2D9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90.092</w:t>
            </w:r>
          </w:p>
        </w:tc>
        <w:tc>
          <w:tcPr>
            <w:tcW w:w="1417" w:type="dxa"/>
            <w:tcBorders>
              <w:top w:val="single" w:sz="4" w:space="0" w:color="auto"/>
            </w:tcBorders>
            <w:shd w:val="clear" w:color="auto" w:fill="auto"/>
            <w:noWrap/>
            <w:vAlign w:val="center"/>
            <w:hideMark/>
          </w:tcPr>
          <w:p w14:paraId="07684EAD" w14:textId="5271B74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107%</w:t>
            </w:r>
          </w:p>
        </w:tc>
        <w:tc>
          <w:tcPr>
            <w:tcW w:w="1134" w:type="dxa"/>
            <w:tcBorders>
              <w:top w:val="single" w:sz="4" w:space="0" w:color="auto"/>
            </w:tcBorders>
            <w:shd w:val="clear" w:color="auto" w:fill="auto"/>
            <w:noWrap/>
            <w:vAlign w:val="center"/>
            <w:hideMark/>
          </w:tcPr>
          <w:p w14:paraId="479EF041" w14:textId="594634A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61,74%</w:t>
            </w:r>
          </w:p>
        </w:tc>
        <w:tc>
          <w:tcPr>
            <w:tcW w:w="1134" w:type="dxa"/>
            <w:tcBorders>
              <w:top w:val="single" w:sz="4" w:space="0" w:color="auto"/>
            </w:tcBorders>
            <w:shd w:val="clear" w:color="auto" w:fill="auto"/>
            <w:noWrap/>
            <w:vAlign w:val="center"/>
            <w:hideMark/>
          </w:tcPr>
          <w:p w14:paraId="3773CA4D" w14:textId="43F80766"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63,24%</w:t>
            </w:r>
          </w:p>
        </w:tc>
      </w:tr>
      <w:tr w:rsidR="00E9713D" w:rsidRPr="001D241A" w14:paraId="35F2BD70" w14:textId="77777777" w:rsidTr="00E9713D">
        <w:trPr>
          <w:trHeight w:val="288"/>
        </w:trPr>
        <w:tc>
          <w:tcPr>
            <w:tcW w:w="3114" w:type="dxa"/>
            <w:shd w:val="clear" w:color="auto" w:fill="auto"/>
            <w:noWrap/>
            <w:vAlign w:val="center"/>
            <w:hideMark/>
          </w:tcPr>
          <w:p w14:paraId="4BFC82CC"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2.smjena</w:t>
            </w:r>
          </w:p>
        </w:tc>
        <w:tc>
          <w:tcPr>
            <w:tcW w:w="1417" w:type="dxa"/>
            <w:shd w:val="clear" w:color="auto" w:fill="auto"/>
            <w:noWrap/>
            <w:vAlign w:val="center"/>
            <w:hideMark/>
          </w:tcPr>
          <w:p w14:paraId="3132A8A6" w14:textId="70BB343A"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20.342</w:t>
            </w:r>
          </w:p>
        </w:tc>
        <w:tc>
          <w:tcPr>
            <w:tcW w:w="1417" w:type="dxa"/>
            <w:shd w:val="clear" w:color="auto" w:fill="auto"/>
            <w:noWrap/>
            <w:vAlign w:val="center"/>
            <w:hideMark/>
          </w:tcPr>
          <w:p w14:paraId="7F7CA84A" w14:textId="53B28F01"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22.197</w:t>
            </w:r>
          </w:p>
        </w:tc>
        <w:tc>
          <w:tcPr>
            <w:tcW w:w="1417" w:type="dxa"/>
            <w:shd w:val="clear" w:color="auto" w:fill="auto"/>
            <w:noWrap/>
            <w:vAlign w:val="center"/>
            <w:hideMark/>
          </w:tcPr>
          <w:p w14:paraId="6C5123BA" w14:textId="17EC2B11"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109%</w:t>
            </w:r>
          </w:p>
        </w:tc>
        <w:tc>
          <w:tcPr>
            <w:tcW w:w="1134" w:type="dxa"/>
            <w:shd w:val="clear" w:color="auto" w:fill="auto"/>
            <w:noWrap/>
            <w:vAlign w:val="center"/>
            <w:hideMark/>
          </w:tcPr>
          <w:p w14:paraId="7FD498B8" w14:textId="6D786FDA"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14,97%</w:t>
            </w:r>
          </w:p>
        </w:tc>
        <w:tc>
          <w:tcPr>
            <w:tcW w:w="1134" w:type="dxa"/>
            <w:shd w:val="clear" w:color="auto" w:fill="auto"/>
            <w:noWrap/>
            <w:vAlign w:val="center"/>
            <w:hideMark/>
          </w:tcPr>
          <w:p w14:paraId="19F3B851" w14:textId="705823A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15,58%</w:t>
            </w:r>
          </w:p>
        </w:tc>
      </w:tr>
      <w:tr w:rsidR="00E9713D" w:rsidRPr="001D241A" w14:paraId="7411E4E1" w14:textId="77777777" w:rsidTr="00E9713D">
        <w:trPr>
          <w:trHeight w:val="288"/>
        </w:trPr>
        <w:tc>
          <w:tcPr>
            <w:tcW w:w="3114" w:type="dxa"/>
            <w:shd w:val="clear" w:color="auto" w:fill="auto"/>
            <w:noWrap/>
            <w:vAlign w:val="center"/>
            <w:hideMark/>
          </w:tcPr>
          <w:p w14:paraId="3C5A4C80"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3.smjena</w:t>
            </w:r>
          </w:p>
        </w:tc>
        <w:tc>
          <w:tcPr>
            <w:tcW w:w="1417" w:type="dxa"/>
            <w:shd w:val="clear" w:color="auto" w:fill="auto"/>
            <w:noWrap/>
            <w:vAlign w:val="center"/>
            <w:hideMark/>
          </w:tcPr>
          <w:p w14:paraId="6F35AA08" w14:textId="2BE10FBC"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80</w:t>
            </w:r>
          </w:p>
        </w:tc>
        <w:tc>
          <w:tcPr>
            <w:tcW w:w="1417" w:type="dxa"/>
            <w:shd w:val="clear" w:color="auto" w:fill="auto"/>
            <w:noWrap/>
            <w:vAlign w:val="center"/>
            <w:hideMark/>
          </w:tcPr>
          <w:p w14:paraId="78C8E572" w14:textId="72BE690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4E174006" w14:textId="79A0873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134" w:type="dxa"/>
            <w:shd w:val="clear" w:color="auto" w:fill="auto"/>
            <w:noWrap/>
            <w:vAlign w:val="center"/>
            <w:hideMark/>
          </w:tcPr>
          <w:p w14:paraId="6CFFF886" w14:textId="7F84D49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0,06%</w:t>
            </w:r>
          </w:p>
        </w:tc>
        <w:tc>
          <w:tcPr>
            <w:tcW w:w="1134" w:type="dxa"/>
            <w:shd w:val="clear" w:color="auto" w:fill="auto"/>
            <w:noWrap/>
            <w:vAlign w:val="center"/>
            <w:hideMark/>
          </w:tcPr>
          <w:p w14:paraId="32EE1E6C" w14:textId="4CEEF6D1"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33C9269B" w14:textId="77777777" w:rsidTr="00E9713D">
        <w:trPr>
          <w:trHeight w:val="288"/>
        </w:trPr>
        <w:tc>
          <w:tcPr>
            <w:tcW w:w="3114" w:type="dxa"/>
            <w:shd w:val="clear" w:color="auto" w:fill="auto"/>
            <w:noWrap/>
            <w:vAlign w:val="center"/>
            <w:hideMark/>
          </w:tcPr>
          <w:p w14:paraId="6D868F29"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nedjelja 1.smjena</w:t>
            </w:r>
          </w:p>
        </w:tc>
        <w:tc>
          <w:tcPr>
            <w:tcW w:w="1417" w:type="dxa"/>
            <w:shd w:val="clear" w:color="auto" w:fill="auto"/>
            <w:noWrap/>
            <w:vAlign w:val="center"/>
            <w:hideMark/>
          </w:tcPr>
          <w:p w14:paraId="5E2F08CF" w14:textId="5915CE62"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6</w:t>
            </w:r>
          </w:p>
        </w:tc>
        <w:tc>
          <w:tcPr>
            <w:tcW w:w="1417" w:type="dxa"/>
            <w:shd w:val="clear" w:color="auto" w:fill="auto"/>
            <w:noWrap/>
            <w:vAlign w:val="center"/>
            <w:hideMark/>
          </w:tcPr>
          <w:p w14:paraId="4D71E336" w14:textId="65AF978E"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25266BAE" w14:textId="2BF7F9CB"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134" w:type="dxa"/>
            <w:shd w:val="clear" w:color="auto" w:fill="auto"/>
            <w:noWrap/>
            <w:vAlign w:val="center"/>
            <w:hideMark/>
          </w:tcPr>
          <w:p w14:paraId="4DFDBC9D" w14:textId="44A109A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1A39BB0A" w14:textId="341E2E7C"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4CA32517" w14:textId="77777777" w:rsidTr="00E9713D">
        <w:trPr>
          <w:trHeight w:val="288"/>
        </w:trPr>
        <w:tc>
          <w:tcPr>
            <w:tcW w:w="3114" w:type="dxa"/>
            <w:shd w:val="clear" w:color="auto" w:fill="auto"/>
            <w:noWrap/>
            <w:vAlign w:val="center"/>
            <w:hideMark/>
          </w:tcPr>
          <w:p w14:paraId="46DAD616"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praznik 1.smjena</w:t>
            </w:r>
          </w:p>
        </w:tc>
        <w:tc>
          <w:tcPr>
            <w:tcW w:w="1417" w:type="dxa"/>
            <w:shd w:val="clear" w:color="auto" w:fill="auto"/>
            <w:noWrap/>
            <w:vAlign w:val="center"/>
            <w:hideMark/>
          </w:tcPr>
          <w:p w14:paraId="5453D24C" w14:textId="47E880E1"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731</w:t>
            </w:r>
          </w:p>
        </w:tc>
        <w:tc>
          <w:tcPr>
            <w:tcW w:w="1417" w:type="dxa"/>
            <w:shd w:val="clear" w:color="auto" w:fill="auto"/>
            <w:noWrap/>
            <w:vAlign w:val="center"/>
            <w:hideMark/>
          </w:tcPr>
          <w:p w14:paraId="2EB79250" w14:textId="24767712"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942</w:t>
            </w:r>
          </w:p>
        </w:tc>
        <w:tc>
          <w:tcPr>
            <w:tcW w:w="1417" w:type="dxa"/>
            <w:shd w:val="clear" w:color="auto" w:fill="auto"/>
            <w:noWrap/>
            <w:vAlign w:val="center"/>
            <w:hideMark/>
          </w:tcPr>
          <w:p w14:paraId="5374E5B2" w14:textId="1CDAF7C2"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129%</w:t>
            </w:r>
          </w:p>
        </w:tc>
        <w:tc>
          <w:tcPr>
            <w:tcW w:w="1134" w:type="dxa"/>
            <w:shd w:val="clear" w:color="auto" w:fill="auto"/>
            <w:noWrap/>
            <w:vAlign w:val="center"/>
            <w:hideMark/>
          </w:tcPr>
          <w:p w14:paraId="469CC750" w14:textId="4A8EAC83"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0,54%</w:t>
            </w:r>
          </w:p>
        </w:tc>
        <w:tc>
          <w:tcPr>
            <w:tcW w:w="1134" w:type="dxa"/>
            <w:shd w:val="clear" w:color="auto" w:fill="auto"/>
            <w:noWrap/>
            <w:vAlign w:val="center"/>
            <w:hideMark/>
          </w:tcPr>
          <w:p w14:paraId="07972640" w14:textId="7CE7B4B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0,66%</w:t>
            </w:r>
          </w:p>
        </w:tc>
      </w:tr>
      <w:tr w:rsidR="00E9713D" w:rsidRPr="001D241A" w14:paraId="000FEEDA" w14:textId="77777777" w:rsidTr="00E9713D">
        <w:trPr>
          <w:trHeight w:val="288"/>
        </w:trPr>
        <w:tc>
          <w:tcPr>
            <w:tcW w:w="3114" w:type="dxa"/>
            <w:shd w:val="clear" w:color="auto" w:fill="auto"/>
            <w:noWrap/>
            <w:vAlign w:val="center"/>
            <w:hideMark/>
          </w:tcPr>
          <w:p w14:paraId="29D2B3E8"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praznik 2.smjena</w:t>
            </w:r>
          </w:p>
        </w:tc>
        <w:tc>
          <w:tcPr>
            <w:tcW w:w="1417" w:type="dxa"/>
            <w:shd w:val="clear" w:color="auto" w:fill="auto"/>
            <w:noWrap/>
            <w:vAlign w:val="center"/>
            <w:hideMark/>
          </w:tcPr>
          <w:p w14:paraId="134C88E0" w14:textId="7E784544"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96</w:t>
            </w:r>
          </w:p>
        </w:tc>
        <w:tc>
          <w:tcPr>
            <w:tcW w:w="1417" w:type="dxa"/>
            <w:shd w:val="clear" w:color="auto" w:fill="auto"/>
            <w:noWrap/>
            <w:vAlign w:val="center"/>
            <w:hideMark/>
          </w:tcPr>
          <w:p w14:paraId="7A2BB8B0" w14:textId="637E400C"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96</w:t>
            </w:r>
          </w:p>
        </w:tc>
        <w:tc>
          <w:tcPr>
            <w:tcW w:w="1417" w:type="dxa"/>
            <w:shd w:val="clear" w:color="auto" w:fill="auto"/>
            <w:noWrap/>
            <w:vAlign w:val="center"/>
            <w:hideMark/>
          </w:tcPr>
          <w:p w14:paraId="7A59246E" w14:textId="33507753"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100%</w:t>
            </w:r>
          </w:p>
        </w:tc>
        <w:tc>
          <w:tcPr>
            <w:tcW w:w="1134" w:type="dxa"/>
            <w:shd w:val="clear" w:color="auto" w:fill="auto"/>
            <w:noWrap/>
            <w:vAlign w:val="center"/>
            <w:hideMark/>
          </w:tcPr>
          <w:p w14:paraId="48D790C3" w14:textId="2D9D28D4"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0,07%</w:t>
            </w:r>
          </w:p>
        </w:tc>
        <w:tc>
          <w:tcPr>
            <w:tcW w:w="1134" w:type="dxa"/>
            <w:shd w:val="clear" w:color="auto" w:fill="auto"/>
            <w:noWrap/>
            <w:vAlign w:val="center"/>
            <w:hideMark/>
          </w:tcPr>
          <w:p w14:paraId="10D96BF9" w14:textId="46E086F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0,07%</w:t>
            </w:r>
          </w:p>
        </w:tc>
      </w:tr>
      <w:tr w:rsidR="00E9713D" w:rsidRPr="001D241A" w14:paraId="631F9E8C" w14:textId="77777777" w:rsidTr="00E9713D">
        <w:trPr>
          <w:trHeight w:val="288"/>
        </w:trPr>
        <w:tc>
          <w:tcPr>
            <w:tcW w:w="3114" w:type="dxa"/>
            <w:shd w:val="clear" w:color="auto" w:fill="auto"/>
            <w:noWrap/>
            <w:vAlign w:val="center"/>
            <w:hideMark/>
          </w:tcPr>
          <w:p w14:paraId="7E4AC7EE"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Redovan rad praznik 3.smjena</w:t>
            </w:r>
          </w:p>
        </w:tc>
        <w:tc>
          <w:tcPr>
            <w:tcW w:w="1417" w:type="dxa"/>
            <w:shd w:val="clear" w:color="auto" w:fill="auto"/>
            <w:noWrap/>
            <w:vAlign w:val="center"/>
            <w:hideMark/>
          </w:tcPr>
          <w:p w14:paraId="15E4F225" w14:textId="73E20CA2"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0</w:t>
            </w:r>
          </w:p>
        </w:tc>
        <w:tc>
          <w:tcPr>
            <w:tcW w:w="1417" w:type="dxa"/>
            <w:shd w:val="clear" w:color="auto" w:fill="auto"/>
            <w:noWrap/>
            <w:vAlign w:val="center"/>
            <w:hideMark/>
          </w:tcPr>
          <w:p w14:paraId="0B2A404C" w14:textId="3AF97F4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6EF168B1" w14:textId="300022BE"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#DIV/0!</w:t>
            </w:r>
          </w:p>
        </w:tc>
        <w:tc>
          <w:tcPr>
            <w:tcW w:w="1134" w:type="dxa"/>
            <w:shd w:val="clear" w:color="auto" w:fill="auto"/>
            <w:noWrap/>
            <w:vAlign w:val="center"/>
            <w:hideMark/>
          </w:tcPr>
          <w:p w14:paraId="3E4A3A46" w14:textId="3F8C2EB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40AA5F87" w14:textId="5578FD5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76D97F19" w14:textId="77777777" w:rsidTr="00E9713D">
        <w:trPr>
          <w:trHeight w:val="288"/>
        </w:trPr>
        <w:tc>
          <w:tcPr>
            <w:tcW w:w="3114" w:type="dxa"/>
            <w:shd w:val="clear" w:color="auto" w:fill="auto"/>
            <w:noWrap/>
            <w:vAlign w:val="center"/>
            <w:hideMark/>
          </w:tcPr>
          <w:p w14:paraId="4F125F43" w14:textId="77777777" w:rsidR="00E9713D" w:rsidRPr="001D241A" w:rsidRDefault="00E9713D" w:rsidP="00E9713D">
            <w:pPr>
              <w:spacing w:after="0" w:line="240" w:lineRule="auto"/>
              <w:rPr>
                <w:rFonts w:eastAsia="Times New Roman" w:cstheme="minorHAnsi"/>
                <w:b/>
                <w:bCs/>
                <w:color w:val="000000"/>
                <w:sz w:val="18"/>
                <w:szCs w:val="18"/>
                <w:lang w:eastAsia="hr-HR"/>
              </w:rPr>
            </w:pPr>
            <w:r w:rsidRPr="001D241A">
              <w:rPr>
                <w:rFonts w:eastAsia="Times New Roman" w:cstheme="minorHAnsi"/>
                <w:b/>
                <w:bCs/>
                <w:color w:val="000000"/>
                <w:sz w:val="18"/>
                <w:szCs w:val="18"/>
                <w:lang w:eastAsia="hr-HR"/>
              </w:rPr>
              <w:t>Ukupno redovno radno vrijeme</w:t>
            </w:r>
          </w:p>
        </w:tc>
        <w:tc>
          <w:tcPr>
            <w:tcW w:w="1417" w:type="dxa"/>
            <w:shd w:val="clear" w:color="auto" w:fill="auto"/>
            <w:noWrap/>
            <w:vAlign w:val="center"/>
            <w:hideMark/>
          </w:tcPr>
          <w:p w14:paraId="0EDD7797" w14:textId="504226E0" w:rsidR="00E9713D" w:rsidRPr="001D241A" w:rsidRDefault="00E9713D" w:rsidP="00E9713D">
            <w:pPr>
              <w:spacing w:after="0" w:line="240" w:lineRule="auto"/>
              <w:jc w:val="center"/>
              <w:rPr>
                <w:rFonts w:eastAsia="Times New Roman" w:cstheme="minorHAnsi"/>
                <w:b/>
                <w:bCs/>
                <w:sz w:val="18"/>
                <w:szCs w:val="18"/>
                <w:lang w:eastAsia="hr-HR"/>
              </w:rPr>
            </w:pPr>
            <w:r w:rsidRPr="001D241A">
              <w:rPr>
                <w:rFonts w:eastAsia="Times New Roman" w:cstheme="minorHAnsi"/>
                <w:b/>
                <w:bCs/>
                <w:sz w:val="18"/>
                <w:szCs w:val="18"/>
                <w:lang w:eastAsia="hr-HR"/>
              </w:rPr>
              <w:t>105.163</w:t>
            </w:r>
          </w:p>
        </w:tc>
        <w:tc>
          <w:tcPr>
            <w:tcW w:w="1417" w:type="dxa"/>
            <w:shd w:val="clear" w:color="auto" w:fill="auto"/>
            <w:noWrap/>
            <w:vAlign w:val="center"/>
            <w:hideMark/>
          </w:tcPr>
          <w:p w14:paraId="6141A50F" w14:textId="2CDFDBA4" w:rsidR="00E9713D" w:rsidRPr="00E9713D" w:rsidRDefault="00E9713D" w:rsidP="00E9713D">
            <w:pPr>
              <w:spacing w:after="0" w:line="240" w:lineRule="auto"/>
              <w:jc w:val="center"/>
              <w:rPr>
                <w:rFonts w:eastAsia="Times New Roman" w:cstheme="minorHAnsi"/>
                <w:b/>
                <w:bCs/>
                <w:sz w:val="18"/>
                <w:szCs w:val="18"/>
                <w:lang w:eastAsia="hr-HR"/>
              </w:rPr>
            </w:pPr>
            <w:r w:rsidRPr="00E9713D">
              <w:rPr>
                <w:rFonts w:cstheme="minorHAnsi"/>
                <w:b/>
                <w:bCs/>
                <w:sz w:val="18"/>
                <w:szCs w:val="18"/>
              </w:rPr>
              <w:t>113.327</w:t>
            </w:r>
          </w:p>
        </w:tc>
        <w:tc>
          <w:tcPr>
            <w:tcW w:w="1417" w:type="dxa"/>
            <w:shd w:val="clear" w:color="auto" w:fill="auto"/>
            <w:noWrap/>
            <w:vAlign w:val="center"/>
            <w:hideMark/>
          </w:tcPr>
          <w:p w14:paraId="2E661C0C" w14:textId="6AFF2A6C" w:rsidR="00E9713D" w:rsidRPr="00E9713D" w:rsidRDefault="00E9713D" w:rsidP="00E9713D">
            <w:pPr>
              <w:spacing w:after="0" w:line="240" w:lineRule="auto"/>
              <w:jc w:val="center"/>
              <w:rPr>
                <w:rFonts w:eastAsia="Times New Roman" w:cstheme="minorHAnsi"/>
                <w:b/>
                <w:bCs/>
                <w:color w:val="000000"/>
                <w:sz w:val="18"/>
                <w:szCs w:val="18"/>
                <w:lang w:eastAsia="hr-HR"/>
              </w:rPr>
            </w:pPr>
            <w:r w:rsidRPr="00E9713D">
              <w:rPr>
                <w:rFonts w:cstheme="minorHAnsi"/>
                <w:b/>
                <w:bCs/>
                <w:color w:val="000000"/>
                <w:sz w:val="18"/>
                <w:szCs w:val="18"/>
              </w:rPr>
              <w:t>108%</w:t>
            </w:r>
          </w:p>
        </w:tc>
        <w:tc>
          <w:tcPr>
            <w:tcW w:w="1134" w:type="dxa"/>
            <w:shd w:val="clear" w:color="auto" w:fill="auto"/>
            <w:noWrap/>
            <w:vAlign w:val="center"/>
            <w:hideMark/>
          </w:tcPr>
          <w:p w14:paraId="1E4ECBE8" w14:textId="7F825BAE" w:rsidR="00E9713D" w:rsidRPr="00E9713D" w:rsidRDefault="00E9713D" w:rsidP="00E9713D">
            <w:pPr>
              <w:spacing w:after="0" w:line="240" w:lineRule="auto"/>
              <w:jc w:val="center"/>
              <w:rPr>
                <w:rFonts w:eastAsia="Times New Roman" w:cstheme="minorHAnsi"/>
                <w:b/>
                <w:bCs/>
                <w:color w:val="000000"/>
                <w:sz w:val="18"/>
                <w:szCs w:val="18"/>
                <w:lang w:eastAsia="hr-HR"/>
              </w:rPr>
            </w:pPr>
            <w:r w:rsidRPr="00E9713D">
              <w:rPr>
                <w:rFonts w:cstheme="minorHAnsi"/>
                <w:b/>
                <w:bCs/>
                <w:color w:val="000000"/>
                <w:sz w:val="18"/>
                <w:szCs w:val="18"/>
              </w:rPr>
              <w:t>77,37%</w:t>
            </w:r>
          </w:p>
        </w:tc>
        <w:tc>
          <w:tcPr>
            <w:tcW w:w="1134" w:type="dxa"/>
            <w:shd w:val="clear" w:color="auto" w:fill="auto"/>
            <w:noWrap/>
            <w:vAlign w:val="center"/>
            <w:hideMark/>
          </w:tcPr>
          <w:p w14:paraId="4FF14B10" w14:textId="022DCAEA" w:rsidR="00E9713D" w:rsidRPr="00E9713D" w:rsidRDefault="00E9713D" w:rsidP="00E9713D">
            <w:pPr>
              <w:spacing w:after="0" w:line="240" w:lineRule="auto"/>
              <w:jc w:val="center"/>
              <w:rPr>
                <w:rFonts w:eastAsia="Times New Roman" w:cstheme="minorHAnsi"/>
                <w:b/>
                <w:bCs/>
                <w:color w:val="000000"/>
                <w:sz w:val="18"/>
                <w:szCs w:val="18"/>
                <w:lang w:eastAsia="hr-HR"/>
              </w:rPr>
            </w:pPr>
            <w:r w:rsidRPr="00E9713D">
              <w:rPr>
                <w:rFonts w:cstheme="minorHAnsi"/>
                <w:b/>
                <w:bCs/>
                <w:color w:val="000000"/>
                <w:sz w:val="18"/>
                <w:szCs w:val="18"/>
              </w:rPr>
              <w:t>79,54%</w:t>
            </w:r>
          </w:p>
        </w:tc>
      </w:tr>
      <w:tr w:rsidR="00E9713D" w:rsidRPr="001D241A" w14:paraId="0CBB27A6" w14:textId="77777777" w:rsidTr="00E9713D">
        <w:trPr>
          <w:trHeight w:val="288"/>
        </w:trPr>
        <w:tc>
          <w:tcPr>
            <w:tcW w:w="3114" w:type="dxa"/>
            <w:shd w:val="clear" w:color="auto" w:fill="auto"/>
            <w:noWrap/>
            <w:vAlign w:val="center"/>
            <w:hideMark/>
          </w:tcPr>
          <w:p w14:paraId="10EDDD91"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1.smjena</w:t>
            </w:r>
          </w:p>
        </w:tc>
        <w:tc>
          <w:tcPr>
            <w:tcW w:w="1417" w:type="dxa"/>
            <w:shd w:val="clear" w:color="auto" w:fill="auto"/>
            <w:noWrap/>
            <w:vAlign w:val="center"/>
            <w:hideMark/>
          </w:tcPr>
          <w:p w14:paraId="1059C458" w14:textId="11C670AF"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2.731</w:t>
            </w:r>
          </w:p>
        </w:tc>
        <w:tc>
          <w:tcPr>
            <w:tcW w:w="1417" w:type="dxa"/>
            <w:shd w:val="clear" w:color="auto" w:fill="auto"/>
            <w:noWrap/>
            <w:vAlign w:val="center"/>
            <w:hideMark/>
          </w:tcPr>
          <w:p w14:paraId="5ECE0E14" w14:textId="4D2E4EA4"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2.786</w:t>
            </w:r>
          </w:p>
        </w:tc>
        <w:tc>
          <w:tcPr>
            <w:tcW w:w="1417" w:type="dxa"/>
            <w:shd w:val="clear" w:color="auto" w:fill="auto"/>
            <w:noWrap/>
            <w:vAlign w:val="center"/>
            <w:hideMark/>
          </w:tcPr>
          <w:p w14:paraId="21FEF241" w14:textId="03EE0DDA"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102%</w:t>
            </w:r>
          </w:p>
        </w:tc>
        <w:tc>
          <w:tcPr>
            <w:tcW w:w="1134" w:type="dxa"/>
            <w:shd w:val="clear" w:color="auto" w:fill="auto"/>
            <w:noWrap/>
            <w:vAlign w:val="center"/>
            <w:hideMark/>
          </w:tcPr>
          <w:p w14:paraId="4CA06B0C" w14:textId="410B1CA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2,01%</w:t>
            </w:r>
          </w:p>
        </w:tc>
        <w:tc>
          <w:tcPr>
            <w:tcW w:w="1134" w:type="dxa"/>
            <w:shd w:val="clear" w:color="auto" w:fill="auto"/>
            <w:noWrap/>
            <w:vAlign w:val="center"/>
            <w:hideMark/>
          </w:tcPr>
          <w:p w14:paraId="4137977B" w14:textId="423C953E"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1,96%</w:t>
            </w:r>
          </w:p>
        </w:tc>
      </w:tr>
      <w:tr w:rsidR="00E9713D" w:rsidRPr="001D241A" w14:paraId="7322D1E1" w14:textId="77777777" w:rsidTr="00E9713D">
        <w:trPr>
          <w:trHeight w:val="288"/>
        </w:trPr>
        <w:tc>
          <w:tcPr>
            <w:tcW w:w="3114" w:type="dxa"/>
            <w:shd w:val="clear" w:color="auto" w:fill="auto"/>
            <w:noWrap/>
            <w:vAlign w:val="center"/>
            <w:hideMark/>
          </w:tcPr>
          <w:p w14:paraId="02ECB63E"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2.smjena</w:t>
            </w:r>
          </w:p>
        </w:tc>
        <w:tc>
          <w:tcPr>
            <w:tcW w:w="1417" w:type="dxa"/>
            <w:shd w:val="clear" w:color="auto" w:fill="auto"/>
            <w:noWrap/>
            <w:vAlign w:val="center"/>
            <w:hideMark/>
          </w:tcPr>
          <w:p w14:paraId="4E181F12" w14:textId="44BF2ED1"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113</w:t>
            </w:r>
          </w:p>
        </w:tc>
        <w:tc>
          <w:tcPr>
            <w:tcW w:w="1417" w:type="dxa"/>
            <w:shd w:val="clear" w:color="auto" w:fill="auto"/>
            <w:noWrap/>
            <w:vAlign w:val="center"/>
            <w:hideMark/>
          </w:tcPr>
          <w:p w14:paraId="0E6CD860" w14:textId="201BA8F6"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00B59566" w14:textId="5435BB22"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134" w:type="dxa"/>
            <w:shd w:val="clear" w:color="auto" w:fill="auto"/>
            <w:noWrap/>
            <w:vAlign w:val="center"/>
            <w:hideMark/>
          </w:tcPr>
          <w:p w14:paraId="51311836" w14:textId="6C3EFE61"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0,08%</w:t>
            </w:r>
          </w:p>
        </w:tc>
        <w:tc>
          <w:tcPr>
            <w:tcW w:w="1134" w:type="dxa"/>
            <w:shd w:val="clear" w:color="auto" w:fill="auto"/>
            <w:noWrap/>
            <w:vAlign w:val="center"/>
            <w:hideMark/>
          </w:tcPr>
          <w:p w14:paraId="637AA542" w14:textId="09A4087E"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314849C8" w14:textId="77777777" w:rsidTr="00E9713D">
        <w:trPr>
          <w:trHeight w:val="288"/>
        </w:trPr>
        <w:tc>
          <w:tcPr>
            <w:tcW w:w="3114" w:type="dxa"/>
            <w:shd w:val="clear" w:color="auto" w:fill="auto"/>
            <w:noWrap/>
            <w:vAlign w:val="center"/>
            <w:hideMark/>
          </w:tcPr>
          <w:p w14:paraId="19DA9D13"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3.smjena</w:t>
            </w:r>
          </w:p>
        </w:tc>
        <w:tc>
          <w:tcPr>
            <w:tcW w:w="1417" w:type="dxa"/>
            <w:shd w:val="clear" w:color="auto" w:fill="auto"/>
            <w:noWrap/>
            <w:vAlign w:val="center"/>
            <w:hideMark/>
          </w:tcPr>
          <w:p w14:paraId="72C8B0F3" w14:textId="7AA3029F"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44</w:t>
            </w:r>
          </w:p>
        </w:tc>
        <w:tc>
          <w:tcPr>
            <w:tcW w:w="1417" w:type="dxa"/>
            <w:shd w:val="clear" w:color="auto" w:fill="auto"/>
            <w:noWrap/>
            <w:vAlign w:val="center"/>
            <w:hideMark/>
          </w:tcPr>
          <w:p w14:paraId="18394C52" w14:textId="4B6DDA41"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3</w:t>
            </w:r>
          </w:p>
        </w:tc>
        <w:tc>
          <w:tcPr>
            <w:tcW w:w="1417" w:type="dxa"/>
            <w:shd w:val="clear" w:color="auto" w:fill="auto"/>
            <w:noWrap/>
            <w:vAlign w:val="center"/>
            <w:hideMark/>
          </w:tcPr>
          <w:p w14:paraId="6931AAF2" w14:textId="47D7E2D4"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7%</w:t>
            </w:r>
          </w:p>
        </w:tc>
        <w:tc>
          <w:tcPr>
            <w:tcW w:w="1134" w:type="dxa"/>
            <w:shd w:val="clear" w:color="auto" w:fill="auto"/>
            <w:noWrap/>
            <w:vAlign w:val="center"/>
            <w:hideMark/>
          </w:tcPr>
          <w:p w14:paraId="3177F8DB" w14:textId="009F0D5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0,03%</w:t>
            </w:r>
          </w:p>
        </w:tc>
        <w:tc>
          <w:tcPr>
            <w:tcW w:w="1134" w:type="dxa"/>
            <w:shd w:val="clear" w:color="auto" w:fill="auto"/>
            <w:noWrap/>
            <w:vAlign w:val="center"/>
            <w:hideMark/>
          </w:tcPr>
          <w:p w14:paraId="6292B576" w14:textId="621A137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562CD82E" w14:textId="77777777" w:rsidTr="00E9713D">
        <w:trPr>
          <w:trHeight w:val="288"/>
        </w:trPr>
        <w:tc>
          <w:tcPr>
            <w:tcW w:w="3114" w:type="dxa"/>
            <w:shd w:val="clear" w:color="auto" w:fill="auto"/>
            <w:noWrap/>
            <w:vAlign w:val="center"/>
            <w:hideMark/>
          </w:tcPr>
          <w:p w14:paraId="3D43564C"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nedjeljom 1.smjena</w:t>
            </w:r>
          </w:p>
        </w:tc>
        <w:tc>
          <w:tcPr>
            <w:tcW w:w="1417" w:type="dxa"/>
            <w:shd w:val="clear" w:color="auto" w:fill="auto"/>
            <w:noWrap/>
            <w:vAlign w:val="center"/>
            <w:hideMark/>
          </w:tcPr>
          <w:p w14:paraId="5B5276E0" w14:textId="0D4FE605"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211</w:t>
            </w:r>
          </w:p>
        </w:tc>
        <w:tc>
          <w:tcPr>
            <w:tcW w:w="1417" w:type="dxa"/>
            <w:shd w:val="clear" w:color="auto" w:fill="auto"/>
            <w:noWrap/>
            <w:vAlign w:val="center"/>
            <w:hideMark/>
          </w:tcPr>
          <w:p w14:paraId="05A76458" w14:textId="1DB100E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101</w:t>
            </w:r>
          </w:p>
        </w:tc>
        <w:tc>
          <w:tcPr>
            <w:tcW w:w="1417" w:type="dxa"/>
            <w:shd w:val="clear" w:color="auto" w:fill="auto"/>
            <w:noWrap/>
            <w:vAlign w:val="center"/>
            <w:hideMark/>
          </w:tcPr>
          <w:p w14:paraId="01C125D7" w14:textId="30E99A5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48%</w:t>
            </w:r>
          </w:p>
        </w:tc>
        <w:tc>
          <w:tcPr>
            <w:tcW w:w="1134" w:type="dxa"/>
            <w:shd w:val="clear" w:color="auto" w:fill="auto"/>
            <w:noWrap/>
            <w:vAlign w:val="center"/>
            <w:hideMark/>
          </w:tcPr>
          <w:p w14:paraId="69D5607A" w14:textId="30450CA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0,16%</w:t>
            </w:r>
          </w:p>
        </w:tc>
        <w:tc>
          <w:tcPr>
            <w:tcW w:w="1134" w:type="dxa"/>
            <w:shd w:val="clear" w:color="auto" w:fill="auto"/>
            <w:noWrap/>
            <w:vAlign w:val="center"/>
            <w:hideMark/>
          </w:tcPr>
          <w:p w14:paraId="39E30B14" w14:textId="5EA1A9BE"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0,07%</w:t>
            </w:r>
          </w:p>
        </w:tc>
      </w:tr>
      <w:tr w:rsidR="00E9713D" w:rsidRPr="001D241A" w14:paraId="6DDDE98B" w14:textId="77777777" w:rsidTr="00E9713D">
        <w:trPr>
          <w:trHeight w:val="288"/>
        </w:trPr>
        <w:tc>
          <w:tcPr>
            <w:tcW w:w="3114" w:type="dxa"/>
            <w:shd w:val="clear" w:color="auto" w:fill="auto"/>
            <w:noWrap/>
            <w:vAlign w:val="center"/>
            <w:hideMark/>
          </w:tcPr>
          <w:p w14:paraId="116E355B"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nedjeljom 2.smjena</w:t>
            </w:r>
          </w:p>
        </w:tc>
        <w:tc>
          <w:tcPr>
            <w:tcW w:w="1417" w:type="dxa"/>
            <w:shd w:val="clear" w:color="auto" w:fill="auto"/>
            <w:noWrap/>
            <w:vAlign w:val="center"/>
            <w:hideMark/>
          </w:tcPr>
          <w:p w14:paraId="4C0192F7" w14:textId="76FB5E69"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2</w:t>
            </w:r>
          </w:p>
        </w:tc>
        <w:tc>
          <w:tcPr>
            <w:tcW w:w="1417" w:type="dxa"/>
            <w:shd w:val="clear" w:color="auto" w:fill="auto"/>
            <w:noWrap/>
            <w:vAlign w:val="center"/>
            <w:hideMark/>
          </w:tcPr>
          <w:p w14:paraId="736FDC54" w14:textId="5ACA170A"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2</w:t>
            </w:r>
          </w:p>
        </w:tc>
        <w:tc>
          <w:tcPr>
            <w:tcW w:w="1417" w:type="dxa"/>
            <w:shd w:val="clear" w:color="auto" w:fill="auto"/>
            <w:noWrap/>
            <w:vAlign w:val="center"/>
            <w:hideMark/>
          </w:tcPr>
          <w:p w14:paraId="2564711D" w14:textId="37C1BA2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100%</w:t>
            </w:r>
          </w:p>
        </w:tc>
        <w:tc>
          <w:tcPr>
            <w:tcW w:w="1134" w:type="dxa"/>
            <w:shd w:val="clear" w:color="auto" w:fill="auto"/>
            <w:noWrap/>
            <w:vAlign w:val="center"/>
            <w:hideMark/>
          </w:tcPr>
          <w:p w14:paraId="19541CE9" w14:textId="3C4BB832"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4AE5D309" w14:textId="7B177BB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4AAFB33B" w14:textId="77777777" w:rsidTr="00E9713D">
        <w:trPr>
          <w:trHeight w:val="288"/>
        </w:trPr>
        <w:tc>
          <w:tcPr>
            <w:tcW w:w="3114" w:type="dxa"/>
            <w:shd w:val="clear" w:color="auto" w:fill="auto"/>
            <w:noWrap/>
            <w:vAlign w:val="center"/>
            <w:hideMark/>
          </w:tcPr>
          <w:p w14:paraId="75555B33"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praznik 1.smjena</w:t>
            </w:r>
          </w:p>
        </w:tc>
        <w:tc>
          <w:tcPr>
            <w:tcW w:w="1417" w:type="dxa"/>
            <w:shd w:val="clear" w:color="auto" w:fill="auto"/>
            <w:noWrap/>
            <w:vAlign w:val="center"/>
            <w:hideMark/>
          </w:tcPr>
          <w:p w14:paraId="6698AE55" w14:textId="56780D38"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82</w:t>
            </w:r>
          </w:p>
        </w:tc>
        <w:tc>
          <w:tcPr>
            <w:tcW w:w="1417" w:type="dxa"/>
            <w:shd w:val="clear" w:color="auto" w:fill="auto"/>
            <w:noWrap/>
            <w:vAlign w:val="center"/>
            <w:hideMark/>
          </w:tcPr>
          <w:p w14:paraId="0A64E7FF" w14:textId="2275CCB3"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7</w:t>
            </w:r>
            <w:r w:rsidR="0093772F">
              <w:rPr>
                <w:rFonts w:cstheme="minorHAnsi"/>
                <w:color w:val="000000"/>
                <w:sz w:val="18"/>
                <w:szCs w:val="18"/>
              </w:rPr>
              <w:t>0</w:t>
            </w:r>
          </w:p>
        </w:tc>
        <w:tc>
          <w:tcPr>
            <w:tcW w:w="1417" w:type="dxa"/>
            <w:shd w:val="clear" w:color="auto" w:fill="auto"/>
            <w:noWrap/>
            <w:vAlign w:val="center"/>
            <w:hideMark/>
          </w:tcPr>
          <w:p w14:paraId="5C24D171" w14:textId="63F3D20A"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86%</w:t>
            </w:r>
          </w:p>
        </w:tc>
        <w:tc>
          <w:tcPr>
            <w:tcW w:w="1134" w:type="dxa"/>
            <w:shd w:val="clear" w:color="auto" w:fill="auto"/>
            <w:noWrap/>
            <w:vAlign w:val="center"/>
            <w:hideMark/>
          </w:tcPr>
          <w:p w14:paraId="0B83B18C" w14:textId="3F74978C"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0,06%</w:t>
            </w:r>
          </w:p>
        </w:tc>
        <w:tc>
          <w:tcPr>
            <w:tcW w:w="1134" w:type="dxa"/>
            <w:shd w:val="clear" w:color="auto" w:fill="auto"/>
            <w:noWrap/>
            <w:vAlign w:val="center"/>
            <w:hideMark/>
          </w:tcPr>
          <w:p w14:paraId="563F0500" w14:textId="0862B50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0,05%</w:t>
            </w:r>
          </w:p>
        </w:tc>
      </w:tr>
      <w:tr w:rsidR="00E9713D" w:rsidRPr="001D241A" w14:paraId="616D316E" w14:textId="77777777" w:rsidTr="00E9713D">
        <w:trPr>
          <w:trHeight w:val="288"/>
        </w:trPr>
        <w:tc>
          <w:tcPr>
            <w:tcW w:w="3114" w:type="dxa"/>
            <w:shd w:val="clear" w:color="auto" w:fill="auto"/>
            <w:noWrap/>
            <w:vAlign w:val="center"/>
            <w:hideMark/>
          </w:tcPr>
          <w:p w14:paraId="517BBD4B"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praznik 2.smjena</w:t>
            </w:r>
          </w:p>
        </w:tc>
        <w:tc>
          <w:tcPr>
            <w:tcW w:w="1417" w:type="dxa"/>
            <w:shd w:val="clear" w:color="auto" w:fill="auto"/>
            <w:noWrap/>
            <w:vAlign w:val="center"/>
            <w:hideMark/>
          </w:tcPr>
          <w:p w14:paraId="1319BE71" w14:textId="528FAF99"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0</w:t>
            </w:r>
          </w:p>
        </w:tc>
        <w:tc>
          <w:tcPr>
            <w:tcW w:w="1417" w:type="dxa"/>
            <w:shd w:val="clear" w:color="auto" w:fill="auto"/>
            <w:noWrap/>
            <w:vAlign w:val="center"/>
            <w:hideMark/>
          </w:tcPr>
          <w:p w14:paraId="5DABA082" w14:textId="29D343F1"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1C39828E" w14:textId="093D0E2A"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65524791" w14:textId="0914C17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2090788B" w14:textId="622EC41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36D2571E" w14:textId="77777777" w:rsidTr="00E9713D">
        <w:trPr>
          <w:trHeight w:val="288"/>
        </w:trPr>
        <w:tc>
          <w:tcPr>
            <w:tcW w:w="3114" w:type="dxa"/>
            <w:shd w:val="clear" w:color="auto" w:fill="auto"/>
            <w:noWrap/>
            <w:vAlign w:val="center"/>
            <w:hideMark/>
          </w:tcPr>
          <w:p w14:paraId="350E26FF"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Prekovremeni rad praznik 3.smjena</w:t>
            </w:r>
          </w:p>
        </w:tc>
        <w:tc>
          <w:tcPr>
            <w:tcW w:w="1417" w:type="dxa"/>
            <w:shd w:val="clear" w:color="auto" w:fill="auto"/>
            <w:noWrap/>
            <w:vAlign w:val="center"/>
            <w:hideMark/>
          </w:tcPr>
          <w:p w14:paraId="7AFADCE6" w14:textId="3FEE844B"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3</w:t>
            </w:r>
          </w:p>
        </w:tc>
        <w:tc>
          <w:tcPr>
            <w:tcW w:w="1417" w:type="dxa"/>
            <w:shd w:val="clear" w:color="auto" w:fill="auto"/>
            <w:noWrap/>
            <w:vAlign w:val="center"/>
            <w:hideMark/>
          </w:tcPr>
          <w:p w14:paraId="04F962B6" w14:textId="356D3B4B" w:rsidR="00E9713D" w:rsidRPr="00E9713D" w:rsidRDefault="0093772F" w:rsidP="00E9713D">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1</w:t>
            </w:r>
          </w:p>
        </w:tc>
        <w:tc>
          <w:tcPr>
            <w:tcW w:w="1417" w:type="dxa"/>
            <w:shd w:val="clear" w:color="auto" w:fill="auto"/>
            <w:noWrap/>
            <w:vAlign w:val="center"/>
            <w:hideMark/>
          </w:tcPr>
          <w:p w14:paraId="6E4C9D08" w14:textId="468F9885"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16,67%</w:t>
            </w:r>
          </w:p>
        </w:tc>
        <w:tc>
          <w:tcPr>
            <w:tcW w:w="1134" w:type="dxa"/>
            <w:shd w:val="clear" w:color="auto" w:fill="auto"/>
            <w:noWrap/>
            <w:vAlign w:val="center"/>
            <w:hideMark/>
          </w:tcPr>
          <w:p w14:paraId="0C312F99" w14:textId="267C466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55FBC571" w14:textId="2F334BCB"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5FAAEAF4" w14:textId="77777777" w:rsidTr="00E9713D">
        <w:trPr>
          <w:trHeight w:val="288"/>
        </w:trPr>
        <w:tc>
          <w:tcPr>
            <w:tcW w:w="3114" w:type="dxa"/>
            <w:shd w:val="clear" w:color="auto" w:fill="auto"/>
            <w:noWrap/>
            <w:vAlign w:val="center"/>
            <w:hideMark/>
          </w:tcPr>
          <w:p w14:paraId="3E64F649"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Neradni dan</w:t>
            </w:r>
          </w:p>
        </w:tc>
        <w:tc>
          <w:tcPr>
            <w:tcW w:w="1417" w:type="dxa"/>
            <w:shd w:val="clear" w:color="auto" w:fill="auto"/>
            <w:noWrap/>
            <w:vAlign w:val="center"/>
            <w:hideMark/>
          </w:tcPr>
          <w:p w14:paraId="424926EF" w14:textId="4B19A67E"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8</w:t>
            </w:r>
          </w:p>
        </w:tc>
        <w:tc>
          <w:tcPr>
            <w:tcW w:w="1417" w:type="dxa"/>
            <w:shd w:val="clear" w:color="auto" w:fill="auto"/>
            <w:noWrap/>
            <w:vAlign w:val="center"/>
            <w:hideMark/>
          </w:tcPr>
          <w:p w14:paraId="0B67858E" w14:textId="46C456E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1D7B4D30" w14:textId="569ADED8"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1E4CF18C" w14:textId="271DDC5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0,01%</w:t>
            </w:r>
          </w:p>
        </w:tc>
        <w:tc>
          <w:tcPr>
            <w:tcW w:w="1134" w:type="dxa"/>
            <w:shd w:val="clear" w:color="auto" w:fill="auto"/>
            <w:noWrap/>
            <w:vAlign w:val="center"/>
            <w:hideMark/>
          </w:tcPr>
          <w:p w14:paraId="08DB49CD" w14:textId="2EB9753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62EAE47D" w14:textId="77777777" w:rsidTr="00E9713D">
        <w:trPr>
          <w:trHeight w:val="288"/>
        </w:trPr>
        <w:tc>
          <w:tcPr>
            <w:tcW w:w="3114" w:type="dxa"/>
            <w:shd w:val="clear" w:color="auto" w:fill="auto"/>
            <w:noWrap/>
            <w:vAlign w:val="center"/>
            <w:hideMark/>
          </w:tcPr>
          <w:p w14:paraId="3B04764C"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Neopravdani izostanak radnika</w:t>
            </w:r>
          </w:p>
        </w:tc>
        <w:tc>
          <w:tcPr>
            <w:tcW w:w="1417" w:type="dxa"/>
            <w:shd w:val="clear" w:color="auto" w:fill="auto"/>
            <w:noWrap/>
            <w:vAlign w:val="center"/>
            <w:hideMark/>
          </w:tcPr>
          <w:p w14:paraId="353B0B6A" w14:textId="6CFED39E"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2</w:t>
            </w:r>
          </w:p>
        </w:tc>
        <w:tc>
          <w:tcPr>
            <w:tcW w:w="1417" w:type="dxa"/>
            <w:shd w:val="clear" w:color="auto" w:fill="auto"/>
            <w:noWrap/>
            <w:vAlign w:val="center"/>
            <w:hideMark/>
          </w:tcPr>
          <w:p w14:paraId="3531B820" w14:textId="24A08E3F"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264</w:t>
            </w:r>
          </w:p>
        </w:tc>
        <w:tc>
          <w:tcPr>
            <w:tcW w:w="1417" w:type="dxa"/>
            <w:shd w:val="clear" w:color="auto" w:fill="auto"/>
            <w:noWrap/>
            <w:vAlign w:val="center"/>
            <w:hideMark/>
          </w:tcPr>
          <w:p w14:paraId="4F717C90" w14:textId="7D9ED73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13200,00%</w:t>
            </w:r>
          </w:p>
        </w:tc>
        <w:tc>
          <w:tcPr>
            <w:tcW w:w="1134" w:type="dxa"/>
            <w:shd w:val="clear" w:color="auto" w:fill="auto"/>
            <w:noWrap/>
            <w:vAlign w:val="center"/>
            <w:hideMark/>
          </w:tcPr>
          <w:p w14:paraId="4FC49174" w14:textId="3FCB85FB"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c>
          <w:tcPr>
            <w:tcW w:w="1134" w:type="dxa"/>
            <w:shd w:val="clear" w:color="auto" w:fill="auto"/>
            <w:noWrap/>
            <w:vAlign w:val="center"/>
            <w:hideMark/>
          </w:tcPr>
          <w:p w14:paraId="430CF39F" w14:textId="0D3FFD66"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0,19%</w:t>
            </w:r>
          </w:p>
        </w:tc>
      </w:tr>
      <w:tr w:rsidR="00E9713D" w:rsidRPr="001D241A" w14:paraId="65878992" w14:textId="77777777" w:rsidTr="00E9713D">
        <w:trPr>
          <w:trHeight w:val="288"/>
        </w:trPr>
        <w:tc>
          <w:tcPr>
            <w:tcW w:w="3114" w:type="dxa"/>
            <w:shd w:val="clear" w:color="auto" w:fill="auto"/>
            <w:noWrap/>
            <w:vAlign w:val="center"/>
            <w:hideMark/>
          </w:tcPr>
          <w:p w14:paraId="684C856C"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Praznik</w:t>
            </w:r>
          </w:p>
        </w:tc>
        <w:tc>
          <w:tcPr>
            <w:tcW w:w="1417" w:type="dxa"/>
            <w:shd w:val="clear" w:color="auto" w:fill="auto"/>
            <w:noWrap/>
            <w:vAlign w:val="center"/>
            <w:hideMark/>
          </w:tcPr>
          <w:p w14:paraId="5AA75D4B" w14:textId="09C08390"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4.130</w:t>
            </w:r>
          </w:p>
        </w:tc>
        <w:tc>
          <w:tcPr>
            <w:tcW w:w="1417" w:type="dxa"/>
            <w:shd w:val="clear" w:color="auto" w:fill="auto"/>
            <w:noWrap/>
            <w:vAlign w:val="center"/>
            <w:hideMark/>
          </w:tcPr>
          <w:p w14:paraId="61B2F703" w14:textId="036FA772"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4.835</w:t>
            </w:r>
          </w:p>
        </w:tc>
        <w:tc>
          <w:tcPr>
            <w:tcW w:w="1417" w:type="dxa"/>
            <w:shd w:val="clear" w:color="auto" w:fill="auto"/>
            <w:noWrap/>
            <w:vAlign w:val="center"/>
            <w:hideMark/>
          </w:tcPr>
          <w:p w14:paraId="29BB1618" w14:textId="1963D1F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117%</w:t>
            </w:r>
          </w:p>
        </w:tc>
        <w:tc>
          <w:tcPr>
            <w:tcW w:w="1134" w:type="dxa"/>
            <w:shd w:val="clear" w:color="auto" w:fill="auto"/>
            <w:noWrap/>
            <w:vAlign w:val="center"/>
            <w:hideMark/>
          </w:tcPr>
          <w:p w14:paraId="094B4EB2" w14:textId="0F9B481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3,04%</w:t>
            </w:r>
          </w:p>
        </w:tc>
        <w:tc>
          <w:tcPr>
            <w:tcW w:w="1134" w:type="dxa"/>
            <w:shd w:val="clear" w:color="auto" w:fill="auto"/>
            <w:noWrap/>
            <w:vAlign w:val="center"/>
            <w:hideMark/>
          </w:tcPr>
          <w:p w14:paraId="2916AA14" w14:textId="70E109F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3,39%</w:t>
            </w:r>
          </w:p>
        </w:tc>
      </w:tr>
      <w:tr w:rsidR="00E9713D" w:rsidRPr="001D241A" w14:paraId="4B192B9D" w14:textId="77777777" w:rsidTr="00E9713D">
        <w:trPr>
          <w:trHeight w:val="288"/>
        </w:trPr>
        <w:tc>
          <w:tcPr>
            <w:tcW w:w="3114" w:type="dxa"/>
            <w:shd w:val="clear" w:color="auto" w:fill="auto"/>
            <w:noWrap/>
            <w:vAlign w:val="center"/>
            <w:hideMark/>
          </w:tcPr>
          <w:p w14:paraId="1BB58ABF"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Godišnji odmor</w:t>
            </w:r>
          </w:p>
        </w:tc>
        <w:tc>
          <w:tcPr>
            <w:tcW w:w="1417" w:type="dxa"/>
            <w:shd w:val="clear" w:color="auto" w:fill="auto"/>
            <w:noWrap/>
            <w:vAlign w:val="center"/>
            <w:hideMark/>
          </w:tcPr>
          <w:p w14:paraId="1E9879A9" w14:textId="1109F3F3"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14.326</w:t>
            </w:r>
          </w:p>
        </w:tc>
        <w:tc>
          <w:tcPr>
            <w:tcW w:w="1417" w:type="dxa"/>
            <w:shd w:val="clear" w:color="auto" w:fill="auto"/>
            <w:noWrap/>
            <w:vAlign w:val="center"/>
            <w:hideMark/>
          </w:tcPr>
          <w:p w14:paraId="5A800BAE" w14:textId="6170E99C"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14.438</w:t>
            </w:r>
          </w:p>
        </w:tc>
        <w:tc>
          <w:tcPr>
            <w:tcW w:w="1417" w:type="dxa"/>
            <w:shd w:val="clear" w:color="auto" w:fill="auto"/>
            <w:noWrap/>
            <w:vAlign w:val="center"/>
            <w:hideMark/>
          </w:tcPr>
          <w:p w14:paraId="7D4CF064" w14:textId="0C49998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101%</w:t>
            </w:r>
          </w:p>
        </w:tc>
        <w:tc>
          <w:tcPr>
            <w:tcW w:w="1134" w:type="dxa"/>
            <w:shd w:val="clear" w:color="auto" w:fill="auto"/>
            <w:noWrap/>
            <w:vAlign w:val="center"/>
            <w:hideMark/>
          </w:tcPr>
          <w:p w14:paraId="0BAF38E6" w14:textId="520B1C1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10,54%</w:t>
            </w:r>
          </w:p>
        </w:tc>
        <w:tc>
          <w:tcPr>
            <w:tcW w:w="1134" w:type="dxa"/>
            <w:shd w:val="clear" w:color="auto" w:fill="auto"/>
            <w:noWrap/>
            <w:vAlign w:val="center"/>
            <w:hideMark/>
          </w:tcPr>
          <w:p w14:paraId="5C2679BD" w14:textId="5D456C7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10,13%</w:t>
            </w:r>
          </w:p>
        </w:tc>
      </w:tr>
      <w:tr w:rsidR="00E9713D" w:rsidRPr="001D241A" w14:paraId="1CECAD79" w14:textId="77777777" w:rsidTr="00E9713D">
        <w:trPr>
          <w:trHeight w:val="288"/>
        </w:trPr>
        <w:tc>
          <w:tcPr>
            <w:tcW w:w="3114" w:type="dxa"/>
            <w:shd w:val="clear" w:color="auto" w:fill="auto"/>
            <w:noWrap/>
            <w:vAlign w:val="center"/>
            <w:hideMark/>
          </w:tcPr>
          <w:p w14:paraId="1FAB0BB7"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Bolovanje do 42 dana</w:t>
            </w:r>
          </w:p>
        </w:tc>
        <w:tc>
          <w:tcPr>
            <w:tcW w:w="1417" w:type="dxa"/>
            <w:shd w:val="clear" w:color="auto" w:fill="auto"/>
            <w:noWrap/>
            <w:vAlign w:val="center"/>
            <w:hideMark/>
          </w:tcPr>
          <w:p w14:paraId="7FED319C" w14:textId="4C88F1A8"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8.403</w:t>
            </w:r>
          </w:p>
        </w:tc>
        <w:tc>
          <w:tcPr>
            <w:tcW w:w="1417" w:type="dxa"/>
            <w:shd w:val="clear" w:color="auto" w:fill="auto"/>
            <w:noWrap/>
            <w:vAlign w:val="center"/>
            <w:hideMark/>
          </w:tcPr>
          <w:p w14:paraId="49952E79" w14:textId="3AD65D4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6.084</w:t>
            </w:r>
          </w:p>
        </w:tc>
        <w:tc>
          <w:tcPr>
            <w:tcW w:w="1417" w:type="dxa"/>
            <w:shd w:val="clear" w:color="auto" w:fill="auto"/>
            <w:noWrap/>
            <w:vAlign w:val="center"/>
            <w:hideMark/>
          </w:tcPr>
          <w:p w14:paraId="7B24BB15" w14:textId="46D78AA9"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72%</w:t>
            </w:r>
          </w:p>
        </w:tc>
        <w:tc>
          <w:tcPr>
            <w:tcW w:w="1134" w:type="dxa"/>
            <w:shd w:val="clear" w:color="auto" w:fill="auto"/>
            <w:noWrap/>
            <w:vAlign w:val="center"/>
            <w:hideMark/>
          </w:tcPr>
          <w:p w14:paraId="4B2A20BF" w14:textId="5B322646"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6,18%</w:t>
            </w:r>
          </w:p>
        </w:tc>
        <w:tc>
          <w:tcPr>
            <w:tcW w:w="1134" w:type="dxa"/>
            <w:shd w:val="clear" w:color="auto" w:fill="auto"/>
            <w:noWrap/>
            <w:vAlign w:val="center"/>
            <w:hideMark/>
          </w:tcPr>
          <w:p w14:paraId="2A370CA4" w14:textId="6730F3F9"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4,27%</w:t>
            </w:r>
          </w:p>
        </w:tc>
      </w:tr>
      <w:tr w:rsidR="00E9713D" w:rsidRPr="001D241A" w14:paraId="462DC3DE" w14:textId="77777777" w:rsidTr="00E9713D">
        <w:trPr>
          <w:trHeight w:val="288"/>
        </w:trPr>
        <w:tc>
          <w:tcPr>
            <w:tcW w:w="3114" w:type="dxa"/>
            <w:shd w:val="clear" w:color="auto" w:fill="auto"/>
            <w:noWrap/>
            <w:vAlign w:val="center"/>
            <w:hideMark/>
          </w:tcPr>
          <w:p w14:paraId="3EC7AFC8"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Bolovanje preko 42 dana</w:t>
            </w:r>
          </w:p>
        </w:tc>
        <w:tc>
          <w:tcPr>
            <w:tcW w:w="1417" w:type="dxa"/>
            <w:shd w:val="clear" w:color="auto" w:fill="auto"/>
            <w:noWrap/>
            <w:vAlign w:val="center"/>
            <w:hideMark/>
          </w:tcPr>
          <w:p w14:paraId="0DAF67AC" w14:textId="1CA54B93"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10.708</w:t>
            </w:r>
          </w:p>
        </w:tc>
        <w:tc>
          <w:tcPr>
            <w:tcW w:w="1417" w:type="dxa"/>
            <w:shd w:val="clear" w:color="auto" w:fill="auto"/>
            <w:noWrap/>
            <w:vAlign w:val="center"/>
            <w:hideMark/>
          </w:tcPr>
          <w:p w14:paraId="1D28E710" w14:textId="67F55927"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5.820</w:t>
            </w:r>
          </w:p>
        </w:tc>
        <w:tc>
          <w:tcPr>
            <w:tcW w:w="1417" w:type="dxa"/>
            <w:shd w:val="clear" w:color="auto" w:fill="auto"/>
            <w:noWrap/>
            <w:vAlign w:val="center"/>
            <w:hideMark/>
          </w:tcPr>
          <w:p w14:paraId="4534FF6B" w14:textId="655E729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54%</w:t>
            </w:r>
          </w:p>
        </w:tc>
        <w:tc>
          <w:tcPr>
            <w:tcW w:w="1134" w:type="dxa"/>
            <w:shd w:val="clear" w:color="auto" w:fill="auto"/>
            <w:noWrap/>
            <w:vAlign w:val="center"/>
            <w:hideMark/>
          </w:tcPr>
          <w:p w14:paraId="1D3784F7" w14:textId="74C3C49C"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 </w:t>
            </w:r>
          </w:p>
        </w:tc>
        <w:tc>
          <w:tcPr>
            <w:tcW w:w="1134" w:type="dxa"/>
            <w:shd w:val="clear" w:color="auto" w:fill="auto"/>
            <w:noWrap/>
            <w:vAlign w:val="center"/>
            <w:hideMark/>
          </w:tcPr>
          <w:p w14:paraId="75F4AA14" w14:textId="4D64BA43"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 </w:t>
            </w:r>
          </w:p>
        </w:tc>
      </w:tr>
      <w:tr w:rsidR="00E9713D" w:rsidRPr="001D241A" w14:paraId="0B6F7219" w14:textId="77777777" w:rsidTr="00E9713D">
        <w:trPr>
          <w:trHeight w:val="288"/>
        </w:trPr>
        <w:tc>
          <w:tcPr>
            <w:tcW w:w="3114" w:type="dxa"/>
            <w:shd w:val="clear" w:color="auto" w:fill="auto"/>
            <w:noWrap/>
            <w:vAlign w:val="center"/>
            <w:hideMark/>
          </w:tcPr>
          <w:p w14:paraId="64BFE633"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Plaćeni dopust</w:t>
            </w:r>
          </w:p>
        </w:tc>
        <w:tc>
          <w:tcPr>
            <w:tcW w:w="1417" w:type="dxa"/>
            <w:shd w:val="clear" w:color="auto" w:fill="auto"/>
            <w:noWrap/>
            <w:vAlign w:val="center"/>
            <w:hideMark/>
          </w:tcPr>
          <w:p w14:paraId="30EF2877" w14:textId="1CAB3A97"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496</w:t>
            </w:r>
          </w:p>
        </w:tc>
        <w:tc>
          <w:tcPr>
            <w:tcW w:w="1417" w:type="dxa"/>
            <w:shd w:val="clear" w:color="auto" w:fill="auto"/>
            <w:noWrap/>
            <w:vAlign w:val="center"/>
            <w:hideMark/>
          </w:tcPr>
          <w:p w14:paraId="61F03352" w14:textId="40092FDB"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561</w:t>
            </w:r>
          </w:p>
        </w:tc>
        <w:tc>
          <w:tcPr>
            <w:tcW w:w="1417" w:type="dxa"/>
            <w:shd w:val="clear" w:color="auto" w:fill="auto"/>
            <w:noWrap/>
            <w:vAlign w:val="center"/>
            <w:hideMark/>
          </w:tcPr>
          <w:p w14:paraId="56EDC5AD" w14:textId="634E7198"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113%</w:t>
            </w:r>
          </w:p>
        </w:tc>
        <w:tc>
          <w:tcPr>
            <w:tcW w:w="1134" w:type="dxa"/>
            <w:shd w:val="clear" w:color="auto" w:fill="auto"/>
            <w:noWrap/>
            <w:vAlign w:val="center"/>
            <w:hideMark/>
          </w:tcPr>
          <w:p w14:paraId="7AC56578" w14:textId="74544B5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0,36%</w:t>
            </w:r>
          </w:p>
        </w:tc>
        <w:tc>
          <w:tcPr>
            <w:tcW w:w="1134" w:type="dxa"/>
            <w:shd w:val="clear" w:color="auto" w:fill="auto"/>
            <w:noWrap/>
            <w:vAlign w:val="center"/>
            <w:hideMark/>
          </w:tcPr>
          <w:p w14:paraId="01D2B4D1" w14:textId="2EA8B57D"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0,39%</w:t>
            </w:r>
          </w:p>
        </w:tc>
      </w:tr>
      <w:tr w:rsidR="00E9713D" w:rsidRPr="001D241A" w14:paraId="684E1A15" w14:textId="77777777" w:rsidTr="00E9713D">
        <w:trPr>
          <w:trHeight w:val="288"/>
        </w:trPr>
        <w:tc>
          <w:tcPr>
            <w:tcW w:w="3114" w:type="dxa"/>
            <w:shd w:val="clear" w:color="auto" w:fill="auto"/>
            <w:noWrap/>
            <w:vAlign w:val="center"/>
            <w:hideMark/>
          </w:tcPr>
          <w:p w14:paraId="4D78D717" w14:textId="77777777" w:rsidR="00E9713D" w:rsidRPr="001D241A" w:rsidRDefault="00E9713D" w:rsidP="00E9713D">
            <w:pPr>
              <w:spacing w:after="0" w:line="240" w:lineRule="auto"/>
              <w:rPr>
                <w:rFonts w:eastAsia="Times New Roman" w:cstheme="minorHAnsi"/>
                <w:color w:val="000000"/>
                <w:sz w:val="18"/>
                <w:szCs w:val="18"/>
                <w:lang w:eastAsia="hr-HR"/>
              </w:rPr>
            </w:pPr>
            <w:r w:rsidRPr="001D241A">
              <w:rPr>
                <w:rFonts w:eastAsia="Times New Roman" w:cstheme="minorHAnsi"/>
                <w:color w:val="000000"/>
                <w:sz w:val="18"/>
                <w:szCs w:val="18"/>
                <w:lang w:eastAsia="hr-HR"/>
              </w:rPr>
              <w:t>Neplaćeni dopust</w:t>
            </w:r>
          </w:p>
        </w:tc>
        <w:tc>
          <w:tcPr>
            <w:tcW w:w="1417" w:type="dxa"/>
            <w:shd w:val="clear" w:color="auto" w:fill="auto"/>
            <w:noWrap/>
            <w:vAlign w:val="center"/>
            <w:hideMark/>
          </w:tcPr>
          <w:p w14:paraId="2FE06C0F" w14:textId="68FFAD29"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201</w:t>
            </w:r>
          </w:p>
        </w:tc>
        <w:tc>
          <w:tcPr>
            <w:tcW w:w="1417" w:type="dxa"/>
            <w:shd w:val="clear" w:color="auto" w:fill="auto"/>
            <w:noWrap/>
            <w:vAlign w:val="center"/>
            <w:hideMark/>
          </w:tcPr>
          <w:p w14:paraId="4F9E366B" w14:textId="602C4DC6"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417" w:type="dxa"/>
            <w:shd w:val="clear" w:color="auto" w:fill="auto"/>
            <w:noWrap/>
            <w:vAlign w:val="center"/>
            <w:hideMark/>
          </w:tcPr>
          <w:p w14:paraId="039A7ED7" w14:textId="77E7501A"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134" w:type="dxa"/>
            <w:shd w:val="clear" w:color="auto" w:fill="auto"/>
            <w:noWrap/>
            <w:vAlign w:val="center"/>
            <w:hideMark/>
          </w:tcPr>
          <w:p w14:paraId="5900BB05" w14:textId="0A11F45E"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0,15%</w:t>
            </w:r>
          </w:p>
        </w:tc>
        <w:tc>
          <w:tcPr>
            <w:tcW w:w="1134" w:type="dxa"/>
            <w:shd w:val="clear" w:color="auto" w:fill="auto"/>
            <w:noWrap/>
            <w:vAlign w:val="center"/>
            <w:hideMark/>
          </w:tcPr>
          <w:p w14:paraId="0C13A282" w14:textId="22B8E763"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0,00%</w:t>
            </w:r>
          </w:p>
        </w:tc>
      </w:tr>
      <w:tr w:rsidR="00E9713D" w:rsidRPr="001D241A" w14:paraId="1F84702C" w14:textId="77777777" w:rsidTr="00E9713D">
        <w:trPr>
          <w:trHeight w:val="288"/>
        </w:trPr>
        <w:tc>
          <w:tcPr>
            <w:tcW w:w="3114" w:type="dxa"/>
            <w:shd w:val="clear" w:color="auto" w:fill="auto"/>
            <w:noWrap/>
            <w:vAlign w:val="center"/>
            <w:hideMark/>
          </w:tcPr>
          <w:p w14:paraId="174B9510" w14:textId="77777777" w:rsidR="00E9713D" w:rsidRPr="001D241A" w:rsidRDefault="00E9713D" w:rsidP="00E9713D">
            <w:pPr>
              <w:spacing w:after="0" w:line="240" w:lineRule="auto"/>
              <w:rPr>
                <w:rFonts w:eastAsia="Times New Roman" w:cstheme="minorHAnsi"/>
                <w:b/>
                <w:bCs/>
                <w:sz w:val="18"/>
                <w:szCs w:val="18"/>
                <w:lang w:eastAsia="hr-HR"/>
              </w:rPr>
            </w:pPr>
            <w:r w:rsidRPr="001D241A">
              <w:rPr>
                <w:rFonts w:eastAsia="Times New Roman" w:cstheme="minorHAnsi"/>
                <w:b/>
                <w:bCs/>
                <w:sz w:val="18"/>
                <w:szCs w:val="18"/>
                <w:lang w:eastAsia="hr-HR"/>
              </w:rPr>
              <w:t>UKUPNO</w:t>
            </w:r>
          </w:p>
        </w:tc>
        <w:tc>
          <w:tcPr>
            <w:tcW w:w="1417" w:type="dxa"/>
            <w:shd w:val="clear" w:color="auto" w:fill="auto"/>
            <w:noWrap/>
            <w:vAlign w:val="center"/>
            <w:hideMark/>
          </w:tcPr>
          <w:p w14:paraId="49A23CD6" w14:textId="0A6BCB44" w:rsidR="00E9713D" w:rsidRPr="001D241A" w:rsidRDefault="00E9713D" w:rsidP="00E9713D">
            <w:pPr>
              <w:spacing w:after="0" w:line="240" w:lineRule="auto"/>
              <w:jc w:val="center"/>
              <w:rPr>
                <w:rFonts w:eastAsia="Times New Roman" w:cstheme="minorHAnsi"/>
                <w:b/>
                <w:bCs/>
                <w:sz w:val="18"/>
                <w:szCs w:val="18"/>
                <w:lang w:eastAsia="hr-HR"/>
              </w:rPr>
            </w:pPr>
            <w:r w:rsidRPr="001D241A">
              <w:rPr>
                <w:rFonts w:eastAsia="Times New Roman" w:cstheme="minorHAnsi"/>
                <w:b/>
                <w:bCs/>
                <w:sz w:val="18"/>
                <w:szCs w:val="18"/>
                <w:lang w:eastAsia="hr-HR"/>
              </w:rPr>
              <w:t>135.915</w:t>
            </w:r>
          </w:p>
        </w:tc>
        <w:tc>
          <w:tcPr>
            <w:tcW w:w="1417" w:type="dxa"/>
            <w:shd w:val="clear" w:color="auto" w:fill="auto"/>
            <w:noWrap/>
            <w:vAlign w:val="center"/>
            <w:hideMark/>
          </w:tcPr>
          <w:p w14:paraId="7004B628" w14:textId="29FBDB6A" w:rsidR="00E9713D" w:rsidRPr="00E9713D" w:rsidRDefault="00E9713D" w:rsidP="00E9713D">
            <w:pPr>
              <w:spacing w:after="0" w:line="240" w:lineRule="auto"/>
              <w:jc w:val="center"/>
              <w:rPr>
                <w:rFonts w:eastAsia="Times New Roman" w:cstheme="minorHAnsi"/>
                <w:b/>
                <w:bCs/>
                <w:sz w:val="18"/>
                <w:szCs w:val="18"/>
                <w:lang w:eastAsia="hr-HR"/>
              </w:rPr>
            </w:pPr>
            <w:r w:rsidRPr="00E9713D">
              <w:rPr>
                <w:rFonts w:cstheme="minorHAnsi"/>
                <w:b/>
                <w:bCs/>
                <w:sz w:val="18"/>
                <w:szCs w:val="18"/>
              </w:rPr>
              <w:t>142.472</w:t>
            </w:r>
          </w:p>
        </w:tc>
        <w:tc>
          <w:tcPr>
            <w:tcW w:w="1417" w:type="dxa"/>
            <w:shd w:val="clear" w:color="auto" w:fill="auto"/>
            <w:noWrap/>
            <w:vAlign w:val="center"/>
            <w:hideMark/>
          </w:tcPr>
          <w:p w14:paraId="7FCD0341" w14:textId="00965869" w:rsidR="00E9713D" w:rsidRPr="00E9713D" w:rsidRDefault="00E9713D" w:rsidP="00E9713D">
            <w:pPr>
              <w:spacing w:after="0" w:line="240" w:lineRule="auto"/>
              <w:jc w:val="center"/>
              <w:rPr>
                <w:rFonts w:eastAsia="Times New Roman" w:cstheme="minorHAnsi"/>
                <w:b/>
                <w:bCs/>
                <w:color w:val="000000"/>
                <w:sz w:val="18"/>
                <w:szCs w:val="18"/>
                <w:lang w:eastAsia="hr-HR"/>
              </w:rPr>
            </w:pPr>
            <w:r w:rsidRPr="00E9713D">
              <w:rPr>
                <w:rFonts w:cstheme="minorHAnsi"/>
                <w:b/>
                <w:bCs/>
                <w:color w:val="000000"/>
                <w:sz w:val="18"/>
                <w:szCs w:val="18"/>
              </w:rPr>
              <w:t>105%</w:t>
            </w:r>
          </w:p>
        </w:tc>
        <w:tc>
          <w:tcPr>
            <w:tcW w:w="1134" w:type="dxa"/>
            <w:shd w:val="clear" w:color="auto" w:fill="auto"/>
            <w:noWrap/>
            <w:vAlign w:val="center"/>
            <w:hideMark/>
          </w:tcPr>
          <w:p w14:paraId="7702D603" w14:textId="4A188EE2" w:rsidR="00E9713D" w:rsidRPr="00E9713D" w:rsidRDefault="00E9713D" w:rsidP="00E9713D">
            <w:pPr>
              <w:spacing w:after="0" w:line="240" w:lineRule="auto"/>
              <w:jc w:val="center"/>
              <w:rPr>
                <w:rFonts w:eastAsia="Times New Roman" w:cstheme="minorHAnsi"/>
                <w:b/>
                <w:bCs/>
                <w:sz w:val="18"/>
                <w:szCs w:val="18"/>
                <w:lang w:eastAsia="hr-HR"/>
              </w:rPr>
            </w:pPr>
            <w:r w:rsidRPr="00E9713D">
              <w:rPr>
                <w:rFonts w:cstheme="minorHAnsi"/>
                <w:b/>
                <w:bCs/>
                <w:sz w:val="18"/>
                <w:szCs w:val="18"/>
              </w:rPr>
              <w:t>100%</w:t>
            </w:r>
          </w:p>
        </w:tc>
        <w:tc>
          <w:tcPr>
            <w:tcW w:w="1134" w:type="dxa"/>
            <w:shd w:val="clear" w:color="auto" w:fill="auto"/>
            <w:noWrap/>
            <w:vAlign w:val="center"/>
            <w:hideMark/>
          </w:tcPr>
          <w:p w14:paraId="42D9259A" w14:textId="2A6F7854" w:rsidR="00E9713D" w:rsidRPr="00E9713D" w:rsidRDefault="00E9713D" w:rsidP="00E9713D">
            <w:pPr>
              <w:spacing w:after="0" w:line="240" w:lineRule="auto"/>
              <w:jc w:val="center"/>
              <w:rPr>
                <w:rFonts w:eastAsia="Times New Roman" w:cstheme="minorHAnsi"/>
                <w:b/>
                <w:bCs/>
                <w:sz w:val="18"/>
                <w:szCs w:val="18"/>
                <w:lang w:eastAsia="hr-HR"/>
              </w:rPr>
            </w:pPr>
            <w:r w:rsidRPr="00E9713D">
              <w:rPr>
                <w:rFonts w:cstheme="minorHAnsi"/>
                <w:b/>
                <w:bCs/>
                <w:sz w:val="18"/>
                <w:szCs w:val="18"/>
              </w:rPr>
              <w:t>100%</w:t>
            </w:r>
          </w:p>
        </w:tc>
      </w:tr>
      <w:tr w:rsidR="00E9713D" w:rsidRPr="001D241A" w14:paraId="64C0B10D" w14:textId="77777777" w:rsidTr="00E9713D">
        <w:trPr>
          <w:trHeight w:val="288"/>
        </w:trPr>
        <w:tc>
          <w:tcPr>
            <w:tcW w:w="3114" w:type="dxa"/>
            <w:shd w:val="clear" w:color="auto" w:fill="auto"/>
            <w:noWrap/>
            <w:vAlign w:val="center"/>
            <w:hideMark/>
          </w:tcPr>
          <w:p w14:paraId="36CFF8B0" w14:textId="77777777" w:rsidR="00E9713D" w:rsidRPr="001D241A" w:rsidRDefault="00E9713D" w:rsidP="00E9713D">
            <w:pPr>
              <w:spacing w:after="0" w:line="240" w:lineRule="auto"/>
              <w:rPr>
                <w:rFonts w:eastAsia="Times New Roman" w:cstheme="minorHAnsi"/>
                <w:sz w:val="18"/>
                <w:szCs w:val="18"/>
                <w:lang w:eastAsia="hr-HR"/>
              </w:rPr>
            </w:pPr>
            <w:r w:rsidRPr="001D241A">
              <w:rPr>
                <w:rFonts w:eastAsia="Times New Roman" w:cstheme="minorHAnsi"/>
                <w:sz w:val="18"/>
                <w:szCs w:val="18"/>
                <w:lang w:eastAsia="hr-HR"/>
              </w:rPr>
              <w:t>Prosječan broj radnika iz sati rada</w:t>
            </w:r>
          </w:p>
        </w:tc>
        <w:tc>
          <w:tcPr>
            <w:tcW w:w="1417" w:type="dxa"/>
            <w:shd w:val="clear" w:color="auto" w:fill="auto"/>
            <w:noWrap/>
            <w:vAlign w:val="center"/>
            <w:hideMark/>
          </w:tcPr>
          <w:p w14:paraId="63845452" w14:textId="0E7387C5" w:rsidR="00E9713D" w:rsidRPr="001D241A" w:rsidRDefault="00E9713D" w:rsidP="00E9713D">
            <w:pPr>
              <w:spacing w:after="0" w:line="240" w:lineRule="auto"/>
              <w:jc w:val="center"/>
              <w:rPr>
                <w:rFonts w:eastAsia="Times New Roman" w:cstheme="minorHAnsi"/>
                <w:color w:val="000000"/>
                <w:sz w:val="18"/>
                <w:szCs w:val="18"/>
                <w:lang w:eastAsia="hr-HR"/>
              </w:rPr>
            </w:pPr>
            <w:r w:rsidRPr="001D241A">
              <w:rPr>
                <w:rFonts w:eastAsia="Times New Roman" w:cstheme="minorHAnsi"/>
                <w:color w:val="000000"/>
                <w:sz w:val="18"/>
                <w:szCs w:val="18"/>
                <w:lang w:eastAsia="hr-HR"/>
              </w:rPr>
              <w:t>65</w:t>
            </w:r>
          </w:p>
        </w:tc>
        <w:tc>
          <w:tcPr>
            <w:tcW w:w="1417" w:type="dxa"/>
            <w:shd w:val="clear" w:color="auto" w:fill="auto"/>
            <w:noWrap/>
            <w:vAlign w:val="center"/>
            <w:hideMark/>
          </w:tcPr>
          <w:p w14:paraId="66A3CC91" w14:textId="0FDE98A9"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 </w:t>
            </w:r>
            <w:r w:rsidR="00AA705E">
              <w:rPr>
                <w:rFonts w:cstheme="minorHAnsi"/>
                <w:color w:val="000000"/>
                <w:sz w:val="18"/>
                <w:szCs w:val="18"/>
              </w:rPr>
              <w:t>6</w:t>
            </w:r>
            <w:r w:rsidR="003933DC">
              <w:rPr>
                <w:rFonts w:cstheme="minorHAnsi"/>
                <w:color w:val="000000"/>
                <w:sz w:val="18"/>
                <w:szCs w:val="18"/>
              </w:rPr>
              <w:t>8</w:t>
            </w:r>
          </w:p>
        </w:tc>
        <w:tc>
          <w:tcPr>
            <w:tcW w:w="1417" w:type="dxa"/>
            <w:shd w:val="clear" w:color="auto" w:fill="auto"/>
            <w:noWrap/>
            <w:vAlign w:val="center"/>
            <w:hideMark/>
          </w:tcPr>
          <w:p w14:paraId="34EBBD67" w14:textId="62626359"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0%</w:t>
            </w:r>
          </w:p>
        </w:tc>
        <w:tc>
          <w:tcPr>
            <w:tcW w:w="1134" w:type="dxa"/>
            <w:shd w:val="clear" w:color="auto" w:fill="auto"/>
            <w:noWrap/>
            <w:vAlign w:val="center"/>
            <w:hideMark/>
          </w:tcPr>
          <w:p w14:paraId="52CDF361" w14:textId="184C7ACB"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 </w:t>
            </w:r>
          </w:p>
        </w:tc>
        <w:tc>
          <w:tcPr>
            <w:tcW w:w="1134" w:type="dxa"/>
            <w:shd w:val="clear" w:color="auto" w:fill="auto"/>
            <w:noWrap/>
            <w:vAlign w:val="center"/>
            <w:hideMark/>
          </w:tcPr>
          <w:p w14:paraId="41FEBDB5" w14:textId="7362C7C0" w:rsidR="00E9713D" w:rsidRPr="00E9713D" w:rsidRDefault="00E9713D" w:rsidP="00E9713D">
            <w:pPr>
              <w:spacing w:after="0" w:line="240" w:lineRule="auto"/>
              <w:jc w:val="center"/>
              <w:rPr>
                <w:rFonts w:eastAsia="Times New Roman" w:cstheme="minorHAnsi"/>
                <w:color w:val="000000"/>
                <w:sz w:val="18"/>
                <w:szCs w:val="18"/>
                <w:lang w:eastAsia="hr-HR"/>
              </w:rPr>
            </w:pPr>
            <w:r w:rsidRPr="00E9713D">
              <w:rPr>
                <w:rFonts w:cstheme="minorHAnsi"/>
                <w:color w:val="000000"/>
                <w:sz w:val="18"/>
                <w:szCs w:val="18"/>
              </w:rPr>
              <w:t> </w:t>
            </w:r>
          </w:p>
        </w:tc>
      </w:tr>
    </w:tbl>
    <w:p w14:paraId="2C0DA4C1" w14:textId="37923B7B" w:rsidR="00482EAD" w:rsidRDefault="00482EAD" w:rsidP="00B55C63">
      <w:pPr>
        <w:spacing w:line="360" w:lineRule="auto"/>
        <w:jc w:val="both"/>
      </w:pPr>
    </w:p>
    <w:p w14:paraId="26CB2043" w14:textId="77777777" w:rsidR="00A61EC0" w:rsidRDefault="00A61EC0">
      <w:r>
        <w:br w:type="page"/>
      </w:r>
    </w:p>
    <w:p w14:paraId="697F1933" w14:textId="238A7624" w:rsidR="008E308B" w:rsidRPr="004C3E99" w:rsidRDefault="008E308B" w:rsidP="008E308B">
      <w:pPr>
        <w:pStyle w:val="NoSpacing"/>
        <w:spacing w:before="120" w:after="120" w:line="360" w:lineRule="auto"/>
        <w:jc w:val="both"/>
      </w:pPr>
      <w:r w:rsidRPr="004C3E99">
        <w:lastRenderedPageBreak/>
        <w:t>U gornjoj tablici dan je prikaz iskorištenosti radnog vremena u 202</w:t>
      </w:r>
      <w:r w:rsidR="005375C1">
        <w:t>4</w:t>
      </w:r>
      <w:r w:rsidRPr="004C3E99">
        <w:t>. godini u odnosu na 202</w:t>
      </w:r>
      <w:r w:rsidR="005375C1">
        <w:t>3</w:t>
      </w:r>
      <w:r w:rsidRPr="004C3E99">
        <w:t>. godinu.</w:t>
      </w:r>
    </w:p>
    <w:p w14:paraId="4FB51D1F" w14:textId="77777777" w:rsidR="00D566A7" w:rsidRPr="00D566A7" w:rsidRDefault="00D566A7" w:rsidP="008E308B">
      <w:pPr>
        <w:pStyle w:val="NoSpacing"/>
        <w:spacing w:before="120" w:after="120" w:line="360" w:lineRule="auto"/>
        <w:jc w:val="both"/>
      </w:pPr>
      <w:r w:rsidRPr="00D566A7">
        <w:t>Bolovanja duža od 42 dana nisu uključena u ukupan broj sati, jer se njihov trošak u cijelosti refundira iz sredstava Hrvatskog zavoda za zdravstveno osiguranje (HZZO).</w:t>
      </w:r>
    </w:p>
    <w:p w14:paraId="1628B367" w14:textId="472E2102" w:rsidR="00C905E4" w:rsidRDefault="005F263E" w:rsidP="008E308B">
      <w:pPr>
        <w:pStyle w:val="NoSpacing"/>
        <w:spacing w:before="120" w:after="120" w:line="360" w:lineRule="auto"/>
        <w:jc w:val="both"/>
      </w:pPr>
      <w:r w:rsidRPr="005F263E">
        <w:t>Ukupan broj radnih sati u 2024. godini iznosi 142.472 sata, što predstavlja povećanje od 5% u odnosu na prethodnu godinu. Povećanje se najvećim dijelom odnosi na rast prosječnog broja zaposlenih u Društvu.</w:t>
      </w:r>
    </w:p>
    <w:p w14:paraId="68721CD0" w14:textId="48CDD957" w:rsidR="003B726C" w:rsidRDefault="003B726C" w:rsidP="003B726C">
      <w:pPr>
        <w:pStyle w:val="NoSpacing"/>
        <w:spacing w:before="120" w:after="120" w:line="360" w:lineRule="auto"/>
        <w:jc w:val="both"/>
      </w:pPr>
      <w:r w:rsidRPr="003B726C">
        <w:t xml:space="preserve">Ukupno redovno radno vrijeme poraslo je s 105.163 sati u 2023. na 113.327 sati u 2024. godini </w:t>
      </w:r>
      <w:r>
        <w:t>što je za 8% više. Z</w:t>
      </w:r>
      <w:r w:rsidRPr="003B726C">
        <w:t>abilježen je porast u gotovo svim kategorijama</w:t>
      </w:r>
      <w:r>
        <w:t xml:space="preserve"> pa je tako r</w:t>
      </w:r>
      <w:r w:rsidRPr="003B726C">
        <w:t>edovan rad u 1. smjeni povećan za 7%,</w:t>
      </w:r>
      <w:r w:rsidR="00F04A4B">
        <w:t xml:space="preserve"> </w:t>
      </w:r>
      <w:r w:rsidRPr="003B726C">
        <w:t>a u 2. smjeni za 9%</w:t>
      </w:r>
      <w:r>
        <w:t xml:space="preserve"> , redovan r</w:t>
      </w:r>
      <w:r w:rsidRPr="003B726C">
        <w:t>ad na praznik u 1. smjeni porastao je za čak 29%</w:t>
      </w:r>
      <w:r>
        <w:t xml:space="preserve"> dok je redovan r</w:t>
      </w:r>
      <w:r w:rsidRPr="003B726C">
        <w:t xml:space="preserve">ad na praznik u </w:t>
      </w:r>
      <w:r>
        <w:t>2</w:t>
      </w:r>
      <w:r w:rsidRPr="003B726C">
        <w:t>. smjeni</w:t>
      </w:r>
      <w:r>
        <w:t xml:space="preserve"> ostao na istoj razini. </w:t>
      </w:r>
    </w:p>
    <w:p w14:paraId="56421E77" w14:textId="177A66AD" w:rsidR="003B726C" w:rsidRPr="003B726C" w:rsidRDefault="003B726C" w:rsidP="003B726C">
      <w:pPr>
        <w:pStyle w:val="NoSpacing"/>
        <w:spacing w:before="120" w:after="120" w:line="360" w:lineRule="auto"/>
        <w:jc w:val="both"/>
      </w:pPr>
      <w:r w:rsidRPr="003B726C">
        <w:t>U 2024. godini nije ostvaren redovan rad u 3. smjeni, kao ni redovan rad nedjeljom, za razliku od 2023. godine.</w:t>
      </w:r>
    </w:p>
    <w:p w14:paraId="4602F710" w14:textId="5439E887" w:rsidR="003B726C" w:rsidRDefault="001E1785" w:rsidP="008E308B">
      <w:pPr>
        <w:pStyle w:val="NoSpacing"/>
        <w:spacing w:before="120" w:after="120" w:line="360" w:lineRule="auto"/>
        <w:jc w:val="both"/>
      </w:pPr>
      <w:r w:rsidRPr="001E1785">
        <w:t>Ukupan broj sati prekovremenog rada u 2024. godini iznosi 2.96</w:t>
      </w:r>
      <w:r w:rsidR="00D85CA7">
        <w:t>3</w:t>
      </w:r>
      <w:r w:rsidRPr="001E1785">
        <w:t xml:space="preserve"> sata, što predstavlja blago smanjenje u odnosu na 2023. godinu, kada je zabilježeno 3.1</w:t>
      </w:r>
      <w:r w:rsidR="00F04A4B">
        <w:t>8</w:t>
      </w:r>
      <w:r w:rsidRPr="001E1785">
        <w:t>6 sati.</w:t>
      </w:r>
    </w:p>
    <w:p w14:paraId="78F26266" w14:textId="0FE3F9F7" w:rsidR="00864615" w:rsidRPr="001611B1" w:rsidRDefault="00864615" w:rsidP="008E308B">
      <w:pPr>
        <w:spacing w:line="360" w:lineRule="auto"/>
        <w:jc w:val="both"/>
      </w:pPr>
      <w:r w:rsidRPr="001611B1">
        <w:t>Najveći udio i dalje čini prekovremeni rad u 1. smjeni, s ukupno 2.786 sati, što je porast od 2% u odnosu na prethodnu godinu (2023.: 2.7</w:t>
      </w:r>
      <w:r w:rsidR="00543BF9">
        <w:t>3</w:t>
      </w:r>
      <w:r w:rsidRPr="001611B1">
        <w:t>1 sat).</w:t>
      </w:r>
      <w:r w:rsidR="001611B1" w:rsidRPr="001611B1">
        <w:t xml:space="preserve"> U ostalim kategorijama nije bilo porasta, već pretežito pad ili izostanak prekovremenog rada.</w:t>
      </w:r>
    </w:p>
    <w:p w14:paraId="3DFCED18" w14:textId="0EB94889" w:rsidR="00AC413B" w:rsidRDefault="00AC413B" w:rsidP="00AC413B">
      <w:pPr>
        <w:spacing w:line="360" w:lineRule="auto"/>
        <w:jc w:val="both"/>
      </w:pPr>
      <w:r>
        <w:t xml:space="preserve">Plaćeni dopust iznosio je </w:t>
      </w:r>
      <w:r w:rsidR="009F5BC8">
        <w:t>561</w:t>
      </w:r>
      <w:r>
        <w:t xml:space="preserve"> sati, što predstavlja porast od 13% u odnosu na 2023. godinu. </w:t>
      </w:r>
    </w:p>
    <w:p w14:paraId="1743E4E8" w14:textId="68C9F406" w:rsidR="00AC413B" w:rsidRDefault="00AC413B" w:rsidP="00AC413B">
      <w:pPr>
        <w:spacing w:line="360" w:lineRule="auto"/>
        <w:jc w:val="both"/>
      </w:pPr>
      <w:r>
        <w:t xml:space="preserve">Bolovanja do 42 dana smanjena su za 28%, s </w:t>
      </w:r>
      <w:r w:rsidR="00EA6746">
        <w:t>8.403</w:t>
      </w:r>
      <w:r>
        <w:t xml:space="preserve"> sata u 2023. na </w:t>
      </w:r>
      <w:r w:rsidR="00EA6746">
        <w:t>6.084</w:t>
      </w:r>
      <w:r>
        <w:t xml:space="preserve"> sata u 2024. godini, dok su bolovanja duža od 42 dana pala za 46% što se djelomično može pripisati manjem broju dugotrajnih odsutnosti s posla.</w:t>
      </w:r>
    </w:p>
    <w:p w14:paraId="0577F161" w14:textId="176D047E" w:rsidR="00AC413B" w:rsidRPr="0005122B" w:rsidRDefault="00AC413B" w:rsidP="00AC413B">
      <w:pPr>
        <w:spacing w:line="360" w:lineRule="auto"/>
        <w:jc w:val="both"/>
        <w:rPr>
          <w:color w:val="000000" w:themeColor="text1"/>
        </w:rPr>
      </w:pPr>
      <w:r w:rsidRPr="0005122B">
        <w:rPr>
          <w:color w:val="000000" w:themeColor="text1"/>
        </w:rPr>
        <w:t>Neopravdani izostanci porasli su s 2 sata u 2023. na 264 sata u 2024. godini</w:t>
      </w:r>
      <w:r w:rsidR="0005122B" w:rsidRPr="0005122B">
        <w:rPr>
          <w:color w:val="000000" w:themeColor="text1"/>
        </w:rPr>
        <w:t xml:space="preserve"> iz razloga dugotrajne dostave izvanrednog otkaza ugovora o radu.</w:t>
      </w:r>
    </w:p>
    <w:p w14:paraId="59C401A9" w14:textId="77777777" w:rsidR="004E58DC" w:rsidRDefault="00AC413B" w:rsidP="00963930">
      <w:pPr>
        <w:spacing w:line="360" w:lineRule="auto"/>
        <w:jc w:val="both"/>
      </w:pPr>
      <w:r w:rsidRPr="00AC413B">
        <w:t>U 2024. godini radnici Društva su ostvarili ukupno 14.438 sati godišnjeg odmora, što je neznatno povećanje od 1% u odnosu na 2023. godinu, kada je zabilježeno 14.326 sati. Udio godišnjih odmora u ukupnom fondu sati rada iznosi 10,13%, što je ujednačeno s prethodnom godinom (2023.: 10,54%) i ukazuje na kontinuirano korištenje prava na odmor u skladu s internim planovima i zakonskim obvezama.</w:t>
      </w:r>
    </w:p>
    <w:p w14:paraId="3DC7192B" w14:textId="4F809C37" w:rsidR="004625C0" w:rsidRPr="00AC413B" w:rsidRDefault="00744BED" w:rsidP="00963930">
      <w:pPr>
        <w:spacing w:line="360" w:lineRule="auto"/>
        <w:jc w:val="both"/>
        <w:rPr>
          <w:color w:val="FF0000"/>
        </w:rPr>
      </w:pPr>
      <w:r w:rsidRPr="00AC413B">
        <w:rPr>
          <w:color w:val="FF0000"/>
        </w:rPr>
        <w:br w:type="page"/>
      </w:r>
    </w:p>
    <w:p w14:paraId="74595530" w14:textId="61763151" w:rsidR="00947F30" w:rsidRPr="00CD2D6B" w:rsidRDefault="004C038D" w:rsidP="0029548C">
      <w:pPr>
        <w:pStyle w:val="Heading2"/>
        <w:spacing w:after="240"/>
        <w:rPr>
          <w:rFonts w:asciiTheme="minorHAnsi" w:hAnsiTheme="minorHAnsi" w:cstheme="minorHAnsi"/>
          <w:szCs w:val="24"/>
        </w:rPr>
      </w:pPr>
      <w:bookmarkStart w:id="48" w:name="_Toc200094283"/>
      <w:r w:rsidRPr="003937F2">
        <w:rPr>
          <w:rFonts w:asciiTheme="minorHAnsi" w:hAnsiTheme="minorHAnsi" w:cstheme="minorHAnsi"/>
          <w:szCs w:val="24"/>
        </w:rPr>
        <w:lastRenderedPageBreak/>
        <w:t>3. REDOVNO POSLOVANJE</w:t>
      </w:r>
      <w:bookmarkEnd w:id="48"/>
    </w:p>
    <w:p w14:paraId="14EBEA09" w14:textId="61282A71" w:rsidR="00947F30" w:rsidRDefault="00947F30" w:rsidP="00947F30">
      <w:pPr>
        <w:spacing w:before="120" w:after="120" w:line="360" w:lineRule="auto"/>
        <w:jc w:val="both"/>
      </w:pPr>
      <w:r w:rsidRPr="008831CE">
        <w:t>Ukupni prihodi i rashodi planirani su temeljem ostvarenja iz 202</w:t>
      </w:r>
      <w:r>
        <w:t>3</w:t>
      </w:r>
      <w:r w:rsidRPr="008831CE">
        <w:t>. godine kao i procjenom potreba u 202</w:t>
      </w:r>
      <w:r>
        <w:t>4</w:t>
      </w:r>
      <w:r w:rsidRPr="008831CE">
        <w:t xml:space="preserve">. godini. </w:t>
      </w:r>
    </w:p>
    <w:p w14:paraId="397E0F7F" w14:textId="55165A18" w:rsidR="00947F30" w:rsidRDefault="00947F30" w:rsidP="00947F30">
      <w:pPr>
        <w:spacing w:before="120" w:after="120" w:line="360" w:lineRule="auto"/>
        <w:jc w:val="both"/>
      </w:pPr>
      <w:r>
        <w:t>R</w:t>
      </w:r>
      <w:r w:rsidRPr="008831CE">
        <w:t>ebalansom plana ukupni prihodi za 202</w:t>
      </w:r>
      <w:r w:rsidR="00E21790">
        <w:t>4</w:t>
      </w:r>
      <w:r w:rsidRPr="008831CE">
        <w:t xml:space="preserve">. godinu </w:t>
      </w:r>
      <w:r>
        <w:t>planirani su</w:t>
      </w:r>
      <w:r w:rsidRPr="008831CE">
        <w:t xml:space="preserve"> u iznosu </w:t>
      </w:r>
      <w:r>
        <w:t>od 12.</w:t>
      </w:r>
      <w:r w:rsidR="00E21790">
        <w:t>816.471</w:t>
      </w:r>
      <w:r>
        <w:t xml:space="preserve"> eur</w:t>
      </w:r>
      <w:r w:rsidR="00170EE2">
        <w:t>o</w:t>
      </w:r>
      <w:r w:rsidRPr="008831CE">
        <w:t xml:space="preserve">, a ostvareni su u iznosu od </w:t>
      </w:r>
      <w:r>
        <w:t>12.6</w:t>
      </w:r>
      <w:r w:rsidR="00E21790">
        <w:t xml:space="preserve">37.010 </w:t>
      </w:r>
      <w:r>
        <w:t>eura</w:t>
      </w:r>
      <w:r w:rsidRPr="008831CE">
        <w:t xml:space="preserve"> </w:t>
      </w:r>
      <w:r w:rsidR="00CE487D" w:rsidRPr="00CE487D">
        <w:t xml:space="preserve">što predstavlja smanjenje </w:t>
      </w:r>
      <w:r w:rsidR="00CE487D" w:rsidRPr="00FD73EB">
        <w:t>od 1%</w:t>
      </w:r>
      <w:r w:rsidR="00CE487D" w:rsidRPr="00CE487D">
        <w:t xml:space="preserve"> u odnosu</w:t>
      </w:r>
      <w:r w:rsidR="00CE487D">
        <w:t xml:space="preserve"> </w:t>
      </w:r>
      <w:r>
        <w:t>na rebalans</w:t>
      </w:r>
      <w:r w:rsidRPr="008831CE">
        <w:t>.</w:t>
      </w:r>
      <w:r>
        <w:t xml:space="preserve"> </w:t>
      </w:r>
      <w:r w:rsidR="00170EE2">
        <w:t xml:space="preserve">U odnosu na 2023. godinu manji su za 0,3% </w:t>
      </w:r>
      <w:r w:rsidR="00FD73EB">
        <w:t>(</w:t>
      </w:r>
      <w:r w:rsidR="00170EE2">
        <w:t>odnosno za 32.999 eura</w:t>
      </w:r>
      <w:r w:rsidR="00FD73EB">
        <w:t>)</w:t>
      </w:r>
      <w:r w:rsidR="00170EE2">
        <w:t>.</w:t>
      </w:r>
    </w:p>
    <w:p w14:paraId="4D772935" w14:textId="6C8883E3" w:rsidR="001A7A37" w:rsidRDefault="00947F30" w:rsidP="00FD73EB">
      <w:pPr>
        <w:spacing w:before="120" w:after="120" w:line="360" w:lineRule="auto"/>
        <w:jc w:val="both"/>
        <w:rPr>
          <w:b/>
          <w:bCs/>
        </w:rPr>
      </w:pPr>
      <w:r w:rsidRPr="008831CE">
        <w:t>Rashodi za 202</w:t>
      </w:r>
      <w:r w:rsidR="00CD2D6B">
        <w:t>4</w:t>
      </w:r>
      <w:r w:rsidRPr="008831CE">
        <w:t xml:space="preserve">. godinu rebalansom </w:t>
      </w:r>
      <w:r>
        <w:t>su predviđeni u</w:t>
      </w:r>
      <w:r w:rsidRPr="008831CE">
        <w:t xml:space="preserve"> iznosu od </w:t>
      </w:r>
      <w:r w:rsidR="00CD2D6B">
        <w:t>12.742.209</w:t>
      </w:r>
      <w:r>
        <w:t xml:space="preserve"> eura</w:t>
      </w:r>
      <w:r w:rsidRPr="008831CE">
        <w:t xml:space="preserve">, a ostvareni su u iznosu od </w:t>
      </w:r>
      <w:r>
        <w:t>12.</w:t>
      </w:r>
      <w:r w:rsidR="00CD2D6B">
        <w:t>587.887</w:t>
      </w:r>
      <w:r>
        <w:t xml:space="preserve"> eura</w:t>
      </w:r>
      <w:r w:rsidRPr="008831CE">
        <w:t xml:space="preserve"> što je za </w:t>
      </w:r>
      <w:r w:rsidR="00CD2D6B">
        <w:t xml:space="preserve">1% manje </w:t>
      </w:r>
      <w:r w:rsidRPr="008831CE">
        <w:t>od planiranog.</w:t>
      </w:r>
      <w:r w:rsidR="00170EE2">
        <w:t xml:space="preserve"> </w:t>
      </w:r>
      <w:r w:rsidR="00FD73EB" w:rsidRPr="00FD73EB">
        <w:t xml:space="preserve">Međutim, u usporedbi s 2023. godinom ukupni rashodi veći su za </w:t>
      </w:r>
      <w:r w:rsidR="00FD73EB" w:rsidRPr="001A7A37">
        <w:t>2%</w:t>
      </w:r>
      <w:r w:rsidR="001A7A37">
        <w:t>.</w:t>
      </w:r>
    </w:p>
    <w:p w14:paraId="307D0E59" w14:textId="06B3B4E1" w:rsidR="00530353" w:rsidRDefault="00CC473D" w:rsidP="00FD73EB">
      <w:pPr>
        <w:spacing w:before="120" w:after="120" w:line="360" w:lineRule="auto"/>
        <w:jc w:val="both"/>
      </w:pPr>
      <w:r>
        <w:t xml:space="preserve">U 2024. godini, </w:t>
      </w:r>
      <w:r w:rsidR="00947F30">
        <w:t xml:space="preserve">Društvo je iskazalo neto dobit u iznosu od </w:t>
      </w:r>
      <w:r w:rsidR="00CD2D6B">
        <w:t>4</w:t>
      </w:r>
      <w:r w:rsidR="00A12490">
        <w:t>1.143</w:t>
      </w:r>
      <w:r w:rsidR="00947F30">
        <w:t xml:space="preserve"> eura što je za</w:t>
      </w:r>
      <w:r w:rsidR="00CD2D6B">
        <w:t xml:space="preserve"> 34</w:t>
      </w:r>
      <w:r w:rsidR="00947F30">
        <w:t>% manje od dobiti predviđene rebalansom plana.</w:t>
      </w:r>
      <w:r w:rsidR="00170EE2">
        <w:t xml:space="preserve"> U odnosu na </w:t>
      </w:r>
      <w:r>
        <w:t xml:space="preserve">2023. </w:t>
      </w:r>
      <w:r w:rsidR="00170EE2">
        <w:t>godinu</w:t>
      </w:r>
      <w:r>
        <w:t xml:space="preserve"> (297.524 eur) </w:t>
      </w:r>
      <w:r w:rsidR="00F81576">
        <w:t>neto dobit je manja</w:t>
      </w:r>
      <w:r w:rsidR="00170EE2">
        <w:t xml:space="preserve"> za 86%.</w:t>
      </w:r>
    </w:p>
    <w:p w14:paraId="3FF55A53" w14:textId="3F998A74" w:rsidR="002A6C9E" w:rsidRPr="008831CE" w:rsidRDefault="00A61EC0" w:rsidP="008831CE">
      <w:pPr>
        <w:pStyle w:val="Caption"/>
        <w:keepNext/>
        <w:spacing w:after="100" w:afterAutospacing="1"/>
        <w:rPr>
          <w:rFonts w:asciiTheme="minorHAnsi" w:hAnsiTheme="minorHAnsi" w:cstheme="minorHAnsi"/>
          <w:b w:val="0"/>
          <w:bCs w:val="0"/>
          <w:sz w:val="22"/>
          <w:szCs w:val="22"/>
        </w:rPr>
      </w:pPr>
      <w:bookmarkStart w:id="49" w:name="_Toc200366453"/>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15</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Realizacija plana prihoda i rashoda</w:t>
      </w:r>
      <w:r w:rsidR="00B40BAC">
        <w:rPr>
          <w:rFonts w:asciiTheme="minorHAnsi" w:hAnsiTheme="minorHAnsi" w:cstheme="minorHAnsi"/>
          <w:b w:val="0"/>
          <w:bCs w:val="0"/>
          <w:sz w:val="22"/>
          <w:szCs w:val="22"/>
        </w:rPr>
        <w:t xml:space="preserve"> u 2024. godini</w:t>
      </w:r>
      <w:bookmarkEnd w:id="49"/>
    </w:p>
    <w:tbl>
      <w:tblPr>
        <w:tblW w:w="922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81"/>
        <w:gridCol w:w="2639"/>
        <w:gridCol w:w="1531"/>
        <w:gridCol w:w="1531"/>
        <w:gridCol w:w="1531"/>
        <w:gridCol w:w="703"/>
        <w:gridCol w:w="713"/>
      </w:tblGrid>
      <w:tr w:rsidR="001E1071" w:rsidRPr="001E1071" w14:paraId="4BDB5974" w14:textId="77777777" w:rsidTr="00CC473D">
        <w:trPr>
          <w:trHeight w:val="566"/>
        </w:trPr>
        <w:tc>
          <w:tcPr>
            <w:tcW w:w="581" w:type="dxa"/>
            <w:tcBorders>
              <w:top w:val="single" w:sz="4" w:space="0" w:color="auto"/>
              <w:bottom w:val="single" w:sz="4" w:space="0" w:color="auto"/>
            </w:tcBorders>
            <w:shd w:val="clear" w:color="auto" w:fill="auto"/>
            <w:noWrap/>
            <w:vAlign w:val="center"/>
            <w:hideMark/>
          </w:tcPr>
          <w:p w14:paraId="0B9E5B30" w14:textId="77777777" w:rsidR="001E1071" w:rsidRPr="001E1071" w:rsidRDefault="001E1071" w:rsidP="001E1071">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R.br</w:t>
            </w:r>
          </w:p>
        </w:tc>
        <w:tc>
          <w:tcPr>
            <w:tcW w:w="2639" w:type="dxa"/>
            <w:tcBorders>
              <w:top w:val="single" w:sz="4" w:space="0" w:color="auto"/>
              <w:bottom w:val="single" w:sz="4" w:space="0" w:color="auto"/>
            </w:tcBorders>
            <w:shd w:val="clear" w:color="auto" w:fill="auto"/>
            <w:vAlign w:val="center"/>
            <w:hideMark/>
          </w:tcPr>
          <w:p w14:paraId="551D031F" w14:textId="77777777" w:rsidR="001E1071" w:rsidRPr="001E1071" w:rsidRDefault="001E1071" w:rsidP="00A536F6">
            <w:pPr>
              <w:spacing w:after="0" w:line="240" w:lineRule="auto"/>
              <w:jc w:val="center"/>
              <w:rPr>
                <w:rFonts w:eastAsia="Times New Roman" w:cstheme="minorHAnsi"/>
                <w:b/>
                <w:bCs/>
                <w:sz w:val="18"/>
                <w:szCs w:val="18"/>
                <w:lang w:eastAsia="hr-HR"/>
              </w:rPr>
            </w:pPr>
            <w:r w:rsidRPr="001E1071">
              <w:rPr>
                <w:rFonts w:eastAsia="Times New Roman" w:cstheme="minorHAnsi"/>
                <w:b/>
                <w:bCs/>
                <w:sz w:val="18"/>
                <w:szCs w:val="18"/>
                <w:lang w:eastAsia="hr-HR"/>
              </w:rPr>
              <w:t>Opis</w:t>
            </w:r>
          </w:p>
        </w:tc>
        <w:tc>
          <w:tcPr>
            <w:tcW w:w="1531" w:type="dxa"/>
            <w:tcBorders>
              <w:top w:val="single" w:sz="4" w:space="0" w:color="auto"/>
              <w:bottom w:val="single" w:sz="4" w:space="0" w:color="auto"/>
            </w:tcBorders>
            <w:shd w:val="clear" w:color="auto" w:fill="auto"/>
            <w:vAlign w:val="center"/>
            <w:hideMark/>
          </w:tcPr>
          <w:p w14:paraId="550DAF6D" w14:textId="73B32F18" w:rsidR="001E1071" w:rsidRPr="001E1071" w:rsidRDefault="001E1071" w:rsidP="001E1071">
            <w:pPr>
              <w:spacing w:after="0" w:line="240" w:lineRule="auto"/>
              <w:jc w:val="center"/>
              <w:rPr>
                <w:rFonts w:eastAsia="Times New Roman" w:cstheme="minorHAnsi"/>
                <w:b/>
                <w:bCs/>
                <w:sz w:val="18"/>
                <w:szCs w:val="18"/>
                <w:lang w:eastAsia="hr-HR"/>
              </w:rPr>
            </w:pPr>
            <w:r w:rsidRPr="001E1071">
              <w:rPr>
                <w:rFonts w:eastAsia="Times New Roman" w:cstheme="minorHAnsi"/>
                <w:b/>
                <w:bCs/>
                <w:sz w:val="18"/>
                <w:szCs w:val="18"/>
                <w:lang w:eastAsia="hr-HR"/>
              </w:rPr>
              <w:t>Ostvarenje 202</w:t>
            </w:r>
            <w:r w:rsidR="00A12490">
              <w:rPr>
                <w:rFonts w:eastAsia="Times New Roman" w:cstheme="minorHAnsi"/>
                <w:b/>
                <w:bCs/>
                <w:sz w:val="18"/>
                <w:szCs w:val="18"/>
                <w:lang w:eastAsia="hr-HR"/>
              </w:rPr>
              <w:t>3</w:t>
            </w:r>
            <w:r w:rsidRPr="001E1071">
              <w:rPr>
                <w:rFonts w:eastAsia="Times New Roman" w:cstheme="minorHAnsi"/>
                <w:b/>
                <w:bCs/>
                <w:sz w:val="18"/>
                <w:szCs w:val="18"/>
                <w:lang w:eastAsia="hr-HR"/>
              </w:rPr>
              <w:t xml:space="preserve"> </w:t>
            </w:r>
          </w:p>
        </w:tc>
        <w:tc>
          <w:tcPr>
            <w:tcW w:w="1531" w:type="dxa"/>
            <w:tcBorders>
              <w:top w:val="single" w:sz="4" w:space="0" w:color="auto"/>
              <w:bottom w:val="single" w:sz="4" w:space="0" w:color="auto"/>
            </w:tcBorders>
            <w:shd w:val="clear" w:color="auto" w:fill="auto"/>
            <w:vAlign w:val="center"/>
            <w:hideMark/>
          </w:tcPr>
          <w:p w14:paraId="090FC969" w14:textId="176FA266" w:rsidR="001E1071" w:rsidRPr="001E1071" w:rsidRDefault="001E1071" w:rsidP="001E1071">
            <w:pPr>
              <w:spacing w:after="0" w:line="240" w:lineRule="auto"/>
              <w:jc w:val="center"/>
              <w:rPr>
                <w:rFonts w:eastAsia="Times New Roman" w:cstheme="minorHAnsi"/>
                <w:b/>
                <w:bCs/>
                <w:sz w:val="18"/>
                <w:szCs w:val="18"/>
                <w:lang w:eastAsia="hr-HR"/>
              </w:rPr>
            </w:pPr>
            <w:r w:rsidRPr="001E1071">
              <w:rPr>
                <w:rFonts w:eastAsia="Times New Roman" w:cstheme="minorHAnsi"/>
                <w:b/>
                <w:bCs/>
                <w:sz w:val="18"/>
                <w:szCs w:val="18"/>
                <w:lang w:eastAsia="hr-HR"/>
              </w:rPr>
              <w:t>Rebalans plana 202</w:t>
            </w:r>
            <w:r w:rsidR="00A12490">
              <w:rPr>
                <w:rFonts w:eastAsia="Times New Roman" w:cstheme="minorHAnsi"/>
                <w:b/>
                <w:bCs/>
                <w:sz w:val="18"/>
                <w:szCs w:val="18"/>
                <w:lang w:eastAsia="hr-HR"/>
              </w:rPr>
              <w:t>4</w:t>
            </w:r>
          </w:p>
        </w:tc>
        <w:tc>
          <w:tcPr>
            <w:tcW w:w="1531" w:type="dxa"/>
            <w:tcBorders>
              <w:top w:val="single" w:sz="4" w:space="0" w:color="auto"/>
              <w:bottom w:val="single" w:sz="4" w:space="0" w:color="auto"/>
            </w:tcBorders>
            <w:shd w:val="clear" w:color="auto" w:fill="auto"/>
            <w:vAlign w:val="center"/>
            <w:hideMark/>
          </w:tcPr>
          <w:p w14:paraId="3DAE6855" w14:textId="4F0D21E0" w:rsidR="001E1071" w:rsidRPr="001E1071" w:rsidRDefault="00077DED" w:rsidP="001E1071">
            <w:pPr>
              <w:spacing w:after="0" w:line="240" w:lineRule="auto"/>
              <w:jc w:val="center"/>
              <w:rPr>
                <w:rFonts w:eastAsia="Times New Roman" w:cstheme="minorHAnsi"/>
                <w:b/>
                <w:bCs/>
                <w:sz w:val="18"/>
                <w:szCs w:val="18"/>
                <w:lang w:eastAsia="hr-HR"/>
              </w:rPr>
            </w:pPr>
            <w:r>
              <w:rPr>
                <w:rFonts w:eastAsia="Times New Roman" w:cstheme="minorHAnsi"/>
                <w:b/>
                <w:bCs/>
                <w:sz w:val="18"/>
                <w:szCs w:val="18"/>
                <w:lang w:eastAsia="hr-HR"/>
              </w:rPr>
              <w:t>Ostvarenje 202</w:t>
            </w:r>
            <w:r w:rsidR="00A12490">
              <w:rPr>
                <w:rFonts w:eastAsia="Times New Roman" w:cstheme="minorHAnsi"/>
                <w:b/>
                <w:bCs/>
                <w:sz w:val="18"/>
                <w:szCs w:val="18"/>
                <w:lang w:eastAsia="hr-HR"/>
              </w:rPr>
              <w:t>4</w:t>
            </w:r>
          </w:p>
        </w:tc>
        <w:tc>
          <w:tcPr>
            <w:tcW w:w="703" w:type="dxa"/>
            <w:tcBorders>
              <w:top w:val="single" w:sz="4" w:space="0" w:color="auto"/>
              <w:bottom w:val="single" w:sz="4" w:space="0" w:color="auto"/>
            </w:tcBorders>
            <w:shd w:val="clear" w:color="auto" w:fill="auto"/>
            <w:vAlign w:val="center"/>
            <w:hideMark/>
          </w:tcPr>
          <w:p w14:paraId="66E55EA4" w14:textId="77777777" w:rsidR="001E1071" w:rsidRPr="001E1071" w:rsidRDefault="001E1071" w:rsidP="001E1071">
            <w:pPr>
              <w:spacing w:after="0" w:line="240" w:lineRule="auto"/>
              <w:jc w:val="center"/>
              <w:rPr>
                <w:rFonts w:eastAsia="Times New Roman" w:cstheme="minorHAnsi"/>
                <w:b/>
                <w:bCs/>
                <w:sz w:val="18"/>
                <w:szCs w:val="18"/>
                <w:lang w:eastAsia="hr-HR"/>
              </w:rPr>
            </w:pPr>
            <w:r w:rsidRPr="001E1071">
              <w:rPr>
                <w:rFonts w:eastAsia="Times New Roman" w:cstheme="minorHAnsi"/>
                <w:b/>
                <w:bCs/>
                <w:sz w:val="18"/>
                <w:szCs w:val="18"/>
                <w:lang w:eastAsia="hr-HR"/>
              </w:rPr>
              <w:t>indeks    (5/3)</w:t>
            </w:r>
          </w:p>
        </w:tc>
        <w:tc>
          <w:tcPr>
            <w:tcW w:w="713" w:type="dxa"/>
            <w:tcBorders>
              <w:top w:val="single" w:sz="4" w:space="0" w:color="auto"/>
              <w:bottom w:val="single" w:sz="4" w:space="0" w:color="auto"/>
            </w:tcBorders>
            <w:shd w:val="clear" w:color="auto" w:fill="auto"/>
            <w:vAlign w:val="center"/>
            <w:hideMark/>
          </w:tcPr>
          <w:p w14:paraId="086CAAA6" w14:textId="77777777" w:rsidR="001E1071" w:rsidRPr="001E1071" w:rsidRDefault="001E1071" w:rsidP="001E1071">
            <w:pPr>
              <w:spacing w:after="0" w:line="240" w:lineRule="auto"/>
              <w:jc w:val="center"/>
              <w:rPr>
                <w:rFonts w:eastAsia="Times New Roman" w:cstheme="minorHAnsi"/>
                <w:b/>
                <w:bCs/>
                <w:sz w:val="18"/>
                <w:szCs w:val="18"/>
                <w:lang w:eastAsia="hr-HR"/>
              </w:rPr>
            </w:pPr>
            <w:r w:rsidRPr="001E1071">
              <w:rPr>
                <w:rFonts w:eastAsia="Times New Roman" w:cstheme="minorHAnsi"/>
                <w:b/>
                <w:bCs/>
                <w:sz w:val="18"/>
                <w:szCs w:val="18"/>
                <w:lang w:eastAsia="hr-HR"/>
              </w:rPr>
              <w:t>indeks (5/4)</w:t>
            </w:r>
          </w:p>
        </w:tc>
      </w:tr>
      <w:tr w:rsidR="001E1071" w:rsidRPr="001E1071" w14:paraId="55F2DD30" w14:textId="77777777" w:rsidTr="00CC473D">
        <w:trPr>
          <w:trHeight w:val="170"/>
        </w:trPr>
        <w:tc>
          <w:tcPr>
            <w:tcW w:w="581" w:type="dxa"/>
            <w:tcBorders>
              <w:top w:val="single" w:sz="4" w:space="0" w:color="auto"/>
              <w:bottom w:val="single" w:sz="4" w:space="0" w:color="auto"/>
            </w:tcBorders>
            <w:shd w:val="clear" w:color="auto" w:fill="auto"/>
            <w:noWrap/>
            <w:vAlign w:val="bottom"/>
            <w:hideMark/>
          </w:tcPr>
          <w:p w14:paraId="390384FE" w14:textId="77777777" w:rsidR="001E1071" w:rsidRPr="00A12490" w:rsidRDefault="001E1071" w:rsidP="00A12490">
            <w:pPr>
              <w:spacing w:after="0" w:line="240" w:lineRule="auto"/>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1</w:t>
            </w:r>
          </w:p>
        </w:tc>
        <w:tc>
          <w:tcPr>
            <w:tcW w:w="2639" w:type="dxa"/>
            <w:tcBorders>
              <w:top w:val="single" w:sz="4" w:space="0" w:color="auto"/>
              <w:bottom w:val="single" w:sz="4" w:space="0" w:color="auto"/>
            </w:tcBorders>
            <w:shd w:val="clear" w:color="auto" w:fill="auto"/>
            <w:vAlign w:val="bottom"/>
            <w:hideMark/>
          </w:tcPr>
          <w:p w14:paraId="5711D38C" w14:textId="77777777" w:rsidR="001E1071" w:rsidRPr="00A12490" w:rsidRDefault="001E1071" w:rsidP="00A12490">
            <w:pPr>
              <w:spacing w:after="0" w:line="240" w:lineRule="auto"/>
              <w:jc w:val="center"/>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2</w:t>
            </w:r>
          </w:p>
        </w:tc>
        <w:tc>
          <w:tcPr>
            <w:tcW w:w="1531" w:type="dxa"/>
            <w:tcBorders>
              <w:top w:val="single" w:sz="4" w:space="0" w:color="auto"/>
              <w:bottom w:val="single" w:sz="4" w:space="0" w:color="auto"/>
            </w:tcBorders>
            <w:shd w:val="clear" w:color="auto" w:fill="auto"/>
            <w:vAlign w:val="bottom"/>
            <w:hideMark/>
          </w:tcPr>
          <w:p w14:paraId="61ED8271" w14:textId="77777777" w:rsidR="001E1071" w:rsidRPr="00A12490" w:rsidRDefault="001E1071" w:rsidP="00A12490">
            <w:pPr>
              <w:spacing w:after="0" w:line="240" w:lineRule="auto"/>
              <w:jc w:val="center"/>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3</w:t>
            </w:r>
          </w:p>
        </w:tc>
        <w:tc>
          <w:tcPr>
            <w:tcW w:w="1531" w:type="dxa"/>
            <w:tcBorders>
              <w:top w:val="single" w:sz="4" w:space="0" w:color="auto"/>
              <w:bottom w:val="single" w:sz="4" w:space="0" w:color="auto"/>
            </w:tcBorders>
            <w:shd w:val="clear" w:color="auto" w:fill="auto"/>
            <w:vAlign w:val="bottom"/>
            <w:hideMark/>
          </w:tcPr>
          <w:p w14:paraId="6FB2080F" w14:textId="77777777" w:rsidR="001E1071" w:rsidRPr="00A12490" w:rsidRDefault="001E1071" w:rsidP="00A12490">
            <w:pPr>
              <w:spacing w:after="0" w:line="240" w:lineRule="auto"/>
              <w:jc w:val="center"/>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4</w:t>
            </w:r>
          </w:p>
        </w:tc>
        <w:tc>
          <w:tcPr>
            <w:tcW w:w="1531" w:type="dxa"/>
            <w:tcBorders>
              <w:top w:val="single" w:sz="4" w:space="0" w:color="auto"/>
              <w:bottom w:val="single" w:sz="4" w:space="0" w:color="auto"/>
            </w:tcBorders>
            <w:shd w:val="clear" w:color="auto" w:fill="auto"/>
            <w:vAlign w:val="bottom"/>
            <w:hideMark/>
          </w:tcPr>
          <w:p w14:paraId="1BEC0D94" w14:textId="77777777" w:rsidR="001E1071" w:rsidRPr="00A12490" w:rsidRDefault="001E1071" w:rsidP="00A12490">
            <w:pPr>
              <w:spacing w:after="0" w:line="240" w:lineRule="auto"/>
              <w:jc w:val="center"/>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5</w:t>
            </w:r>
          </w:p>
        </w:tc>
        <w:tc>
          <w:tcPr>
            <w:tcW w:w="703" w:type="dxa"/>
            <w:tcBorders>
              <w:top w:val="single" w:sz="4" w:space="0" w:color="auto"/>
              <w:bottom w:val="single" w:sz="4" w:space="0" w:color="auto"/>
            </w:tcBorders>
            <w:shd w:val="clear" w:color="auto" w:fill="auto"/>
            <w:vAlign w:val="bottom"/>
            <w:hideMark/>
          </w:tcPr>
          <w:p w14:paraId="49D1B06B" w14:textId="77777777" w:rsidR="001E1071" w:rsidRPr="00A12490" w:rsidRDefault="001E1071" w:rsidP="00A12490">
            <w:pPr>
              <w:spacing w:after="0" w:line="240" w:lineRule="auto"/>
              <w:jc w:val="center"/>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6</w:t>
            </w:r>
          </w:p>
        </w:tc>
        <w:tc>
          <w:tcPr>
            <w:tcW w:w="713" w:type="dxa"/>
            <w:tcBorders>
              <w:top w:val="single" w:sz="4" w:space="0" w:color="auto"/>
              <w:bottom w:val="single" w:sz="4" w:space="0" w:color="auto"/>
            </w:tcBorders>
            <w:shd w:val="clear" w:color="auto" w:fill="auto"/>
            <w:vAlign w:val="bottom"/>
            <w:hideMark/>
          </w:tcPr>
          <w:p w14:paraId="0C69E7EB" w14:textId="77777777" w:rsidR="001E1071" w:rsidRPr="00A12490" w:rsidRDefault="001E1071" w:rsidP="00A12490">
            <w:pPr>
              <w:spacing w:after="0" w:line="240" w:lineRule="auto"/>
              <w:jc w:val="center"/>
              <w:rPr>
                <w:rFonts w:eastAsia="Times New Roman" w:cstheme="minorHAnsi"/>
                <w:b/>
                <w:bCs/>
                <w:i/>
                <w:iCs/>
                <w:color w:val="D9D9D9" w:themeColor="background1" w:themeShade="D9"/>
                <w:sz w:val="14"/>
                <w:szCs w:val="14"/>
                <w:lang w:eastAsia="hr-HR"/>
              </w:rPr>
            </w:pPr>
            <w:r w:rsidRPr="00A12490">
              <w:rPr>
                <w:rFonts w:eastAsia="Times New Roman" w:cstheme="minorHAnsi"/>
                <w:b/>
                <w:bCs/>
                <w:i/>
                <w:iCs/>
                <w:color w:val="D9D9D9" w:themeColor="background1" w:themeShade="D9"/>
                <w:sz w:val="14"/>
                <w:szCs w:val="14"/>
                <w:lang w:eastAsia="hr-HR"/>
              </w:rPr>
              <w:t>7</w:t>
            </w:r>
          </w:p>
        </w:tc>
      </w:tr>
      <w:tr w:rsidR="00A12490" w:rsidRPr="001E1071" w14:paraId="567FA24A" w14:textId="77777777" w:rsidTr="00CC473D">
        <w:trPr>
          <w:trHeight w:val="340"/>
        </w:trPr>
        <w:tc>
          <w:tcPr>
            <w:tcW w:w="581" w:type="dxa"/>
            <w:tcBorders>
              <w:top w:val="single" w:sz="4" w:space="0" w:color="auto"/>
            </w:tcBorders>
            <w:shd w:val="clear" w:color="auto" w:fill="auto"/>
            <w:noWrap/>
            <w:vAlign w:val="bottom"/>
            <w:hideMark/>
          </w:tcPr>
          <w:p w14:paraId="611C6AD4"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1.</w:t>
            </w:r>
          </w:p>
        </w:tc>
        <w:tc>
          <w:tcPr>
            <w:tcW w:w="2639" w:type="dxa"/>
            <w:tcBorders>
              <w:top w:val="single" w:sz="4" w:space="0" w:color="auto"/>
            </w:tcBorders>
            <w:shd w:val="clear" w:color="auto" w:fill="auto"/>
            <w:vAlign w:val="bottom"/>
            <w:hideMark/>
          </w:tcPr>
          <w:p w14:paraId="1A3B328A"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POSLOVNI PRIHODI </w:t>
            </w:r>
          </w:p>
        </w:tc>
        <w:tc>
          <w:tcPr>
            <w:tcW w:w="1531" w:type="dxa"/>
            <w:tcBorders>
              <w:top w:val="single" w:sz="4" w:space="0" w:color="auto"/>
            </w:tcBorders>
            <w:shd w:val="clear" w:color="auto" w:fill="auto"/>
            <w:noWrap/>
            <w:vAlign w:val="bottom"/>
            <w:hideMark/>
          </w:tcPr>
          <w:p w14:paraId="6C0EA4B5" w14:textId="24AECB4A"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12.594.286</w:t>
            </w:r>
          </w:p>
        </w:tc>
        <w:tc>
          <w:tcPr>
            <w:tcW w:w="1531" w:type="dxa"/>
            <w:tcBorders>
              <w:top w:val="single" w:sz="4" w:space="0" w:color="auto"/>
            </w:tcBorders>
            <w:shd w:val="clear" w:color="auto" w:fill="auto"/>
            <w:noWrap/>
            <w:vAlign w:val="bottom"/>
            <w:hideMark/>
          </w:tcPr>
          <w:p w14:paraId="08D1A606" w14:textId="49E873CF"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12.746.471</w:t>
            </w:r>
          </w:p>
        </w:tc>
        <w:tc>
          <w:tcPr>
            <w:tcW w:w="1531" w:type="dxa"/>
            <w:tcBorders>
              <w:top w:val="single" w:sz="4" w:space="0" w:color="auto"/>
            </w:tcBorders>
            <w:shd w:val="clear" w:color="auto" w:fill="auto"/>
            <w:noWrap/>
            <w:vAlign w:val="bottom"/>
            <w:hideMark/>
          </w:tcPr>
          <w:p w14:paraId="6DDAE7CE" w14:textId="6D428DA8"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12.568.066</w:t>
            </w:r>
          </w:p>
        </w:tc>
        <w:tc>
          <w:tcPr>
            <w:tcW w:w="703" w:type="dxa"/>
            <w:tcBorders>
              <w:top w:val="single" w:sz="4" w:space="0" w:color="auto"/>
            </w:tcBorders>
            <w:shd w:val="clear" w:color="auto" w:fill="auto"/>
            <w:noWrap/>
            <w:vAlign w:val="bottom"/>
            <w:hideMark/>
          </w:tcPr>
          <w:p w14:paraId="01FBA973" w14:textId="407D633C"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100%</w:t>
            </w:r>
          </w:p>
        </w:tc>
        <w:tc>
          <w:tcPr>
            <w:tcW w:w="713" w:type="dxa"/>
            <w:tcBorders>
              <w:top w:val="single" w:sz="4" w:space="0" w:color="auto"/>
            </w:tcBorders>
            <w:shd w:val="clear" w:color="auto" w:fill="auto"/>
            <w:noWrap/>
            <w:vAlign w:val="bottom"/>
            <w:hideMark/>
          </w:tcPr>
          <w:p w14:paraId="2EA04B90" w14:textId="40EFBBBE"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99%</w:t>
            </w:r>
          </w:p>
        </w:tc>
      </w:tr>
      <w:tr w:rsidR="00A12490" w:rsidRPr="001E1071" w14:paraId="79930B90" w14:textId="77777777" w:rsidTr="00CC473D">
        <w:trPr>
          <w:trHeight w:val="340"/>
        </w:trPr>
        <w:tc>
          <w:tcPr>
            <w:tcW w:w="581" w:type="dxa"/>
            <w:shd w:val="clear" w:color="auto" w:fill="auto"/>
            <w:noWrap/>
            <w:vAlign w:val="bottom"/>
            <w:hideMark/>
          </w:tcPr>
          <w:p w14:paraId="7981CC98"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1.1</w:t>
            </w:r>
          </w:p>
        </w:tc>
        <w:tc>
          <w:tcPr>
            <w:tcW w:w="2639" w:type="dxa"/>
            <w:shd w:val="clear" w:color="auto" w:fill="auto"/>
            <w:vAlign w:val="bottom"/>
            <w:hideMark/>
          </w:tcPr>
          <w:p w14:paraId="0392C9A6"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Prihodi od prodaje</w:t>
            </w:r>
          </w:p>
        </w:tc>
        <w:tc>
          <w:tcPr>
            <w:tcW w:w="1531" w:type="dxa"/>
            <w:shd w:val="clear" w:color="auto" w:fill="auto"/>
            <w:noWrap/>
            <w:vAlign w:val="bottom"/>
            <w:hideMark/>
          </w:tcPr>
          <w:p w14:paraId="314EA478" w14:textId="17D1020A"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sz w:val="18"/>
                <w:szCs w:val="18"/>
              </w:rPr>
              <w:t>9.728.107</w:t>
            </w:r>
          </w:p>
        </w:tc>
        <w:tc>
          <w:tcPr>
            <w:tcW w:w="1531" w:type="dxa"/>
            <w:shd w:val="clear" w:color="auto" w:fill="auto"/>
            <w:noWrap/>
            <w:vAlign w:val="bottom"/>
            <w:hideMark/>
          </w:tcPr>
          <w:p w14:paraId="31086E28" w14:textId="0D3D1BDE"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sz w:val="18"/>
                <w:szCs w:val="18"/>
              </w:rPr>
              <w:t>10.190.839</w:t>
            </w:r>
          </w:p>
        </w:tc>
        <w:tc>
          <w:tcPr>
            <w:tcW w:w="1531" w:type="dxa"/>
            <w:shd w:val="clear" w:color="auto" w:fill="auto"/>
            <w:noWrap/>
            <w:vAlign w:val="bottom"/>
            <w:hideMark/>
          </w:tcPr>
          <w:p w14:paraId="2B76B0DA" w14:textId="77EAA0D9"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sz w:val="18"/>
                <w:szCs w:val="18"/>
              </w:rPr>
              <w:t>9.837.555</w:t>
            </w:r>
          </w:p>
        </w:tc>
        <w:tc>
          <w:tcPr>
            <w:tcW w:w="703" w:type="dxa"/>
            <w:shd w:val="clear" w:color="auto" w:fill="auto"/>
            <w:noWrap/>
            <w:vAlign w:val="bottom"/>
            <w:hideMark/>
          </w:tcPr>
          <w:p w14:paraId="036B5724" w14:textId="7CFA8D03"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101%</w:t>
            </w:r>
          </w:p>
        </w:tc>
        <w:tc>
          <w:tcPr>
            <w:tcW w:w="713" w:type="dxa"/>
            <w:shd w:val="clear" w:color="auto" w:fill="auto"/>
            <w:noWrap/>
            <w:vAlign w:val="bottom"/>
            <w:hideMark/>
          </w:tcPr>
          <w:p w14:paraId="47FABF8B" w14:textId="3A351E22"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97%</w:t>
            </w:r>
          </w:p>
        </w:tc>
      </w:tr>
      <w:tr w:rsidR="00A12490" w:rsidRPr="001E1071" w14:paraId="157F2D70" w14:textId="77777777" w:rsidTr="00CC473D">
        <w:trPr>
          <w:trHeight w:val="340"/>
        </w:trPr>
        <w:tc>
          <w:tcPr>
            <w:tcW w:w="581" w:type="dxa"/>
            <w:shd w:val="clear" w:color="auto" w:fill="auto"/>
            <w:noWrap/>
            <w:vAlign w:val="bottom"/>
            <w:hideMark/>
          </w:tcPr>
          <w:p w14:paraId="192F8BE0"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1.2</w:t>
            </w:r>
          </w:p>
        </w:tc>
        <w:tc>
          <w:tcPr>
            <w:tcW w:w="2639" w:type="dxa"/>
            <w:shd w:val="clear" w:color="auto" w:fill="auto"/>
            <w:vAlign w:val="bottom"/>
            <w:hideMark/>
          </w:tcPr>
          <w:p w14:paraId="5015CDE4"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 xml:space="preserve">Ostali poslovni prihodi </w:t>
            </w:r>
          </w:p>
        </w:tc>
        <w:tc>
          <w:tcPr>
            <w:tcW w:w="1531" w:type="dxa"/>
            <w:shd w:val="clear" w:color="auto" w:fill="auto"/>
            <w:noWrap/>
            <w:vAlign w:val="bottom"/>
            <w:hideMark/>
          </w:tcPr>
          <w:p w14:paraId="6F888289" w14:textId="67C43CF2"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2.866.179</w:t>
            </w:r>
          </w:p>
        </w:tc>
        <w:tc>
          <w:tcPr>
            <w:tcW w:w="1531" w:type="dxa"/>
            <w:shd w:val="clear" w:color="auto" w:fill="auto"/>
            <w:noWrap/>
            <w:vAlign w:val="bottom"/>
            <w:hideMark/>
          </w:tcPr>
          <w:p w14:paraId="6304B263" w14:textId="64FEB3A7"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2.555.633</w:t>
            </w:r>
          </w:p>
        </w:tc>
        <w:tc>
          <w:tcPr>
            <w:tcW w:w="1531" w:type="dxa"/>
            <w:shd w:val="clear" w:color="auto" w:fill="auto"/>
            <w:noWrap/>
            <w:vAlign w:val="bottom"/>
            <w:hideMark/>
          </w:tcPr>
          <w:p w14:paraId="463C5A1B" w14:textId="7CB11BF6"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2.730.511</w:t>
            </w:r>
          </w:p>
        </w:tc>
        <w:tc>
          <w:tcPr>
            <w:tcW w:w="703" w:type="dxa"/>
            <w:shd w:val="clear" w:color="auto" w:fill="auto"/>
            <w:noWrap/>
            <w:vAlign w:val="bottom"/>
            <w:hideMark/>
          </w:tcPr>
          <w:p w14:paraId="145984FE" w14:textId="2ECEFD03"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95%</w:t>
            </w:r>
          </w:p>
        </w:tc>
        <w:tc>
          <w:tcPr>
            <w:tcW w:w="713" w:type="dxa"/>
            <w:shd w:val="clear" w:color="auto" w:fill="auto"/>
            <w:noWrap/>
            <w:vAlign w:val="bottom"/>
            <w:hideMark/>
          </w:tcPr>
          <w:p w14:paraId="494FCD2E" w14:textId="3C869E0A"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107%</w:t>
            </w:r>
          </w:p>
        </w:tc>
      </w:tr>
      <w:tr w:rsidR="00A12490" w:rsidRPr="001E1071" w14:paraId="53F37D78" w14:textId="77777777" w:rsidTr="00CC473D">
        <w:trPr>
          <w:trHeight w:val="340"/>
        </w:trPr>
        <w:tc>
          <w:tcPr>
            <w:tcW w:w="581" w:type="dxa"/>
            <w:shd w:val="clear" w:color="auto" w:fill="auto"/>
            <w:noWrap/>
            <w:vAlign w:val="bottom"/>
            <w:hideMark/>
          </w:tcPr>
          <w:p w14:paraId="4AFEDF5A"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2.</w:t>
            </w:r>
          </w:p>
        </w:tc>
        <w:tc>
          <w:tcPr>
            <w:tcW w:w="2639" w:type="dxa"/>
            <w:shd w:val="clear" w:color="auto" w:fill="auto"/>
            <w:vAlign w:val="bottom"/>
            <w:hideMark/>
          </w:tcPr>
          <w:p w14:paraId="2ECB6C58"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 POSLOVNI RASHODI </w:t>
            </w:r>
          </w:p>
        </w:tc>
        <w:tc>
          <w:tcPr>
            <w:tcW w:w="1531" w:type="dxa"/>
            <w:shd w:val="clear" w:color="auto" w:fill="auto"/>
            <w:noWrap/>
            <w:vAlign w:val="bottom"/>
            <w:hideMark/>
          </w:tcPr>
          <w:p w14:paraId="4D082DFB" w14:textId="596507D4"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12.165.137</w:t>
            </w:r>
          </w:p>
        </w:tc>
        <w:tc>
          <w:tcPr>
            <w:tcW w:w="1531" w:type="dxa"/>
            <w:shd w:val="clear" w:color="auto" w:fill="auto"/>
            <w:noWrap/>
            <w:vAlign w:val="bottom"/>
            <w:hideMark/>
          </w:tcPr>
          <w:p w14:paraId="4DD8D0FF" w14:textId="1AE9D600"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12.621.408</w:t>
            </w:r>
          </w:p>
        </w:tc>
        <w:tc>
          <w:tcPr>
            <w:tcW w:w="1531" w:type="dxa"/>
            <w:shd w:val="clear" w:color="auto" w:fill="auto"/>
            <w:noWrap/>
            <w:vAlign w:val="bottom"/>
            <w:hideMark/>
          </w:tcPr>
          <w:p w14:paraId="11D6A62C" w14:textId="3EFC5178"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12.435.884</w:t>
            </w:r>
          </w:p>
        </w:tc>
        <w:tc>
          <w:tcPr>
            <w:tcW w:w="703" w:type="dxa"/>
            <w:shd w:val="clear" w:color="auto" w:fill="auto"/>
            <w:noWrap/>
            <w:vAlign w:val="bottom"/>
            <w:hideMark/>
          </w:tcPr>
          <w:p w14:paraId="72B1B029" w14:textId="320E628F"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102%</w:t>
            </w:r>
          </w:p>
        </w:tc>
        <w:tc>
          <w:tcPr>
            <w:tcW w:w="713" w:type="dxa"/>
            <w:shd w:val="clear" w:color="auto" w:fill="auto"/>
            <w:noWrap/>
            <w:vAlign w:val="bottom"/>
            <w:hideMark/>
          </w:tcPr>
          <w:p w14:paraId="25C00E5B" w14:textId="17354F67"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99%</w:t>
            </w:r>
          </w:p>
        </w:tc>
      </w:tr>
      <w:tr w:rsidR="00A12490" w:rsidRPr="001E1071" w14:paraId="02E77BD7" w14:textId="77777777" w:rsidTr="00CC473D">
        <w:trPr>
          <w:trHeight w:val="340"/>
        </w:trPr>
        <w:tc>
          <w:tcPr>
            <w:tcW w:w="581" w:type="dxa"/>
            <w:shd w:val="clear" w:color="auto" w:fill="auto"/>
            <w:noWrap/>
            <w:vAlign w:val="bottom"/>
            <w:hideMark/>
          </w:tcPr>
          <w:p w14:paraId="3F213837"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2.1</w:t>
            </w:r>
          </w:p>
        </w:tc>
        <w:tc>
          <w:tcPr>
            <w:tcW w:w="2639" w:type="dxa"/>
            <w:shd w:val="clear" w:color="auto" w:fill="auto"/>
            <w:vAlign w:val="bottom"/>
            <w:hideMark/>
          </w:tcPr>
          <w:p w14:paraId="787664BA"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Materijalni troškovi </w:t>
            </w:r>
          </w:p>
        </w:tc>
        <w:tc>
          <w:tcPr>
            <w:tcW w:w="1531" w:type="dxa"/>
            <w:shd w:val="clear" w:color="auto" w:fill="auto"/>
            <w:noWrap/>
            <w:vAlign w:val="bottom"/>
            <w:hideMark/>
          </w:tcPr>
          <w:p w14:paraId="71033019" w14:textId="27597B97"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6.738.450</w:t>
            </w:r>
          </w:p>
        </w:tc>
        <w:tc>
          <w:tcPr>
            <w:tcW w:w="1531" w:type="dxa"/>
            <w:shd w:val="clear" w:color="auto" w:fill="auto"/>
            <w:noWrap/>
            <w:vAlign w:val="bottom"/>
            <w:hideMark/>
          </w:tcPr>
          <w:p w14:paraId="22592B17" w14:textId="70241DCA"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7.096.347</w:t>
            </w:r>
          </w:p>
        </w:tc>
        <w:tc>
          <w:tcPr>
            <w:tcW w:w="1531" w:type="dxa"/>
            <w:shd w:val="clear" w:color="auto" w:fill="auto"/>
            <w:noWrap/>
            <w:vAlign w:val="bottom"/>
            <w:hideMark/>
          </w:tcPr>
          <w:p w14:paraId="51D6DC82" w14:textId="3C3C8080"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6.887.784</w:t>
            </w:r>
          </w:p>
        </w:tc>
        <w:tc>
          <w:tcPr>
            <w:tcW w:w="703" w:type="dxa"/>
            <w:shd w:val="clear" w:color="auto" w:fill="auto"/>
            <w:noWrap/>
            <w:vAlign w:val="bottom"/>
            <w:hideMark/>
          </w:tcPr>
          <w:p w14:paraId="3AD6482F" w14:textId="2EB08EF9"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102%</w:t>
            </w:r>
          </w:p>
        </w:tc>
        <w:tc>
          <w:tcPr>
            <w:tcW w:w="713" w:type="dxa"/>
            <w:shd w:val="clear" w:color="auto" w:fill="auto"/>
            <w:noWrap/>
            <w:vAlign w:val="bottom"/>
            <w:hideMark/>
          </w:tcPr>
          <w:p w14:paraId="499C0E90" w14:textId="62BAED01"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97%</w:t>
            </w:r>
          </w:p>
        </w:tc>
      </w:tr>
      <w:tr w:rsidR="00A12490" w:rsidRPr="001E1071" w14:paraId="3DD6B43A" w14:textId="77777777" w:rsidTr="00CC473D">
        <w:trPr>
          <w:trHeight w:val="340"/>
        </w:trPr>
        <w:tc>
          <w:tcPr>
            <w:tcW w:w="581" w:type="dxa"/>
            <w:shd w:val="clear" w:color="auto" w:fill="auto"/>
            <w:noWrap/>
            <w:vAlign w:val="bottom"/>
            <w:hideMark/>
          </w:tcPr>
          <w:p w14:paraId="05868C33"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2.1.1</w:t>
            </w:r>
          </w:p>
        </w:tc>
        <w:tc>
          <w:tcPr>
            <w:tcW w:w="2639" w:type="dxa"/>
            <w:shd w:val="clear" w:color="auto" w:fill="auto"/>
            <w:vAlign w:val="bottom"/>
            <w:hideMark/>
          </w:tcPr>
          <w:p w14:paraId="15BD30A3" w14:textId="77777777" w:rsidR="00A12490" w:rsidRPr="001E1071" w:rsidRDefault="00A12490" w:rsidP="00A12490">
            <w:pPr>
              <w:spacing w:after="0" w:line="240" w:lineRule="auto"/>
              <w:rPr>
                <w:rFonts w:eastAsia="Times New Roman" w:cstheme="minorHAnsi"/>
                <w:i/>
                <w:iCs/>
                <w:sz w:val="18"/>
                <w:szCs w:val="18"/>
                <w:lang w:eastAsia="hr-HR"/>
              </w:rPr>
            </w:pPr>
            <w:r w:rsidRPr="001E1071">
              <w:rPr>
                <w:rFonts w:eastAsia="Times New Roman" w:cstheme="minorHAnsi"/>
                <w:i/>
                <w:iCs/>
                <w:sz w:val="18"/>
                <w:szCs w:val="18"/>
                <w:lang w:eastAsia="hr-HR"/>
              </w:rPr>
              <w:t xml:space="preserve"> Troškovi sirovina i materijala </w:t>
            </w:r>
          </w:p>
        </w:tc>
        <w:tc>
          <w:tcPr>
            <w:tcW w:w="1531" w:type="dxa"/>
            <w:shd w:val="clear" w:color="auto" w:fill="auto"/>
            <w:noWrap/>
            <w:vAlign w:val="bottom"/>
            <w:hideMark/>
          </w:tcPr>
          <w:p w14:paraId="15FF98DA" w14:textId="36316A10" w:rsidR="00A12490" w:rsidRPr="001E1071" w:rsidRDefault="00A12490" w:rsidP="00A12490">
            <w:pPr>
              <w:spacing w:after="0" w:line="240" w:lineRule="auto"/>
              <w:jc w:val="center"/>
              <w:rPr>
                <w:rFonts w:eastAsia="Times New Roman" w:cstheme="minorHAnsi"/>
                <w:i/>
                <w:iCs/>
                <w:color w:val="000000"/>
                <w:sz w:val="18"/>
                <w:szCs w:val="18"/>
                <w:lang w:eastAsia="hr-HR"/>
              </w:rPr>
            </w:pPr>
            <w:r>
              <w:rPr>
                <w:rFonts w:ascii="Calibri" w:hAnsi="Calibri" w:cs="Calibri"/>
                <w:sz w:val="18"/>
                <w:szCs w:val="18"/>
              </w:rPr>
              <w:t>2.013.860</w:t>
            </w:r>
          </w:p>
        </w:tc>
        <w:tc>
          <w:tcPr>
            <w:tcW w:w="1531" w:type="dxa"/>
            <w:shd w:val="clear" w:color="auto" w:fill="auto"/>
            <w:noWrap/>
            <w:vAlign w:val="bottom"/>
            <w:hideMark/>
          </w:tcPr>
          <w:p w14:paraId="09979DE8" w14:textId="4FB38560" w:rsidR="00A12490" w:rsidRPr="001E1071" w:rsidRDefault="00A12490" w:rsidP="00A12490">
            <w:pPr>
              <w:spacing w:after="0" w:line="240" w:lineRule="auto"/>
              <w:jc w:val="center"/>
              <w:rPr>
                <w:rFonts w:eastAsia="Times New Roman" w:cstheme="minorHAnsi"/>
                <w:i/>
                <w:iCs/>
                <w:color w:val="000000"/>
                <w:sz w:val="18"/>
                <w:szCs w:val="18"/>
                <w:lang w:eastAsia="hr-HR"/>
              </w:rPr>
            </w:pPr>
            <w:r>
              <w:rPr>
                <w:rFonts w:ascii="Calibri" w:hAnsi="Calibri" w:cs="Calibri"/>
                <w:i/>
                <w:iCs/>
                <w:color w:val="000000"/>
                <w:sz w:val="18"/>
                <w:szCs w:val="18"/>
              </w:rPr>
              <w:t>1.843.454</w:t>
            </w:r>
          </w:p>
        </w:tc>
        <w:tc>
          <w:tcPr>
            <w:tcW w:w="1531" w:type="dxa"/>
            <w:shd w:val="clear" w:color="auto" w:fill="auto"/>
            <w:noWrap/>
            <w:vAlign w:val="bottom"/>
            <w:hideMark/>
          </w:tcPr>
          <w:p w14:paraId="189179AE" w14:textId="58DFA2B8" w:rsidR="00A12490" w:rsidRPr="001E1071" w:rsidRDefault="00A12490" w:rsidP="00A12490">
            <w:pPr>
              <w:spacing w:after="0" w:line="240" w:lineRule="auto"/>
              <w:jc w:val="center"/>
              <w:rPr>
                <w:rFonts w:eastAsia="Times New Roman" w:cstheme="minorHAnsi"/>
                <w:i/>
                <w:iCs/>
                <w:color w:val="000000"/>
                <w:sz w:val="18"/>
                <w:szCs w:val="18"/>
                <w:lang w:eastAsia="hr-HR"/>
              </w:rPr>
            </w:pPr>
            <w:r>
              <w:rPr>
                <w:rFonts w:ascii="Calibri" w:hAnsi="Calibri" w:cs="Calibri"/>
                <w:i/>
                <w:iCs/>
                <w:color w:val="000000"/>
                <w:sz w:val="18"/>
                <w:szCs w:val="18"/>
              </w:rPr>
              <w:t>1.828.386</w:t>
            </w:r>
          </w:p>
        </w:tc>
        <w:tc>
          <w:tcPr>
            <w:tcW w:w="703" w:type="dxa"/>
            <w:shd w:val="clear" w:color="auto" w:fill="auto"/>
            <w:noWrap/>
            <w:vAlign w:val="bottom"/>
            <w:hideMark/>
          </w:tcPr>
          <w:p w14:paraId="1FF5C05F" w14:textId="39257836"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91%</w:t>
            </w:r>
          </w:p>
        </w:tc>
        <w:tc>
          <w:tcPr>
            <w:tcW w:w="713" w:type="dxa"/>
            <w:shd w:val="clear" w:color="auto" w:fill="auto"/>
            <w:noWrap/>
            <w:vAlign w:val="bottom"/>
            <w:hideMark/>
          </w:tcPr>
          <w:p w14:paraId="31E1C887" w14:textId="1E40D6A5"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99%</w:t>
            </w:r>
          </w:p>
        </w:tc>
      </w:tr>
      <w:tr w:rsidR="00A12490" w:rsidRPr="001E1071" w14:paraId="4EF9A532" w14:textId="77777777" w:rsidTr="00CC473D">
        <w:trPr>
          <w:trHeight w:val="340"/>
        </w:trPr>
        <w:tc>
          <w:tcPr>
            <w:tcW w:w="581" w:type="dxa"/>
            <w:shd w:val="clear" w:color="auto" w:fill="auto"/>
            <w:noWrap/>
            <w:vAlign w:val="bottom"/>
            <w:hideMark/>
          </w:tcPr>
          <w:p w14:paraId="70CCFAB5"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2.1.2</w:t>
            </w:r>
          </w:p>
        </w:tc>
        <w:tc>
          <w:tcPr>
            <w:tcW w:w="2639" w:type="dxa"/>
            <w:shd w:val="clear" w:color="auto" w:fill="auto"/>
            <w:vAlign w:val="bottom"/>
            <w:hideMark/>
          </w:tcPr>
          <w:p w14:paraId="02BAEDFD" w14:textId="77777777" w:rsidR="00A12490" w:rsidRPr="001E1071" w:rsidRDefault="00A12490" w:rsidP="00A12490">
            <w:pPr>
              <w:spacing w:after="0" w:line="240" w:lineRule="auto"/>
              <w:rPr>
                <w:rFonts w:eastAsia="Times New Roman" w:cstheme="minorHAnsi"/>
                <w:i/>
                <w:iCs/>
                <w:sz w:val="18"/>
                <w:szCs w:val="18"/>
                <w:lang w:eastAsia="hr-HR"/>
              </w:rPr>
            </w:pPr>
            <w:r w:rsidRPr="001E1071">
              <w:rPr>
                <w:rFonts w:eastAsia="Times New Roman" w:cstheme="minorHAnsi"/>
                <w:i/>
                <w:iCs/>
                <w:sz w:val="18"/>
                <w:szCs w:val="18"/>
                <w:lang w:eastAsia="hr-HR"/>
              </w:rPr>
              <w:t xml:space="preserve"> Ostali vanjski troškovi </w:t>
            </w:r>
          </w:p>
        </w:tc>
        <w:tc>
          <w:tcPr>
            <w:tcW w:w="1531" w:type="dxa"/>
            <w:shd w:val="clear" w:color="auto" w:fill="auto"/>
            <w:noWrap/>
            <w:vAlign w:val="bottom"/>
            <w:hideMark/>
          </w:tcPr>
          <w:p w14:paraId="5848BCAE" w14:textId="4E340044" w:rsidR="00A12490" w:rsidRPr="001E1071" w:rsidRDefault="00A12490" w:rsidP="00A12490">
            <w:pPr>
              <w:spacing w:after="0" w:line="240" w:lineRule="auto"/>
              <w:jc w:val="center"/>
              <w:rPr>
                <w:rFonts w:eastAsia="Times New Roman" w:cstheme="minorHAnsi"/>
                <w:i/>
                <w:iCs/>
                <w:color w:val="000000"/>
                <w:sz w:val="18"/>
                <w:szCs w:val="18"/>
                <w:lang w:eastAsia="hr-HR"/>
              </w:rPr>
            </w:pPr>
            <w:r>
              <w:rPr>
                <w:rFonts w:ascii="Calibri" w:hAnsi="Calibri" w:cs="Calibri"/>
                <w:sz w:val="18"/>
                <w:szCs w:val="18"/>
              </w:rPr>
              <w:t>4.724.591</w:t>
            </w:r>
          </w:p>
        </w:tc>
        <w:tc>
          <w:tcPr>
            <w:tcW w:w="1531" w:type="dxa"/>
            <w:shd w:val="clear" w:color="auto" w:fill="auto"/>
            <w:noWrap/>
            <w:vAlign w:val="bottom"/>
            <w:hideMark/>
          </w:tcPr>
          <w:p w14:paraId="797B3AC6" w14:textId="2C1D6226" w:rsidR="00A12490" w:rsidRPr="001E1071" w:rsidRDefault="00A12490" w:rsidP="00A12490">
            <w:pPr>
              <w:spacing w:after="0" w:line="240" w:lineRule="auto"/>
              <w:jc w:val="center"/>
              <w:rPr>
                <w:rFonts w:eastAsia="Times New Roman" w:cstheme="minorHAnsi"/>
                <w:i/>
                <w:iCs/>
                <w:color w:val="000000"/>
                <w:sz w:val="18"/>
                <w:szCs w:val="18"/>
                <w:lang w:eastAsia="hr-HR"/>
              </w:rPr>
            </w:pPr>
            <w:r>
              <w:rPr>
                <w:rFonts w:ascii="Calibri" w:hAnsi="Calibri" w:cs="Calibri"/>
                <w:i/>
                <w:iCs/>
                <w:color w:val="000000"/>
                <w:sz w:val="18"/>
                <w:szCs w:val="18"/>
              </w:rPr>
              <w:t>5.252.893</w:t>
            </w:r>
          </w:p>
        </w:tc>
        <w:tc>
          <w:tcPr>
            <w:tcW w:w="1531" w:type="dxa"/>
            <w:shd w:val="clear" w:color="auto" w:fill="auto"/>
            <w:noWrap/>
            <w:vAlign w:val="bottom"/>
            <w:hideMark/>
          </w:tcPr>
          <w:p w14:paraId="078AAD6D" w14:textId="208623EE" w:rsidR="00A12490" w:rsidRPr="001E1071" w:rsidRDefault="00A12490" w:rsidP="00A12490">
            <w:pPr>
              <w:spacing w:after="0" w:line="240" w:lineRule="auto"/>
              <w:jc w:val="center"/>
              <w:rPr>
                <w:rFonts w:eastAsia="Times New Roman" w:cstheme="minorHAnsi"/>
                <w:i/>
                <w:iCs/>
                <w:color w:val="000000"/>
                <w:sz w:val="18"/>
                <w:szCs w:val="18"/>
                <w:lang w:eastAsia="hr-HR"/>
              </w:rPr>
            </w:pPr>
            <w:r>
              <w:rPr>
                <w:rFonts w:ascii="Calibri" w:hAnsi="Calibri" w:cs="Calibri"/>
                <w:i/>
                <w:iCs/>
                <w:color w:val="000000"/>
                <w:sz w:val="18"/>
                <w:szCs w:val="18"/>
              </w:rPr>
              <w:t>5.059.398</w:t>
            </w:r>
          </w:p>
        </w:tc>
        <w:tc>
          <w:tcPr>
            <w:tcW w:w="703" w:type="dxa"/>
            <w:shd w:val="clear" w:color="auto" w:fill="auto"/>
            <w:noWrap/>
            <w:vAlign w:val="bottom"/>
            <w:hideMark/>
          </w:tcPr>
          <w:p w14:paraId="6E2BECDC" w14:textId="5B7361EC"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107%</w:t>
            </w:r>
          </w:p>
        </w:tc>
        <w:tc>
          <w:tcPr>
            <w:tcW w:w="713" w:type="dxa"/>
            <w:shd w:val="clear" w:color="auto" w:fill="auto"/>
            <w:noWrap/>
            <w:vAlign w:val="bottom"/>
            <w:hideMark/>
          </w:tcPr>
          <w:p w14:paraId="262AB1F4" w14:textId="00E2279C"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96%</w:t>
            </w:r>
          </w:p>
        </w:tc>
      </w:tr>
      <w:tr w:rsidR="00A12490" w:rsidRPr="001E1071" w14:paraId="1EABBDE5" w14:textId="77777777" w:rsidTr="00CC473D">
        <w:trPr>
          <w:trHeight w:val="340"/>
        </w:trPr>
        <w:tc>
          <w:tcPr>
            <w:tcW w:w="581" w:type="dxa"/>
            <w:shd w:val="clear" w:color="auto" w:fill="auto"/>
            <w:noWrap/>
            <w:vAlign w:val="bottom"/>
            <w:hideMark/>
          </w:tcPr>
          <w:p w14:paraId="5A435AE9"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2.2</w:t>
            </w:r>
          </w:p>
        </w:tc>
        <w:tc>
          <w:tcPr>
            <w:tcW w:w="2639" w:type="dxa"/>
            <w:shd w:val="clear" w:color="auto" w:fill="auto"/>
            <w:vAlign w:val="bottom"/>
            <w:hideMark/>
          </w:tcPr>
          <w:p w14:paraId="65037E20"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Troškovi osoblja </w:t>
            </w:r>
          </w:p>
        </w:tc>
        <w:tc>
          <w:tcPr>
            <w:tcW w:w="1531" w:type="dxa"/>
            <w:shd w:val="clear" w:color="auto" w:fill="auto"/>
            <w:noWrap/>
            <w:vAlign w:val="bottom"/>
            <w:hideMark/>
          </w:tcPr>
          <w:p w14:paraId="520A7787" w14:textId="14675C22"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1.506.128</w:t>
            </w:r>
          </w:p>
        </w:tc>
        <w:tc>
          <w:tcPr>
            <w:tcW w:w="1531" w:type="dxa"/>
            <w:shd w:val="clear" w:color="auto" w:fill="auto"/>
            <w:noWrap/>
            <w:vAlign w:val="bottom"/>
            <w:hideMark/>
          </w:tcPr>
          <w:p w14:paraId="76985114" w14:textId="10D7E3A7"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1.875.014</w:t>
            </w:r>
          </w:p>
        </w:tc>
        <w:tc>
          <w:tcPr>
            <w:tcW w:w="1531" w:type="dxa"/>
            <w:shd w:val="clear" w:color="auto" w:fill="auto"/>
            <w:noWrap/>
            <w:vAlign w:val="bottom"/>
            <w:hideMark/>
          </w:tcPr>
          <w:p w14:paraId="4C6B60B4" w14:textId="09057AEE"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1.877.131</w:t>
            </w:r>
          </w:p>
        </w:tc>
        <w:tc>
          <w:tcPr>
            <w:tcW w:w="703" w:type="dxa"/>
            <w:shd w:val="clear" w:color="auto" w:fill="auto"/>
            <w:noWrap/>
            <w:vAlign w:val="bottom"/>
            <w:hideMark/>
          </w:tcPr>
          <w:p w14:paraId="4E69BDB8" w14:textId="4FAA5EF6"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125%</w:t>
            </w:r>
          </w:p>
        </w:tc>
        <w:tc>
          <w:tcPr>
            <w:tcW w:w="713" w:type="dxa"/>
            <w:shd w:val="clear" w:color="auto" w:fill="auto"/>
            <w:noWrap/>
            <w:vAlign w:val="bottom"/>
            <w:hideMark/>
          </w:tcPr>
          <w:p w14:paraId="49A01E00" w14:textId="56B9A66C"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100%</w:t>
            </w:r>
          </w:p>
        </w:tc>
      </w:tr>
      <w:tr w:rsidR="00A12490" w:rsidRPr="001E1071" w14:paraId="6687CC19" w14:textId="77777777" w:rsidTr="00CC473D">
        <w:trPr>
          <w:trHeight w:val="340"/>
        </w:trPr>
        <w:tc>
          <w:tcPr>
            <w:tcW w:w="581" w:type="dxa"/>
            <w:shd w:val="clear" w:color="auto" w:fill="auto"/>
            <w:noWrap/>
            <w:vAlign w:val="bottom"/>
            <w:hideMark/>
          </w:tcPr>
          <w:p w14:paraId="3DA0B024"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2.3</w:t>
            </w:r>
          </w:p>
        </w:tc>
        <w:tc>
          <w:tcPr>
            <w:tcW w:w="2639" w:type="dxa"/>
            <w:shd w:val="clear" w:color="auto" w:fill="auto"/>
            <w:vAlign w:val="bottom"/>
            <w:hideMark/>
          </w:tcPr>
          <w:p w14:paraId="58922686"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Amortizacija</w:t>
            </w:r>
          </w:p>
        </w:tc>
        <w:tc>
          <w:tcPr>
            <w:tcW w:w="1531" w:type="dxa"/>
            <w:shd w:val="clear" w:color="auto" w:fill="auto"/>
            <w:noWrap/>
            <w:vAlign w:val="bottom"/>
            <w:hideMark/>
          </w:tcPr>
          <w:p w14:paraId="79DCCD86" w14:textId="4451D070"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3.186.313</w:t>
            </w:r>
          </w:p>
        </w:tc>
        <w:tc>
          <w:tcPr>
            <w:tcW w:w="1531" w:type="dxa"/>
            <w:shd w:val="clear" w:color="auto" w:fill="auto"/>
            <w:noWrap/>
            <w:vAlign w:val="bottom"/>
            <w:hideMark/>
          </w:tcPr>
          <w:p w14:paraId="26C58EA2" w14:textId="15CE75F1"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3.179.954</w:t>
            </w:r>
          </w:p>
        </w:tc>
        <w:tc>
          <w:tcPr>
            <w:tcW w:w="1531" w:type="dxa"/>
            <w:shd w:val="clear" w:color="auto" w:fill="auto"/>
            <w:noWrap/>
            <w:vAlign w:val="bottom"/>
            <w:hideMark/>
          </w:tcPr>
          <w:p w14:paraId="03FDA78F" w14:textId="13449175"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3.204.334</w:t>
            </w:r>
          </w:p>
        </w:tc>
        <w:tc>
          <w:tcPr>
            <w:tcW w:w="703" w:type="dxa"/>
            <w:shd w:val="clear" w:color="auto" w:fill="auto"/>
            <w:noWrap/>
            <w:vAlign w:val="bottom"/>
            <w:hideMark/>
          </w:tcPr>
          <w:p w14:paraId="3511D019" w14:textId="614B716C"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101%</w:t>
            </w:r>
          </w:p>
        </w:tc>
        <w:tc>
          <w:tcPr>
            <w:tcW w:w="713" w:type="dxa"/>
            <w:shd w:val="clear" w:color="auto" w:fill="auto"/>
            <w:noWrap/>
            <w:vAlign w:val="bottom"/>
            <w:hideMark/>
          </w:tcPr>
          <w:p w14:paraId="07691CF0" w14:textId="2C580905"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101%</w:t>
            </w:r>
          </w:p>
        </w:tc>
      </w:tr>
      <w:tr w:rsidR="00A12490" w:rsidRPr="001E1071" w14:paraId="4569EA47" w14:textId="77777777" w:rsidTr="00CC473D">
        <w:trPr>
          <w:trHeight w:val="340"/>
        </w:trPr>
        <w:tc>
          <w:tcPr>
            <w:tcW w:w="581" w:type="dxa"/>
            <w:shd w:val="clear" w:color="auto" w:fill="auto"/>
            <w:noWrap/>
            <w:vAlign w:val="bottom"/>
            <w:hideMark/>
          </w:tcPr>
          <w:p w14:paraId="02ADBBAB"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2.4</w:t>
            </w:r>
          </w:p>
        </w:tc>
        <w:tc>
          <w:tcPr>
            <w:tcW w:w="2639" w:type="dxa"/>
            <w:shd w:val="clear" w:color="auto" w:fill="auto"/>
            <w:vAlign w:val="bottom"/>
            <w:hideMark/>
          </w:tcPr>
          <w:p w14:paraId="5E0547C4"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Ostali troškovi</w:t>
            </w:r>
          </w:p>
        </w:tc>
        <w:tc>
          <w:tcPr>
            <w:tcW w:w="1531" w:type="dxa"/>
            <w:shd w:val="clear" w:color="auto" w:fill="auto"/>
            <w:noWrap/>
            <w:vAlign w:val="bottom"/>
            <w:hideMark/>
          </w:tcPr>
          <w:p w14:paraId="0B9F1056" w14:textId="7948F371"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433.582</w:t>
            </w:r>
          </w:p>
        </w:tc>
        <w:tc>
          <w:tcPr>
            <w:tcW w:w="1531" w:type="dxa"/>
            <w:shd w:val="clear" w:color="auto" w:fill="auto"/>
            <w:noWrap/>
            <w:vAlign w:val="bottom"/>
            <w:hideMark/>
          </w:tcPr>
          <w:p w14:paraId="70426D75" w14:textId="4A771DD7"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460.093</w:t>
            </w:r>
          </w:p>
        </w:tc>
        <w:tc>
          <w:tcPr>
            <w:tcW w:w="1531" w:type="dxa"/>
            <w:shd w:val="clear" w:color="auto" w:fill="auto"/>
            <w:noWrap/>
            <w:vAlign w:val="bottom"/>
            <w:hideMark/>
          </w:tcPr>
          <w:p w14:paraId="3F6E26E0" w14:textId="37A2F4F7"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452.836</w:t>
            </w:r>
          </w:p>
        </w:tc>
        <w:tc>
          <w:tcPr>
            <w:tcW w:w="703" w:type="dxa"/>
            <w:shd w:val="clear" w:color="auto" w:fill="auto"/>
            <w:noWrap/>
            <w:vAlign w:val="bottom"/>
            <w:hideMark/>
          </w:tcPr>
          <w:p w14:paraId="7FD64580" w14:textId="69606F86"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104%</w:t>
            </w:r>
          </w:p>
        </w:tc>
        <w:tc>
          <w:tcPr>
            <w:tcW w:w="713" w:type="dxa"/>
            <w:shd w:val="clear" w:color="auto" w:fill="auto"/>
            <w:noWrap/>
            <w:vAlign w:val="bottom"/>
            <w:hideMark/>
          </w:tcPr>
          <w:p w14:paraId="5A352F71" w14:textId="1B76CD0A"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98%</w:t>
            </w:r>
          </w:p>
        </w:tc>
      </w:tr>
      <w:tr w:rsidR="00A12490" w:rsidRPr="001E1071" w14:paraId="3B16C800" w14:textId="77777777" w:rsidTr="00CC473D">
        <w:trPr>
          <w:trHeight w:val="340"/>
        </w:trPr>
        <w:tc>
          <w:tcPr>
            <w:tcW w:w="581" w:type="dxa"/>
            <w:shd w:val="clear" w:color="auto" w:fill="auto"/>
            <w:noWrap/>
            <w:vAlign w:val="bottom"/>
            <w:hideMark/>
          </w:tcPr>
          <w:p w14:paraId="0B4D72AC"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2.5</w:t>
            </w:r>
          </w:p>
        </w:tc>
        <w:tc>
          <w:tcPr>
            <w:tcW w:w="2639" w:type="dxa"/>
            <w:shd w:val="clear" w:color="auto" w:fill="auto"/>
            <w:vAlign w:val="bottom"/>
            <w:hideMark/>
          </w:tcPr>
          <w:p w14:paraId="3534F1E6"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Vrijednosna usklađenja</w:t>
            </w:r>
          </w:p>
        </w:tc>
        <w:tc>
          <w:tcPr>
            <w:tcW w:w="1531" w:type="dxa"/>
            <w:shd w:val="clear" w:color="auto" w:fill="auto"/>
            <w:noWrap/>
            <w:vAlign w:val="bottom"/>
            <w:hideMark/>
          </w:tcPr>
          <w:p w14:paraId="4B30CDFC" w14:textId="43741F75"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39.715</w:t>
            </w:r>
          </w:p>
        </w:tc>
        <w:tc>
          <w:tcPr>
            <w:tcW w:w="1531" w:type="dxa"/>
            <w:shd w:val="clear" w:color="auto" w:fill="auto"/>
            <w:noWrap/>
            <w:vAlign w:val="bottom"/>
            <w:hideMark/>
          </w:tcPr>
          <w:p w14:paraId="2A5B16B0" w14:textId="47D368C1"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0</w:t>
            </w:r>
          </w:p>
        </w:tc>
        <w:tc>
          <w:tcPr>
            <w:tcW w:w="1531" w:type="dxa"/>
            <w:shd w:val="clear" w:color="auto" w:fill="auto"/>
            <w:noWrap/>
            <w:vAlign w:val="bottom"/>
            <w:hideMark/>
          </w:tcPr>
          <w:p w14:paraId="03822520" w14:textId="3F6EA3A5"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0</w:t>
            </w:r>
          </w:p>
        </w:tc>
        <w:tc>
          <w:tcPr>
            <w:tcW w:w="703" w:type="dxa"/>
            <w:shd w:val="clear" w:color="auto" w:fill="auto"/>
            <w:noWrap/>
            <w:vAlign w:val="bottom"/>
            <w:hideMark/>
          </w:tcPr>
          <w:p w14:paraId="32D6DF2B" w14:textId="26BDF679"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0%</w:t>
            </w:r>
          </w:p>
        </w:tc>
        <w:tc>
          <w:tcPr>
            <w:tcW w:w="713" w:type="dxa"/>
            <w:shd w:val="clear" w:color="auto" w:fill="auto"/>
            <w:noWrap/>
            <w:vAlign w:val="bottom"/>
            <w:hideMark/>
          </w:tcPr>
          <w:p w14:paraId="783C4457" w14:textId="417E63C6"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0%</w:t>
            </w:r>
          </w:p>
        </w:tc>
      </w:tr>
      <w:tr w:rsidR="00A12490" w:rsidRPr="001E1071" w14:paraId="22AC12DA" w14:textId="77777777" w:rsidTr="00CC473D">
        <w:trPr>
          <w:trHeight w:val="340"/>
        </w:trPr>
        <w:tc>
          <w:tcPr>
            <w:tcW w:w="581" w:type="dxa"/>
            <w:shd w:val="clear" w:color="auto" w:fill="auto"/>
            <w:noWrap/>
            <w:vAlign w:val="bottom"/>
            <w:hideMark/>
          </w:tcPr>
          <w:p w14:paraId="74036E5B"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2.6</w:t>
            </w:r>
          </w:p>
        </w:tc>
        <w:tc>
          <w:tcPr>
            <w:tcW w:w="2639" w:type="dxa"/>
            <w:shd w:val="clear" w:color="auto" w:fill="auto"/>
            <w:vAlign w:val="bottom"/>
            <w:hideMark/>
          </w:tcPr>
          <w:p w14:paraId="42AD8867"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Rezerviranja</w:t>
            </w:r>
          </w:p>
        </w:tc>
        <w:tc>
          <w:tcPr>
            <w:tcW w:w="1531" w:type="dxa"/>
            <w:shd w:val="clear" w:color="auto" w:fill="auto"/>
            <w:noWrap/>
            <w:vAlign w:val="bottom"/>
            <w:hideMark/>
          </w:tcPr>
          <w:p w14:paraId="1656AE43" w14:textId="625CBB59"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245.506</w:t>
            </w:r>
          </w:p>
        </w:tc>
        <w:tc>
          <w:tcPr>
            <w:tcW w:w="1531" w:type="dxa"/>
            <w:shd w:val="clear" w:color="auto" w:fill="auto"/>
            <w:noWrap/>
            <w:vAlign w:val="bottom"/>
            <w:hideMark/>
          </w:tcPr>
          <w:p w14:paraId="166807D3" w14:textId="0F15AFD2"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0</w:t>
            </w:r>
          </w:p>
        </w:tc>
        <w:tc>
          <w:tcPr>
            <w:tcW w:w="1531" w:type="dxa"/>
            <w:shd w:val="clear" w:color="auto" w:fill="auto"/>
            <w:noWrap/>
            <w:vAlign w:val="bottom"/>
            <w:hideMark/>
          </w:tcPr>
          <w:p w14:paraId="3000E812" w14:textId="740214AC"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0</w:t>
            </w:r>
          </w:p>
        </w:tc>
        <w:tc>
          <w:tcPr>
            <w:tcW w:w="703" w:type="dxa"/>
            <w:shd w:val="clear" w:color="auto" w:fill="auto"/>
            <w:noWrap/>
            <w:vAlign w:val="bottom"/>
            <w:hideMark/>
          </w:tcPr>
          <w:p w14:paraId="2DD3B9C8" w14:textId="44F56906"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0%</w:t>
            </w:r>
          </w:p>
        </w:tc>
        <w:tc>
          <w:tcPr>
            <w:tcW w:w="713" w:type="dxa"/>
            <w:shd w:val="clear" w:color="auto" w:fill="auto"/>
            <w:noWrap/>
            <w:vAlign w:val="bottom"/>
            <w:hideMark/>
          </w:tcPr>
          <w:p w14:paraId="2E8AECD2" w14:textId="2641C5A7"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0%</w:t>
            </w:r>
          </w:p>
        </w:tc>
      </w:tr>
      <w:tr w:rsidR="00A12490" w:rsidRPr="001E1071" w14:paraId="5619ACD9" w14:textId="77777777" w:rsidTr="00CC473D">
        <w:trPr>
          <w:trHeight w:val="340"/>
        </w:trPr>
        <w:tc>
          <w:tcPr>
            <w:tcW w:w="581" w:type="dxa"/>
            <w:shd w:val="clear" w:color="auto" w:fill="auto"/>
            <w:noWrap/>
            <w:vAlign w:val="bottom"/>
            <w:hideMark/>
          </w:tcPr>
          <w:p w14:paraId="3E5BF183"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2.9</w:t>
            </w:r>
          </w:p>
        </w:tc>
        <w:tc>
          <w:tcPr>
            <w:tcW w:w="2639" w:type="dxa"/>
            <w:shd w:val="clear" w:color="auto" w:fill="auto"/>
            <w:vAlign w:val="bottom"/>
            <w:hideMark/>
          </w:tcPr>
          <w:p w14:paraId="684D10E5"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Ostali poslovni rashodi</w:t>
            </w:r>
          </w:p>
        </w:tc>
        <w:tc>
          <w:tcPr>
            <w:tcW w:w="1531" w:type="dxa"/>
            <w:shd w:val="clear" w:color="auto" w:fill="auto"/>
            <w:noWrap/>
            <w:vAlign w:val="bottom"/>
            <w:hideMark/>
          </w:tcPr>
          <w:p w14:paraId="6F8E0704" w14:textId="24A879EB"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15.441</w:t>
            </w:r>
          </w:p>
        </w:tc>
        <w:tc>
          <w:tcPr>
            <w:tcW w:w="1531" w:type="dxa"/>
            <w:shd w:val="clear" w:color="auto" w:fill="auto"/>
            <w:noWrap/>
            <w:vAlign w:val="bottom"/>
            <w:hideMark/>
          </w:tcPr>
          <w:p w14:paraId="36B01EE3" w14:textId="09DBEEC6"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10.000</w:t>
            </w:r>
          </w:p>
        </w:tc>
        <w:tc>
          <w:tcPr>
            <w:tcW w:w="1531" w:type="dxa"/>
            <w:shd w:val="clear" w:color="auto" w:fill="auto"/>
            <w:noWrap/>
            <w:vAlign w:val="bottom"/>
            <w:hideMark/>
          </w:tcPr>
          <w:p w14:paraId="1D9DBCD0" w14:textId="726C0389"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13.799</w:t>
            </w:r>
          </w:p>
        </w:tc>
        <w:tc>
          <w:tcPr>
            <w:tcW w:w="703" w:type="dxa"/>
            <w:shd w:val="clear" w:color="auto" w:fill="auto"/>
            <w:noWrap/>
            <w:vAlign w:val="bottom"/>
            <w:hideMark/>
          </w:tcPr>
          <w:p w14:paraId="476142F1" w14:textId="41E58E69"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89%</w:t>
            </w:r>
          </w:p>
        </w:tc>
        <w:tc>
          <w:tcPr>
            <w:tcW w:w="713" w:type="dxa"/>
            <w:shd w:val="clear" w:color="auto" w:fill="auto"/>
            <w:noWrap/>
            <w:vAlign w:val="bottom"/>
            <w:hideMark/>
          </w:tcPr>
          <w:p w14:paraId="7951E70C" w14:textId="5DA53E9F"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138%</w:t>
            </w:r>
          </w:p>
        </w:tc>
      </w:tr>
      <w:tr w:rsidR="00A12490" w:rsidRPr="001E1071" w14:paraId="6C4458E5" w14:textId="77777777" w:rsidTr="00CC473D">
        <w:trPr>
          <w:trHeight w:val="340"/>
        </w:trPr>
        <w:tc>
          <w:tcPr>
            <w:tcW w:w="581" w:type="dxa"/>
            <w:shd w:val="clear" w:color="auto" w:fill="auto"/>
            <w:noWrap/>
            <w:vAlign w:val="bottom"/>
            <w:hideMark/>
          </w:tcPr>
          <w:p w14:paraId="3208D37B"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3.</w:t>
            </w:r>
          </w:p>
        </w:tc>
        <w:tc>
          <w:tcPr>
            <w:tcW w:w="2639" w:type="dxa"/>
            <w:shd w:val="clear" w:color="auto" w:fill="auto"/>
            <w:vAlign w:val="bottom"/>
            <w:hideMark/>
          </w:tcPr>
          <w:p w14:paraId="17A5D693"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FINANCIJSKI PRIHODI </w:t>
            </w:r>
          </w:p>
        </w:tc>
        <w:tc>
          <w:tcPr>
            <w:tcW w:w="1531" w:type="dxa"/>
            <w:shd w:val="clear" w:color="auto" w:fill="auto"/>
            <w:noWrap/>
            <w:vAlign w:val="bottom"/>
            <w:hideMark/>
          </w:tcPr>
          <w:p w14:paraId="5025846B" w14:textId="2760357A"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75.723</w:t>
            </w:r>
          </w:p>
        </w:tc>
        <w:tc>
          <w:tcPr>
            <w:tcW w:w="1531" w:type="dxa"/>
            <w:shd w:val="clear" w:color="auto" w:fill="auto"/>
            <w:noWrap/>
            <w:vAlign w:val="bottom"/>
            <w:hideMark/>
          </w:tcPr>
          <w:p w14:paraId="4A55CD7E" w14:textId="0D3C1A0F"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70.000</w:t>
            </w:r>
          </w:p>
        </w:tc>
        <w:tc>
          <w:tcPr>
            <w:tcW w:w="1531" w:type="dxa"/>
            <w:shd w:val="clear" w:color="auto" w:fill="auto"/>
            <w:noWrap/>
            <w:vAlign w:val="bottom"/>
            <w:hideMark/>
          </w:tcPr>
          <w:p w14:paraId="58B945B2" w14:textId="50966DA6"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68.945</w:t>
            </w:r>
          </w:p>
        </w:tc>
        <w:tc>
          <w:tcPr>
            <w:tcW w:w="703" w:type="dxa"/>
            <w:shd w:val="clear" w:color="auto" w:fill="auto"/>
            <w:noWrap/>
            <w:vAlign w:val="bottom"/>
            <w:hideMark/>
          </w:tcPr>
          <w:p w14:paraId="56B39F38" w14:textId="3A2DF626"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91%</w:t>
            </w:r>
          </w:p>
        </w:tc>
        <w:tc>
          <w:tcPr>
            <w:tcW w:w="713" w:type="dxa"/>
            <w:shd w:val="clear" w:color="auto" w:fill="auto"/>
            <w:noWrap/>
            <w:vAlign w:val="bottom"/>
            <w:hideMark/>
          </w:tcPr>
          <w:p w14:paraId="43F01437" w14:textId="54B19938"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98%</w:t>
            </w:r>
          </w:p>
        </w:tc>
      </w:tr>
      <w:tr w:rsidR="00A12490" w:rsidRPr="001E1071" w14:paraId="51718889" w14:textId="77777777" w:rsidTr="00CC473D">
        <w:trPr>
          <w:trHeight w:val="340"/>
        </w:trPr>
        <w:tc>
          <w:tcPr>
            <w:tcW w:w="581" w:type="dxa"/>
            <w:shd w:val="clear" w:color="auto" w:fill="auto"/>
            <w:noWrap/>
            <w:vAlign w:val="bottom"/>
            <w:hideMark/>
          </w:tcPr>
          <w:p w14:paraId="15133E02"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3.1</w:t>
            </w:r>
          </w:p>
        </w:tc>
        <w:tc>
          <w:tcPr>
            <w:tcW w:w="2639" w:type="dxa"/>
            <w:shd w:val="clear" w:color="auto" w:fill="auto"/>
            <w:vAlign w:val="bottom"/>
            <w:hideMark/>
          </w:tcPr>
          <w:p w14:paraId="1E3E8D19" w14:textId="1F01600F"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Kamate, poz.</w:t>
            </w:r>
            <w:r>
              <w:rPr>
                <w:rFonts w:eastAsia="Times New Roman" w:cstheme="minorHAnsi"/>
                <w:sz w:val="18"/>
                <w:szCs w:val="18"/>
                <w:lang w:eastAsia="hr-HR"/>
              </w:rPr>
              <w:t xml:space="preserve"> </w:t>
            </w:r>
            <w:r w:rsidRPr="001E1071">
              <w:rPr>
                <w:rFonts w:eastAsia="Times New Roman" w:cstheme="minorHAnsi"/>
                <w:sz w:val="18"/>
                <w:szCs w:val="18"/>
                <w:lang w:eastAsia="hr-HR"/>
              </w:rPr>
              <w:t xml:space="preserve">tečajne razlike </w:t>
            </w:r>
          </w:p>
        </w:tc>
        <w:tc>
          <w:tcPr>
            <w:tcW w:w="1531" w:type="dxa"/>
            <w:shd w:val="clear" w:color="auto" w:fill="auto"/>
            <w:noWrap/>
            <w:vAlign w:val="bottom"/>
            <w:hideMark/>
          </w:tcPr>
          <w:p w14:paraId="60B7BEAA" w14:textId="61875427"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75.723</w:t>
            </w:r>
          </w:p>
        </w:tc>
        <w:tc>
          <w:tcPr>
            <w:tcW w:w="1531" w:type="dxa"/>
            <w:shd w:val="clear" w:color="auto" w:fill="auto"/>
            <w:noWrap/>
            <w:vAlign w:val="bottom"/>
            <w:hideMark/>
          </w:tcPr>
          <w:p w14:paraId="041A5DA6" w14:textId="62295E22"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70.000</w:t>
            </w:r>
          </w:p>
        </w:tc>
        <w:tc>
          <w:tcPr>
            <w:tcW w:w="1531" w:type="dxa"/>
            <w:shd w:val="clear" w:color="auto" w:fill="auto"/>
            <w:noWrap/>
            <w:vAlign w:val="bottom"/>
            <w:hideMark/>
          </w:tcPr>
          <w:p w14:paraId="02874D46" w14:textId="5E4B2916"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68.945</w:t>
            </w:r>
          </w:p>
        </w:tc>
        <w:tc>
          <w:tcPr>
            <w:tcW w:w="703" w:type="dxa"/>
            <w:shd w:val="clear" w:color="auto" w:fill="auto"/>
            <w:noWrap/>
            <w:vAlign w:val="bottom"/>
            <w:hideMark/>
          </w:tcPr>
          <w:p w14:paraId="1BAC311A" w14:textId="73B094F6"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b/>
                <w:bCs/>
                <w:color w:val="000000"/>
                <w:sz w:val="18"/>
                <w:szCs w:val="18"/>
              </w:rPr>
              <w:t>91%</w:t>
            </w:r>
          </w:p>
        </w:tc>
        <w:tc>
          <w:tcPr>
            <w:tcW w:w="713" w:type="dxa"/>
            <w:shd w:val="clear" w:color="auto" w:fill="auto"/>
            <w:noWrap/>
            <w:vAlign w:val="bottom"/>
            <w:hideMark/>
          </w:tcPr>
          <w:p w14:paraId="37E46E8A" w14:textId="7FB749A6"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b/>
                <w:bCs/>
                <w:color w:val="000000"/>
                <w:sz w:val="18"/>
                <w:szCs w:val="18"/>
              </w:rPr>
              <w:t>98%</w:t>
            </w:r>
          </w:p>
        </w:tc>
      </w:tr>
      <w:tr w:rsidR="00A12490" w:rsidRPr="001E1071" w14:paraId="49E31FD0" w14:textId="77777777" w:rsidTr="00CC473D">
        <w:trPr>
          <w:trHeight w:val="340"/>
        </w:trPr>
        <w:tc>
          <w:tcPr>
            <w:tcW w:w="581" w:type="dxa"/>
            <w:shd w:val="clear" w:color="auto" w:fill="auto"/>
            <w:noWrap/>
            <w:vAlign w:val="bottom"/>
            <w:hideMark/>
          </w:tcPr>
          <w:p w14:paraId="0B8FD8E6"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4.</w:t>
            </w:r>
          </w:p>
        </w:tc>
        <w:tc>
          <w:tcPr>
            <w:tcW w:w="2639" w:type="dxa"/>
            <w:shd w:val="clear" w:color="auto" w:fill="auto"/>
            <w:vAlign w:val="bottom"/>
            <w:hideMark/>
          </w:tcPr>
          <w:p w14:paraId="28809CF7"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FINANCIJSKI RASHODI </w:t>
            </w:r>
          </w:p>
        </w:tc>
        <w:tc>
          <w:tcPr>
            <w:tcW w:w="1531" w:type="dxa"/>
            <w:shd w:val="clear" w:color="auto" w:fill="auto"/>
            <w:noWrap/>
            <w:vAlign w:val="bottom"/>
            <w:hideMark/>
          </w:tcPr>
          <w:p w14:paraId="6912660D" w14:textId="23F334F1"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sz w:val="18"/>
                <w:szCs w:val="18"/>
              </w:rPr>
              <w:t>141.323</w:t>
            </w:r>
          </w:p>
        </w:tc>
        <w:tc>
          <w:tcPr>
            <w:tcW w:w="1531" w:type="dxa"/>
            <w:shd w:val="clear" w:color="auto" w:fill="auto"/>
            <w:noWrap/>
            <w:vAlign w:val="bottom"/>
            <w:hideMark/>
          </w:tcPr>
          <w:p w14:paraId="01E1F504" w14:textId="50412708"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120.801</w:t>
            </w:r>
          </w:p>
        </w:tc>
        <w:tc>
          <w:tcPr>
            <w:tcW w:w="1531" w:type="dxa"/>
            <w:shd w:val="clear" w:color="auto" w:fill="auto"/>
            <w:noWrap/>
            <w:vAlign w:val="bottom"/>
            <w:hideMark/>
          </w:tcPr>
          <w:p w14:paraId="54814A55" w14:textId="3A6BD2A8"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color w:val="000000"/>
                <w:sz w:val="18"/>
                <w:szCs w:val="18"/>
              </w:rPr>
              <w:t>152.003</w:t>
            </w:r>
          </w:p>
        </w:tc>
        <w:tc>
          <w:tcPr>
            <w:tcW w:w="703" w:type="dxa"/>
            <w:shd w:val="clear" w:color="auto" w:fill="auto"/>
            <w:noWrap/>
            <w:vAlign w:val="bottom"/>
            <w:hideMark/>
          </w:tcPr>
          <w:p w14:paraId="7F0D7B57" w14:textId="40866FDC"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108%</w:t>
            </w:r>
          </w:p>
        </w:tc>
        <w:tc>
          <w:tcPr>
            <w:tcW w:w="713" w:type="dxa"/>
            <w:shd w:val="clear" w:color="auto" w:fill="auto"/>
            <w:noWrap/>
            <w:vAlign w:val="bottom"/>
            <w:hideMark/>
          </w:tcPr>
          <w:p w14:paraId="4341AEFE" w14:textId="0385D0CF"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126%</w:t>
            </w:r>
          </w:p>
        </w:tc>
      </w:tr>
      <w:tr w:rsidR="00A12490" w:rsidRPr="001E1071" w14:paraId="57E827AC" w14:textId="77777777" w:rsidTr="00CC473D">
        <w:trPr>
          <w:trHeight w:val="340"/>
        </w:trPr>
        <w:tc>
          <w:tcPr>
            <w:tcW w:w="581" w:type="dxa"/>
            <w:shd w:val="clear" w:color="auto" w:fill="auto"/>
            <w:noWrap/>
            <w:vAlign w:val="bottom"/>
            <w:hideMark/>
          </w:tcPr>
          <w:p w14:paraId="29484ABA" w14:textId="77777777"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4.1</w:t>
            </w:r>
          </w:p>
        </w:tc>
        <w:tc>
          <w:tcPr>
            <w:tcW w:w="2639" w:type="dxa"/>
            <w:shd w:val="clear" w:color="auto" w:fill="auto"/>
            <w:vAlign w:val="bottom"/>
            <w:hideMark/>
          </w:tcPr>
          <w:p w14:paraId="55678514" w14:textId="511B76D3" w:rsidR="00A12490" w:rsidRPr="001E1071" w:rsidRDefault="00A12490" w:rsidP="00A12490">
            <w:pPr>
              <w:spacing w:after="0" w:line="240" w:lineRule="auto"/>
              <w:rPr>
                <w:rFonts w:eastAsia="Times New Roman" w:cstheme="minorHAnsi"/>
                <w:sz w:val="18"/>
                <w:szCs w:val="18"/>
                <w:lang w:eastAsia="hr-HR"/>
              </w:rPr>
            </w:pPr>
            <w:r w:rsidRPr="001E1071">
              <w:rPr>
                <w:rFonts w:eastAsia="Times New Roman" w:cstheme="minorHAnsi"/>
                <w:sz w:val="18"/>
                <w:szCs w:val="18"/>
                <w:lang w:eastAsia="hr-HR"/>
              </w:rPr>
              <w:t>Kamate, neg.</w:t>
            </w:r>
            <w:r>
              <w:rPr>
                <w:rFonts w:eastAsia="Times New Roman" w:cstheme="minorHAnsi"/>
                <w:sz w:val="18"/>
                <w:szCs w:val="18"/>
                <w:lang w:eastAsia="hr-HR"/>
              </w:rPr>
              <w:t xml:space="preserve"> </w:t>
            </w:r>
            <w:r w:rsidRPr="001E1071">
              <w:rPr>
                <w:rFonts w:eastAsia="Times New Roman" w:cstheme="minorHAnsi"/>
                <w:sz w:val="18"/>
                <w:szCs w:val="18"/>
                <w:lang w:eastAsia="hr-HR"/>
              </w:rPr>
              <w:t xml:space="preserve">tečajne razlike </w:t>
            </w:r>
          </w:p>
        </w:tc>
        <w:tc>
          <w:tcPr>
            <w:tcW w:w="1531" w:type="dxa"/>
            <w:shd w:val="clear" w:color="auto" w:fill="auto"/>
            <w:noWrap/>
            <w:vAlign w:val="bottom"/>
            <w:hideMark/>
          </w:tcPr>
          <w:p w14:paraId="7F69435A" w14:textId="33AE8C66"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sz w:val="18"/>
                <w:szCs w:val="18"/>
              </w:rPr>
              <w:t>126.361</w:t>
            </w:r>
          </w:p>
        </w:tc>
        <w:tc>
          <w:tcPr>
            <w:tcW w:w="1531" w:type="dxa"/>
            <w:shd w:val="clear" w:color="auto" w:fill="auto"/>
            <w:noWrap/>
            <w:vAlign w:val="bottom"/>
            <w:hideMark/>
          </w:tcPr>
          <w:p w14:paraId="0449D3E7" w14:textId="0759E32D"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120.801</w:t>
            </w:r>
          </w:p>
        </w:tc>
        <w:tc>
          <w:tcPr>
            <w:tcW w:w="1531" w:type="dxa"/>
            <w:shd w:val="clear" w:color="auto" w:fill="auto"/>
            <w:noWrap/>
            <w:vAlign w:val="bottom"/>
            <w:hideMark/>
          </w:tcPr>
          <w:p w14:paraId="1F52F04E" w14:textId="54ADE6FE" w:rsidR="00A12490" w:rsidRPr="001E1071" w:rsidRDefault="00A12490" w:rsidP="00A12490">
            <w:pPr>
              <w:spacing w:after="0" w:line="240" w:lineRule="auto"/>
              <w:jc w:val="center"/>
              <w:rPr>
                <w:rFonts w:eastAsia="Times New Roman" w:cstheme="minorHAnsi"/>
                <w:color w:val="000000"/>
                <w:sz w:val="18"/>
                <w:szCs w:val="18"/>
                <w:lang w:eastAsia="hr-HR"/>
              </w:rPr>
            </w:pPr>
            <w:r>
              <w:rPr>
                <w:rFonts w:ascii="Calibri" w:hAnsi="Calibri" w:cs="Calibri"/>
                <w:color w:val="000000"/>
                <w:sz w:val="18"/>
                <w:szCs w:val="18"/>
              </w:rPr>
              <w:t>152.003</w:t>
            </w:r>
          </w:p>
        </w:tc>
        <w:tc>
          <w:tcPr>
            <w:tcW w:w="703" w:type="dxa"/>
            <w:shd w:val="clear" w:color="auto" w:fill="auto"/>
            <w:noWrap/>
            <w:vAlign w:val="bottom"/>
            <w:hideMark/>
          </w:tcPr>
          <w:p w14:paraId="4BD99A54" w14:textId="080D9AE5"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120%</w:t>
            </w:r>
          </w:p>
        </w:tc>
        <w:tc>
          <w:tcPr>
            <w:tcW w:w="713" w:type="dxa"/>
            <w:shd w:val="clear" w:color="auto" w:fill="auto"/>
            <w:noWrap/>
            <w:vAlign w:val="bottom"/>
            <w:hideMark/>
          </w:tcPr>
          <w:p w14:paraId="760278FB" w14:textId="3B1B79CF" w:rsidR="00A12490" w:rsidRPr="001E1071" w:rsidRDefault="00A12490" w:rsidP="00A12490">
            <w:pPr>
              <w:spacing w:after="0" w:line="240" w:lineRule="auto"/>
              <w:jc w:val="center"/>
              <w:rPr>
                <w:rFonts w:eastAsia="Times New Roman" w:cstheme="minorHAnsi"/>
                <w:sz w:val="18"/>
                <w:szCs w:val="18"/>
                <w:lang w:eastAsia="hr-HR"/>
              </w:rPr>
            </w:pPr>
            <w:r>
              <w:rPr>
                <w:rFonts w:ascii="Calibri" w:hAnsi="Calibri" w:cs="Calibri"/>
                <w:color w:val="000000"/>
                <w:sz w:val="18"/>
                <w:szCs w:val="18"/>
              </w:rPr>
              <w:t>126%</w:t>
            </w:r>
          </w:p>
        </w:tc>
      </w:tr>
      <w:tr w:rsidR="00A12490" w:rsidRPr="001E1071" w14:paraId="3EC9E146" w14:textId="77777777" w:rsidTr="00CC473D">
        <w:trPr>
          <w:trHeight w:val="340"/>
        </w:trPr>
        <w:tc>
          <w:tcPr>
            <w:tcW w:w="581" w:type="dxa"/>
            <w:shd w:val="clear" w:color="auto" w:fill="auto"/>
            <w:noWrap/>
            <w:vAlign w:val="bottom"/>
            <w:hideMark/>
          </w:tcPr>
          <w:p w14:paraId="0046E04F"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5.</w:t>
            </w:r>
          </w:p>
        </w:tc>
        <w:tc>
          <w:tcPr>
            <w:tcW w:w="2639" w:type="dxa"/>
            <w:shd w:val="clear" w:color="auto" w:fill="auto"/>
            <w:vAlign w:val="bottom"/>
            <w:hideMark/>
          </w:tcPr>
          <w:p w14:paraId="3A17DC9D"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UKUPNI PRIHODI</w:t>
            </w:r>
          </w:p>
        </w:tc>
        <w:tc>
          <w:tcPr>
            <w:tcW w:w="1531" w:type="dxa"/>
            <w:shd w:val="clear" w:color="auto" w:fill="auto"/>
            <w:noWrap/>
            <w:vAlign w:val="bottom"/>
            <w:hideMark/>
          </w:tcPr>
          <w:p w14:paraId="4077496E" w14:textId="736CE768"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12.670.009</w:t>
            </w:r>
          </w:p>
        </w:tc>
        <w:tc>
          <w:tcPr>
            <w:tcW w:w="1531" w:type="dxa"/>
            <w:shd w:val="clear" w:color="auto" w:fill="auto"/>
            <w:noWrap/>
            <w:vAlign w:val="bottom"/>
            <w:hideMark/>
          </w:tcPr>
          <w:p w14:paraId="3B48D362" w14:textId="12E7537C"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12.816.471</w:t>
            </w:r>
          </w:p>
        </w:tc>
        <w:tc>
          <w:tcPr>
            <w:tcW w:w="1531" w:type="dxa"/>
            <w:shd w:val="clear" w:color="auto" w:fill="auto"/>
            <w:noWrap/>
            <w:vAlign w:val="bottom"/>
            <w:hideMark/>
          </w:tcPr>
          <w:p w14:paraId="73E228F2" w14:textId="2AE96D41"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12.637.010</w:t>
            </w:r>
          </w:p>
        </w:tc>
        <w:tc>
          <w:tcPr>
            <w:tcW w:w="703" w:type="dxa"/>
            <w:shd w:val="clear" w:color="auto" w:fill="auto"/>
            <w:noWrap/>
            <w:vAlign w:val="bottom"/>
            <w:hideMark/>
          </w:tcPr>
          <w:p w14:paraId="4649BDA8" w14:textId="22CAEE5D"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100%</w:t>
            </w:r>
          </w:p>
        </w:tc>
        <w:tc>
          <w:tcPr>
            <w:tcW w:w="713" w:type="dxa"/>
            <w:shd w:val="clear" w:color="auto" w:fill="auto"/>
            <w:noWrap/>
            <w:vAlign w:val="bottom"/>
            <w:hideMark/>
          </w:tcPr>
          <w:p w14:paraId="15FDA5AF" w14:textId="1EE6BB28"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99%</w:t>
            </w:r>
          </w:p>
        </w:tc>
      </w:tr>
      <w:tr w:rsidR="00A12490" w:rsidRPr="001E1071" w14:paraId="22129C50" w14:textId="77777777" w:rsidTr="00CC473D">
        <w:trPr>
          <w:trHeight w:val="340"/>
        </w:trPr>
        <w:tc>
          <w:tcPr>
            <w:tcW w:w="581" w:type="dxa"/>
            <w:shd w:val="clear" w:color="auto" w:fill="auto"/>
            <w:noWrap/>
            <w:vAlign w:val="bottom"/>
            <w:hideMark/>
          </w:tcPr>
          <w:p w14:paraId="61D404D5"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6.</w:t>
            </w:r>
          </w:p>
        </w:tc>
        <w:tc>
          <w:tcPr>
            <w:tcW w:w="2639" w:type="dxa"/>
            <w:shd w:val="clear" w:color="auto" w:fill="auto"/>
            <w:vAlign w:val="bottom"/>
            <w:hideMark/>
          </w:tcPr>
          <w:p w14:paraId="1DCA4762"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UKUPNI RASHODI</w:t>
            </w:r>
          </w:p>
        </w:tc>
        <w:tc>
          <w:tcPr>
            <w:tcW w:w="1531" w:type="dxa"/>
            <w:shd w:val="clear" w:color="auto" w:fill="auto"/>
            <w:noWrap/>
            <w:vAlign w:val="bottom"/>
            <w:hideMark/>
          </w:tcPr>
          <w:p w14:paraId="74213292" w14:textId="5C47042D"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12.306.460</w:t>
            </w:r>
          </w:p>
        </w:tc>
        <w:tc>
          <w:tcPr>
            <w:tcW w:w="1531" w:type="dxa"/>
            <w:shd w:val="clear" w:color="auto" w:fill="auto"/>
            <w:noWrap/>
            <w:vAlign w:val="bottom"/>
            <w:hideMark/>
          </w:tcPr>
          <w:p w14:paraId="389DFF2E" w14:textId="3827B739"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12.742.209</w:t>
            </w:r>
          </w:p>
        </w:tc>
        <w:tc>
          <w:tcPr>
            <w:tcW w:w="1531" w:type="dxa"/>
            <w:shd w:val="clear" w:color="auto" w:fill="auto"/>
            <w:noWrap/>
            <w:vAlign w:val="bottom"/>
            <w:hideMark/>
          </w:tcPr>
          <w:p w14:paraId="2053502B" w14:textId="0DCA14E9" w:rsidR="00A12490" w:rsidRPr="001E1071" w:rsidRDefault="00A12490" w:rsidP="00A12490">
            <w:pPr>
              <w:spacing w:after="0" w:line="240" w:lineRule="auto"/>
              <w:jc w:val="center"/>
              <w:rPr>
                <w:rFonts w:eastAsia="Times New Roman" w:cstheme="minorHAnsi"/>
                <w:b/>
                <w:bCs/>
                <w:color w:val="000000"/>
                <w:sz w:val="18"/>
                <w:szCs w:val="18"/>
                <w:lang w:eastAsia="hr-HR"/>
              </w:rPr>
            </w:pPr>
            <w:r>
              <w:rPr>
                <w:rFonts w:ascii="Calibri" w:hAnsi="Calibri" w:cs="Calibri"/>
                <w:b/>
                <w:bCs/>
                <w:sz w:val="18"/>
                <w:szCs w:val="18"/>
              </w:rPr>
              <w:t>12.587.887</w:t>
            </w:r>
          </w:p>
        </w:tc>
        <w:tc>
          <w:tcPr>
            <w:tcW w:w="703" w:type="dxa"/>
            <w:shd w:val="clear" w:color="auto" w:fill="auto"/>
            <w:noWrap/>
            <w:vAlign w:val="bottom"/>
            <w:hideMark/>
          </w:tcPr>
          <w:p w14:paraId="37374DE6" w14:textId="7D706EBB"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102%</w:t>
            </w:r>
          </w:p>
        </w:tc>
        <w:tc>
          <w:tcPr>
            <w:tcW w:w="713" w:type="dxa"/>
            <w:shd w:val="clear" w:color="auto" w:fill="auto"/>
            <w:noWrap/>
            <w:vAlign w:val="bottom"/>
            <w:hideMark/>
          </w:tcPr>
          <w:p w14:paraId="5FB446F2" w14:textId="214831CE"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99%</w:t>
            </w:r>
          </w:p>
        </w:tc>
      </w:tr>
      <w:tr w:rsidR="00A12490" w:rsidRPr="001E1071" w14:paraId="7EEAE21F" w14:textId="77777777" w:rsidTr="00CC473D">
        <w:trPr>
          <w:trHeight w:val="340"/>
        </w:trPr>
        <w:tc>
          <w:tcPr>
            <w:tcW w:w="581" w:type="dxa"/>
            <w:shd w:val="clear" w:color="auto" w:fill="auto"/>
            <w:noWrap/>
            <w:vAlign w:val="bottom"/>
            <w:hideMark/>
          </w:tcPr>
          <w:p w14:paraId="3F038034"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7.</w:t>
            </w:r>
          </w:p>
        </w:tc>
        <w:tc>
          <w:tcPr>
            <w:tcW w:w="2639" w:type="dxa"/>
            <w:shd w:val="clear" w:color="auto" w:fill="auto"/>
            <w:vAlign w:val="bottom"/>
            <w:hideMark/>
          </w:tcPr>
          <w:p w14:paraId="045A2E40" w14:textId="25AA6FAB"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DOBIT PRIJE OPOREZIVANJA </w:t>
            </w:r>
          </w:p>
        </w:tc>
        <w:tc>
          <w:tcPr>
            <w:tcW w:w="1531" w:type="dxa"/>
            <w:shd w:val="clear" w:color="auto" w:fill="auto"/>
            <w:noWrap/>
            <w:vAlign w:val="bottom"/>
            <w:hideMark/>
          </w:tcPr>
          <w:p w14:paraId="12ACFB2F" w14:textId="70F554E4" w:rsidR="00A12490" w:rsidRPr="001E1071" w:rsidRDefault="00A12490" w:rsidP="00A12490">
            <w:pPr>
              <w:spacing w:after="0" w:line="240" w:lineRule="auto"/>
              <w:jc w:val="center"/>
              <w:rPr>
                <w:rFonts w:eastAsia="Times New Roman" w:cstheme="minorHAnsi"/>
                <w:b/>
                <w:bCs/>
                <w:color w:val="00B050"/>
                <w:sz w:val="18"/>
                <w:szCs w:val="18"/>
                <w:lang w:eastAsia="hr-HR"/>
              </w:rPr>
            </w:pPr>
            <w:r>
              <w:rPr>
                <w:rFonts w:ascii="Calibri" w:hAnsi="Calibri" w:cs="Calibri"/>
                <w:b/>
                <w:bCs/>
                <w:color w:val="00B050"/>
                <w:sz w:val="18"/>
                <w:szCs w:val="18"/>
              </w:rPr>
              <w:t>363.549</w:t>
            </w:r>
          </w:p>
        </w:tc>
        <w:tc>
          <w:tcPr>
            <w:tcW w:w="1531" w:type="dxa"/>
            <w:shd w:val="clear" w:color="auto" w:fill="auto"/>
            <w:noWrap/>
            <w:vAlign w:val="bottom"/>
            <w:hideMark/>
          </w:tcPr>
          <w:p w14:paraId="112CFAD1" w14:textId="26F02CC3" w:rsidR="00A12490" w:rsidRPr="001E1071" w:rsidRDefault="00A12490" w:rsidP="00A12490">
            <w:pPr>
              <w:spacing w:after="0" w:line="240" w:lineRule="auto"/>
              <w:jc w:val="center"/>
              <w:rPr>
                <w:rFonts w:eastAsia="Times New Roman" w:cstheme="minorHAnsi"/>
                <w:b/>
                <w:bCs/>
                <w:color w:val="00B050"/>
                <w:sz w:val="18"/>
                <w:szCs w:val="18"/>
                <w:lang w:eastAsia="hr-HR"/>
              </w:rPr>
            </w:pPr>
            <w:r>
              <w:rPr>
                <w:rFonts w:ascii="Calibri" w:hAnsi="Calibri" w:cs="Calibri"/>
                <w:b/>
                <w:bCs/>
                <w:color w:val="00B050"/>
                <w:sz w:val="18"/>
                <w:szCs w:val="18"/>
              </w:rPr>
              <w:t>74.262</w:t>
            </w:r>
          </w:p>
        </w:tc>
        <w:tc>
          <w:tcPr>
            <w:tcW w:w="1531" w:type="dxa"/>
            <w:shd w:val="clear" w:color="auto" w:fill="auto"/>
            <w:noWrap/>
            <w:vAlign w:val="bottom"/>
            <w:hideMark/>
          </w:tcPr>
          <w:p w14:paraId="059ED502" w14:textId="66F1F2A7" w:rsidR="00A12490" w:rsidRPr="001E1071" w:rsidRDefault="00A12490" w:rsidP="00A12490">
            <w:pPr>
              <w:spacing w:after="0" w:line="240" w:lineRule="auto"/>
              <w:jc w:val="center"/>
              <w:rPr>
                <w:rFonts w:eastAsia="Times New Roman" w:cstheme="minorHAnsi"/>
                <w:b/>
                <w:bCs/>
                <w:color w:val="00B050"/>
                <w:sz w:val="18"/>
                <w:szCs w:val="18"/>
                <w:lang w:eastAsia="hr-HR"/>
              </w:rPr>
            </w:pPr>
            <w:r>
              <w:rPr>
                <w:rFonts w:ascii="Calibri" w:hAnsi="Calibri" w:cs="Calibri"/>
                <w:b/>
                <w:bCs/>
                <w:color w:val="00B050"/>
                <w:sz w:val="18"/>
                <w:szCs w:val="18"/>
              </w:rPr>
              <w:t>49.123</w:t>
            </w:r>
          </w:p>
        </w:tc>
        <w:tc>
          <w:tcPr>
            <w:tcW w:w="703" w:type="dxa"/>
            <w:shd w:val="clear" w:color="auto" w:fill="auto"/>
            <w:noWrap/>
            <w:vAlign w:val="bottom"/>
            <w:hideMark/>
          </w:tcPr>
          <w:p w14:paraId="395E603B" w14:textId="1E9D249B"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14%</w:t>
            </w:r>
          </w:p>
        </w:tc>
        <w:tc>
          <w:tcPr>
            <w:tcW w:w="713" w:type="dxa"/>
            <w:shd w:val="clear" w:color="auto" w:fill="auto"/>
            <w:noWrap/>
            <w:vAlign w:val="bottom"/>
            <w:hideMark/>
          </w:tcPr>
          <w:p w14:paraId="749E7B3E" w14:textId="358C2B7E" w:rsidR="00A12490" w:rsidRPr="001E1071" w:rsidRDefault="00A12490" w:rsidP="00A12490">
            <w:pPr>
              <w:spacing w:after="0" w:line="240" w:lineRule="auto"/>
              <w:jc w:val="center"/>
              <w:rPr>
                <w:rFonts w:eastAsia="Times New Roman" w:cstheme="minorHAnsi"/>
                <w:b/>
                <w:bCs/>
                <w:sz w:val="18"/>
                <w:szCs w:val="18"/>
                <w:lang w:eastAsia="hr-HR"/>
              </w:rPr>
            </w:pPr>
            <w:r>
              <w:rPr>
                <w:rFonts w:ascii="Calibri" w:hAnsi="Calibri" w:cs="Calibri"/>
                <w:b/>
                <w:bCs/>
                <w:color w:val="000000"/>
                <w:sz w:val="18"/>
                <w:szCs w:val="18"/>
              </w:rPr>
              <w:t>66%</w:t>
            </w:r>
          </w:p>
        </w:tc>
      </w:tr>
      <w:tr w:rsidR="00A12490" w:rsidRPr="001E1071" w14:paraId="5AF6C03D" w14:textId="77777777" w:rsidTr="00CD34C2">
        <w:trPr>
          <w:trHeight w:val="340"/>
        </w:trPr>
        <w:tc>
          <w:tcPr>
            <w:tcW w:w="581" w:type="dxa"/>
            <w:tcBorders>
              <w:bottom w:val="single" w:sz="4" w:space="0" w:color="auto"/>
            </w:tcBorders>
            <w:shd w:val="clear" w:color="auto" w:fill="auto"/>
            <w:noWrap/>
            <w:vAlign w:val="bottom"/>
            <w:hideMark/>
          </w:tcPr>
          <w:p w14:paraId="13F1AEFC"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8. </w:t>
            </w:r>
          </w:p>
        </w:tc>
        <w:tc>
          <w:tcPr>
            <w:tcW w:w="2639" w:type="dxa"/>
            <w:tcBorders>
              <w:bottom w:val="single" w:sz="4" w:space="0" w:color="auto"/>
            </w:tcBorders>
            <w:shd w:val="clear" w:color="auto" w:fill="auto"/>
            <w:vAlign w:val="bottom"/>
            <w:hideMark/>
          </w:tcPr>
          <w:p w14:paraId="39D2A66E"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Porez na dobit</w:t>
            </w:r>
          </w:p>
        </w:tc>
        <w:tc>
          <w:tcPr>
            <w:tcW w:w="1531" w:type="dxa"/>
            <w:tcBorders>
              <w:bottom w:val="single" w:sz="4" w:space="0" w:color="auto"/>
            </w:tcBorders>
            <w:shd w:val="clear" w:color="auto" w:fill="auto"/>
            <w:noWrap/>
            <w:vAlign w:val="bottom"/>
            <w:hideMark/>
          </w:tcPr>
          <w:p w14:paraId="61479C3B" w14:textId="3C6BBE66" w:rsidR="00A12490" w:rsidRPr="001E1071" w:rsidRDefault="00A12490" w:rsidP="00A12490">
            <w:pPr>
              <w:spacing w:after="0" w:line="240" w:lineRule="auto"/>
              <w:jc w:val="center"/>
              <w:rPr>
                <w:rFonts w:eastAsia="Times New Roman" w:cstheme="minorHAnsi"/>
                <w:color w:val="000000"/>
                <w:sz w:val="18"/>
                <w:szCs w:val="18"/>
                <w:lang w:eastAsia="hr-HR"/>
              </w:rPr>
            </w:pPr>
            <w:r>
              <w:rPr>
                <w:rFonts w:eastAsia="Times New Roman" w:cstheme="minorHAnsi"/>
                <w:color w:val="000000"/>
                <w:sz w:val="18"/>
                <w:szCs w:val="18"/>
                <w:lang w:eastAsia="hr-HR"/>
              </w:rPr>
              <w:t>66.025</w:t>
            </w:r>
          </w:p>
        </w:tc>
        <w:tc>
          <w:tcPr>
            <w:tcW w:w="1531" w:type="dxa"/>
            <w:tcBorders>
              <w:bottom w:val="single" w:sz="4" w:space="0" w:color="auto"/>
            </w:tcBorders>
            <w:shd w:val="clear" w:color="auto" w:fill="auto"/>
            <w:noWrap/>
            <w:vAlign w:val="bottom"/>
            <w:hideMark/>
          </w:tcPr>
          <w:p w14:paraId="13416E36" w14:textId="4D7E7D49" w:rsidR="00A12490" w:rsidRPr="001E1071" w:rsidRDefault="00EB5F10" w:rsidP="00A12490">
            <w:pPr>
              <w:spacing w:after="0" w:line="240" w:lineRule="auto"/>
              <w:jc w:val="center"/>
              <w:rPr>
                <w:rFonts w:eastAsia="Times New Roman" w:cstheme="minorHAnsi"/>
                <w:sz w:val="18"/>
                <w:szCs w:val="18"/>
                <w:lang w:eastAsia="hr-HR"/>
              </w:rPr>
            </w:pPr>
            <w:r>
              <w:rPr>
                <w:rFonts w:eastAsia="Times New Roman" w:cstheme="minorHAnsi"/>
                <w:sz w:val="18"/>
                <w:szCs w:val="18"/>
                <w:lang w:eastAsia="hr-HR"/>
              </w:rPr>
              <w:t>13.367</w:t>
            </w:r>
          </w:p>
        </w:tc>
        <w:tc>
          <w:tcPr>
            <w:tcW w:w="1531" w:type="dxa"/>
            <w:tcBorders>
              <w:bottom w:val="single" w:sz="4" w:space="0" w:color="auto"/>
            </w:tcBorders>
            <w:shd w:val="clear" w:color="auto" w:fill="auto"/>
            <w:noWrap/>
            <w:vAlign w:val="bottom"/>
            <w:hideMark/>
          </w:tcPr>
          <w:p w14:paraId="502DBAE0" w14:textId="65239D56" w:rsidR="00A12490" w:rsidRPr="00A12490" w:rsidRDefault="00A12490" w:rsidP="00A12490">
            <w:pPr>
              <w:spacing w:after="0" w:line="240" w:lineRule="auto"/>
              <w:jc w:val="center"/>
              <w:rPr>
                <w:rFonts w:eastAsia="Times New Roman" w:cstheme="minorHAnsi"/>
                <w:sz w:val="18"/>
                <w:szCs w:val="18"/>
                <w:lang w:eastAsia="hr-HR"/>
              </w:rPr>
            </w:pPr>
            <w:r w:rsidRPr="00A12490">
              <w:rPr>
                <w:rFonts w:ascii="Calibri" w:hAnsi="Calibri" w:cs="Calibri"/>
                <w:color w:val="000000"/>
                <w:sz w:val="18"/>
                <w:szCs w:val="18"/>
              </w:rPr>
              <w:t>7.980</w:t>
            </w:r>
          </w:p>
        </w:tc>
        <w:tc>
          <w:tcPr>
            <w:tcW w:w="703" w:type="dxa"/>
            <w:tcBorders>
              <w:bottom w:val="single" w:sz="4" w:space="0" w:color="auto"/>
            </w:tcBorders>
            <w:shd w:val="clear" w:color="auto" w:fill="auto"/>
            <w:noWrap/>
            <w:vAlign w:val="bottom"/>
            <w:hideMark/>
          </w:tcPr>
          <w:p w14:paraId="0566F221" w14:textId="1DABD663" w:rsidR="00A12490" w:rsidRPr="001E1071" w:rsidRDefault="00A12490" w:rsidP="00A12490">
            <w:pPr>
              <w:spacing w:after="0" w:line="240" w:lineRule="auto"/>
              <w:jc w:val="center"/>
              <w:rPr>
                <w:rFonts w:eastAsia="Times New Roman" w:cstheme="minorHAnsi"/>
                <w:b/>
                <w:bCs/>
                <w:sz w:val="18"/>
                <w:szCs w:val="18"/>
                <w:lang w:eastAsia="hr-HR"/>
              </w:rPr>
            </w:pPr>
          </w:p>
        </w:tc>
        <w:tc>
          <w:tcPr>
            <w:tcW w:w="713" w:type="dxa"/>
            <w:tcBorders>
              <w:bottom w:val="single" w:sz="4" w:space="0" w:color="auto"/>
            </w:tcBorders>
            <w:shd w:val="clear" w:color="auto" w:fill="auto"/>
            <w:noWrap/>
            <w:vAlign w:val="bottom"/>
            <w:hideMark/>
          </w:tcPr>
          <w:p w14:paraId="59638BCB" w14:textId="644C493D" w:rsidR="00A12490" w:rsidRPr="001E1071" w:rsidRDefault="00A12490" w:rsidP="00A12490">
            <w:pPr>
              <w:spacing w:after="0" w:line="240" w:lineRule="auto"/>
              <w:jc w:val="center"/>
              <w:rPr>
                <w:rFonts w:eastAsia="Times New Roman" w:cstheme="minorHAnsi"/>
                <w:b/>
                <w:bCs/>
                <w:sz w:val="18"/>
                <w:szCs w:val="18"/>
                <w:lang w:eastAsia="hr-HR"/>
              </w:rPr>
            </w:pPr>
          </w:p>
        </w:tc>
      </w:tr>
      <w:tr w:rsidR="00A12490" w:rsidRPr="001E1071" w14:paraId="5634E67C" w14:textId="77777777" w:rsidTr="00CD34C2">
        <w:trPr>
          <w:trHeight w:val="340"/>
        </w:trPr>
        <w:tc>
          <w:tcPr>
            <w:tcW w:w="581" w:type="dxa"/>
            <w:tcBorders>
              <w:top w:val="single" w:sz="4" w:space="0" w:color="auto"/>
              <w:bottom w:val="single" w:sz="4" w:space="0" w:color="auto"/>
            </w:tcBorders>
            <w:shd w:val="clear" w:color="auto" w:fill="auto"/>
            <w:noWrap/>
            <w:vAlign w:val="bottom"/>
            <w:hideMark/>
          </w:tcPr>
          <w:p w14:paraId="4739C7AA"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 xml:space="preserve">9. </w:t>
            </w:r>
          </w:p>
        </w:tc>
        <w:tc>
          <w:tcPr>
            <w:tcW w:w="2639" w:type="dxa"/>
            <w:tcBorders>
              <w:top w:val="single" w:sz="4" w:space="0" w:color="auto"/>
              <w:bottom w:val="single" w:sz="4" w:space="0" w:color="auto"/>
            </w:tcBorders>
            <w:shd w:val="clear" w:color="auto" w:fill="auto"/>
            <w:vAlign w:val="bottom"/>
            <w:hideMark/>
          </w:tcPr>
          <w:p w14:paraId="0EADA6FE" w14:textId="77777777" w:rsidR="00A12490" w:rsidRPr="001E1071" w:rsidRDefault="00A12490" w:rsidP="00A12490">
            <w:pPr>
              <w:spacing w:after="0" w:line="240" w:lineRule="auto"/>
              <w:rPr>
                <w:rFonts w:eastAsia="Times New Roman" w:cstheme="minorHAnsi"/>
                <w:b/>
                <w:bCs/>
                <w:sz w:val="18"/>
                <w:szCs w:val="18"/>
                <w:lang w:eastAsia="hr-HR"/>
              </w:rPr>
            </w:pPr>
            <w:r w:rsidRPr="001E1071">
              <w:rPr>
                <w:rFonts w:eastAsia="Times New Roman" w:cstheme="minorHAnsi"/>
                <w:b/>
                <w:bCs/>
                <w:sz w:val="18"/>
                <w:szCs w:val="18"/>
                <w:lang w:eastAsia="hr-HR"/>
              </w:rPr>
              <w:t>DOBIT RAZDOBLJA</w:t>
            </w:r>
          </w:p>
        </w:tc>
        <w:tc>
          <w:tcPr>
            <w:tcW w:w="1531" w:type="dxa"/>
            <w:tcBorders>
              <w:top w:val="single" w:sz="4" w:space="0" w:color="auto"/>
              <w:bottom w:val="single" w:sz="4" w:space="0" w:color="auto"/>
            </w:tcBorders>
            <w:shd w:val="clear" w:color="auto" w:fill="auto"/>
            <w:noWrap/>
            <w:vAlign w:val="bottom"/>
            <w:hideMark/>
          </w:tcPr>
          <w:p w14:paraId="36EC16C5" w14:textId="5DA2889E" w:rsidR="00A12490" w:rsidRPr="001E1071" w:rsidRDefault="00A12490" w:rsidP="00A12490">
            <w:pPr>
              <w:spacing w:after="0" w:line="240" w:lineRule="auto"/>
              <w:jc w:val="center"/>
              <w:rPr>
                <w:rFonts w:eastAsia="Times New Roman" w:cstheme="minorHAnsi"/>
                <w:b/>
                <w:bCs/>
                <w:color w:val="00B050"/>
                <w:sz w:val="18"/>
                <w:szCs w:val="18"/>
                <w:lang w:eastAsia="hr-HR"/>
              </w:rPr>
            </w:pPr>
            <w:r>
              <w:rPr>
                <w:rFonts w:eastAsia="Times New Roman" w:cstheme="minorHAnsi"/>
                <w:b/>
                <w:bCs/>
                <w:color w:val="00B050"/>
                <w:sz w:val="18"/>
                <w:szCs w:val="18"/>
                <w:lang w:eastAsia="hr-HR"/>
              </w:rPr>
              <w:t>297.524</w:t>
            </w:r>
          </w:p>
        </w:tc>
        <w:tc>
          <w:tcPr>
            <w:tcW w:w="1531" w:type="dxa"/>
            <w:tcBorders>
              <w:top w:val="single" w:sz="4" w:space="0" w:color="auto"/>
              <w:bottom w:val="single" w:sz="4" w:space="0" w:color="auto"/>
            </w:tcBorders>
            <w:shd w:val="clear" w:color="auto" w:fill="auto"/>
            <w:noWrap/>
            <w:vAlign w:val="bottom"/>
            <w:hideMark/>
          </w:tcPr>
          <w:p w14:paraId="1A325BC2" w14:textId="5E2D72B1" w:rsidR="00A12490" w:rsidRPr="001E1071" w:rsidRDefault="00EB5F10" w:rsidP="00A12490">
            <w:pPr>
              <w:spacing w:after="0" w:line="240" w:lineRule="auto"/>
              <w:jc w:val="center"/>
              <w:rPr>
                <w:rFonts w:eastAsia="Times New Roman" w:cstheme="minorHAnsi"/>
                <w:b/>
                <w:bCs/>
                <w:color w:val="00B050"/>
                <w:sz w:val="18"/>
                <w:szCs w:val="18"/>
                <w:lang w:eastAsia="hr-HR"/>
              </w:rPr>
            </w:pPr>
            <w:r>
              <w:rPr>
                <w:rFonts w:eastAsia="Times New Roman" w:cstheme="minorHAnsi"/>
                <w:b/>
                <w:bCs/>
                <w:color w:val="00B050"/>
                <w:sz w:val="18"/>
                <w:szCs w:val="18"/>
                <w:lang w:eastAsia="hr-HR"/>
              </w:rPr>
              <w:t>60.895</w:t>
            </w:r>
          </w:p>
        </w:tc>
        <w:tc>
          <w:tcPr>
            <w:tcW w:w="1531" w:type="dxa"/>
            <w:tcBorders>
              <w:top w:val="single" w:sz="4" w:space="0" w:color="auto"/>
              <w:bottom w:val="single" w:sz="4" w:space="0" w:color="auto"/>
            </w:tcBorders>
            <w:shd w:val="clear" w:color="auto" w:fill="auto"/>
            <w:noWrap/>
            <w:vAlign w:val="bottom"/>
            <w:hideMark/>
          </w:tcPr>
          <w:p w14:paraId="18F6F34D" w14:textId="1E25B07B" w:rsidR="00A12490" w:rsidRPr="00A12490" w:rsidRDefault="00A12490" w:rsidP="00A12490">
            <w:pPr>
              <w:spacing w:after="0" w:line="240" w:lineRule="auto"/>
              <w:jc w:val="center"/>
              <w:rPr>
                <w:rFonts w:eastAsia="Times New Roman" w:cstheme="minorHAnsi"/>
                <w:b/>
                <w:bCs/>
                <w:color w:val="00B050"/>
                <w:sz w:val="18"/>
                <w:szCs w:val="18"/>
                <w:lang w:eastAsia="hr-HR"/>
              </w:rPr>
            </w:pPr>
            <w:r w:rsidRPr="00EB5F10">
              <w:rPr>
                <w:rFonts w:ascii="Calibri" w:hAnsi="Calibri" w:cs="Calibri"/>
                <w:b/>
                <w:bCs/>
                <w:color w:val="00B050"/>
                <w:sz w:val="18"/>
                <w:szCs w:val="18"/>
              </w:rPr>
              <w:t>41.143</w:t>
            </w:r>
          </w:p>
        </w:tc>
        <w:tc>
          <w:tcPr>
            <w:tcW w:w="703" w:type="dxa"/>
            <w:tcBorders>
              <w:top w:val="single" w:sz="4" w:space="0" w:color="auto"/>
              <w:bottom w:val="single" w:sz="4" w:space="0" w:color="auto"/>
            </w:tcBorders>
            <w:shd w:val="clear" w:color="auto" w:fill="auto"/>
            <w:noWrap/>
            <w:vAlign w:val="bottom"/>
            <w:hideMark/>
          </w:tcPr>
          <w:p w14:paraId="54E091EF" w14:textId="3FF17C37" w:rsidR="00A12490" w:rsidRPr="001E1071" w:rsidRDefault="0082608C" w:rsidP="00A12490">
            <w:pPr>
              <w:spacing w:after="0" w:line="240" w:lineRule="auto"/>
              <w:jc w:val="center"/>
              <w:rPr>
                <w:rFonts w:eastAsia="Times New Roman" w:cstheme="minorHAnsi"/>
                <w:b/>
                <w:bCs/>
                <w:sz w:val="18"/>
                <w:szCs w:val="18"/>
                <w:lang w:eastAsia="hr-HR"/>
              </w:rPr>
            </w:pPr>
            <w:r>
              <w:rPr>
                <w:rFonts w:eastAsia="Times New Roman" w:cstheme="minorHAnsi"/>
                <w:b/>
                <w:bCs/>
                <w:sz w:val="18"/>
                <w:szCs w:val="18"/>
                <w:lang w:eastAsia="hr-HR"/>
              </w:rPr>
              <w:t>14</w:t>
            </w:r>
            <w:r w:rsidR="00A12490" w:rsidRPr="001E1071">
              <w:rPr>
                <w:rFonts w:eastAsia="Times New Roman" w:cstheme="minorHAnsi"/>
                <w:b/>
                <w:bCs/>
                <w:sz w:val="18"/>
                <w:szCs w:val="18"/>
                <w:lang w:eastAsia="hr-HR"/>
              </w:rPr>
              <w:t>%</w:t>
            </w:r>
          </w:p>
        </w:tc>
        <w:tc>
          <w:tcPr>
            <w:tcW w:w="713" w:type="dxa"/>
            <w:tcBorders>
              <w:top w:val="single" w:sz="4" w:space="0" w:color="auto"/>
              <w:bottom w:val="single" w:sz="4" w:space="0" w:color="auto"/>
            </w:tcBorders>
            <w:shd w:val="clear" w:color="auto" w:fill="auto"/>
            <w:noWrap/>
            <w:vAlign w:val="bottom"/>
            <w:hideMark/>
          </w:tcPr>
          <w:p w14:paraId="464B6A2C" w14:textId="2D471E51" w:rsidR="00A12490" w:rsidRPr="001E1071" w:rsidRDefault="0082608C" w:rsidP="00A12490">
            <w:pPr>
              <w:spacing w:after="0" w:line="240" w:lineRule="auto"/>
              <w:jc w:val="center"/>
              <w:rPr>
                <w:rFonts w:eastAsia="Times New Roman" w:cstheme="minorHAnsi"/>
                <w:b/>
                <w:bCs/>
                <w:sz w:val="18"/>
                <w:szCs w:val="18"/>
                <w:lang w:eastAsia="hr-HR"/>
              </w:rPr>
            </w:pPr>
            <w:r>
              <w:rPr>
                <w:rFonts w:eastAsia="Times New Roman" w:cstheme="minorHAnsi"/>
                <w:b/>
                <w:bCs/>
                <w:sz w:val="18"/>
                <w:szCs w:val="18"/>
                <w:lang w:eastAsia="hr-HR"/>
              </w:rPr>
              <w:t>68</w:t>
            </w:r>
            <w:r w:rsidR="00A12490" w:rsidRPr="001E1071">
              <w:rPr>
                <w:rFonts w:eastAsia="Times New Roman" w:cstheme="minorHAnsi"/>
                <w:b/>
                <w:bCs/>
                <w:sz w:val="18"/>
                <w:szCs w:val="18"/>
                <w:lang w:eastAsia="hr-HR"/>
              </w:rPr>
              <w:t>%</w:t>
            </w:r>
          </w:p>
        </w:tc>
      </w:tr>
    </w:tbl>
    <w:p w14:paraId="4414A642" w14:textId="1AC18B98" w:rsidR="004C038D" w:rsidRPr="00A556D3" w:rsidRDefault="004C038D" w:rsidP="00344E76">
      <w:pPr>
        <w:pStyle w:val="Heading2"/>
      </w:pPr>
      <w:bookmarkStart w:id="50" w:name="_Toc200094284"/>
      <w:r w:rsidRPr="00A556D3">
        <w:lastRenderedPageBreak/>
        <w:t>3.1. Ostvareni prihodi u 20</w:t>
      </w:r>
      <w:r w:rsidR="00A11D88" w:rsidRPr="00A556D3">
        <w:t>2</w:t>
      </w:r>
      <w:r w:rsidR="00AC7831">
        <w:t>4</w:t>
      </w:r>
      <w:r w:rsidRPr="00A556D3">
        <w:t xml:space="preserve">. godini </w:t>
      </w:r>
      <w:r w:rsidR="00E7098C" w:rsidRPr="00A556D3">
        <w:t>prema analitičkoj strukturi</w:t>
      </w:r>
      <w:bookmarkEnd w:id="50"/>
    </w:p>
    <w:p w14:paraId="12BAE497" w14:textId="5A0CBA64" w:rsidR="00B7180B" w:rsidRPr="001C59D5" w:rsidRDefault="00B7180B" w:rsidP="00B7180B"/>
    <w:p w14:paraId="06D635F2" w14:textId="0183B8B3" w:rsidR="009C6BF2" w:rsidRPr="007E3570" w:rsidRDefault="00B02B96" w:rsidP="0094111E">
      <w:pPr>
        <w:spacing w:line="360" w:lineRule="auto"/>
        <w:jc w:val="both"/>
      </w:pPr>
      <w:r w:rsidRPr="007E3570">
        <w:t>U</w:t>
      </w:r>
      <w:r w:rsidR="0094111E" w:rsidRPr="007E3570">
        <w:t xml:space="preserve">kupni prihodi sastoje se od </w:t>
      </w:r>
      <w:r w:rsidR="005A5B83" w:rsidRPr="007E3570">
        <w:rPr>
          <w:b/>
          <w:bCs/>
        </w:rPr>
        <w:t>poslovnih prihoda</w:t>
      </w:r>
      <w:r w:rsidR="005A5B83" w:rsidRPr="007E3570">
        <w:t xml:space="preserve"> koji uključuju p</w:t>
      </w:r>
      <w:r w:rsidR="0094111E" w:rsidRPr="007E3570">
        <w:t>rihod</w:t>
      </w:r>
      <w:r w:rsidR="005A5B83" w:rsidRPr="007E3570">
        <w:t>e</w:t>
      </w:r>
      <w:r w:rsidR="0094111E" w:rsidRPr="007E3570">
        <w:t xml:space="preserve"> od </w:t>
      </w:r>
      <w:r w:rsidR="005A5B83" w:rsidRPr="007E3570">
        <w:t xml:space="preserve">prodaje i ostale poslovne prihode te od </w:t>
      </w:r>
      <w:r w:rsidR="005A5B83" w:rsidRPr="007E3570">
        <w:rPr>
          <w:b/>
          <w:bCs/>
        </w:rPr>
        <w:t>financijskih prihoda</w:t>
      </w:r>
      <w:r w:rsidR="005A5B83" w:rsidRPr="007E3570">
        <w:t>.</w:t>
      </w:r>
      <w:r w:rsidR="0094111E" w:rsidRPr="007E3570">
        <w:t xml:space="preserve"> </w:t>
      </w:r>
    </w:p>
    <w:p w14:paraId="44CEFA2C" w14:textId="74346715" w:rsidR="007E3570" w:rsidRPr="007E3570" w:rsidRDefault="00FC190E" w:rsidP="007E3570">
      <w:pPr>
        <w:spacing w:line="360" w:lineRule="auto"/>
        <w:jc w:val="both"/>
      </w:pPr>
      <w:r w:rsidRPr="007E3570">
        <w:t>Cjenikom o obradi i zbrinjavanju otpada</w:t>
      </w:r>
      <w:r w:rsidR="000521E8">
        <w:t xml:space="preserve"> </w:t>
      </w:r>
      <w:r w:rsidRPr="007E3570">
        <w:t>definirana je cijena zbrinjavanja komunalnog otpada u iznosu od 1</w:t>
      </w:r>
      <w:r w:rsidR="000521E8">
        <w:t>32,72 eura</w:t>
      </w:r>
      <w:r w:rsidRPr="007E3570">
        <w:t xml:space="preserve">/t </w:t>
      </w:r>
      <w:r w:rsidR="007E3570" w:rsidRPr="007E3570">
        <w:t xml:space="preserve">uz daljnju primjenu popusta za sufinanciranje troška goriva iz otpada u iznosu od </w:t>
      </w:r>
      <w:r w:rsidR="000521E8">
        <w:t>17,78 eura</w:t>
      </w:r>
      <w:r w:rsidR="007E3570" w:rsidRPr="007E3570">
        <w:t xml:space="preserve">/t. </w:t>
      </w:r>
    </w:p>
    <w:p w14:paraId="2B09A0BF" w14:textId="77777777" w:rsidR="00E8114B" w:rsidRDefault="00E8114B" w:rsidP="00E8114B">
      <w:pPr>
        <w:pStyle w:val="Caption"/>
        <w:keepNext/>
        <w:jc w:val="both"/>
      </w:pPr>
    </w:p>
    <w:p w14:paraId="35577714" w14:textId="4E6CD078" w:rsidR="0094111E" w:rsidRPr="00840E6B" w:rsidRDefault="00E8114B" w:rsidP="00840E6B">
      <w:pPr>
        <w:pStyle w:val="Caption"/>
        <w:keepNext/>
        <w:spacing w:after="240"/>
        <w:jc w:val="both"/>
        <w:rPr>
          <w:rFonts w:cstheme="minorHAnsi"/>
          <w:b w:val="0"/>
          <w:bCs w:val="0"/>
        </w:rPr>
      </w:pPr>
      <w:bookmarkStart w:id="51" w:name="_Toc200366454"/>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16</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000137A0" w:rsidRPr="000137A0">
        <w:rPr>
          <w:rFonts w:asciiTheme="minorHAnsi" w:hAnsiTheme="minorHAnsi" w:cstheme="minorHAnsi"/>
          <w:b w:val="0"/>
          <w:bCs w:val="0"/>
          <w:sz w:val="22"/>
          <w:szCs w:val="22"/>
        </w:rPr>
        <w:t>Struktura prihoda ostvarenih u 2024. godini</w:t>
      </w:r>
      <w:bookmarkEnd w:id="51"/>
    </w:p>
    <w:tbl>
      <w:tblPr>
        <w:tblW w:w="10173" w:type="dxa"/>
        <w:tblInd w:w="-4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2"/>
        <w:gridCol w:w="3231"/>
        <w:gridCol w:w="1531"/>
        <w:gridCol w:w="1531"/>
        <w:gridCol w:w="1531"/>
        <w:gridCol w:w="893"/>
        <w:gridCol w:w="784"/>
      </w:tblGrid>
      <w:tr w:rsidR="003F3913" w:rsidRPr="003F3913" w14:paraId="38F28DA8" w14:textId="77777777" w:rsidTr="0079098C">
        <w:trPr>
          <w:trHeight w:val="590"/>
        </w:trPr>
        <w:tc>
          <w:tcPr>
            <w:tcW w:w="672" w:type="dxa"/>
            <w:tcBorders>
              <w:top w:val="single" w:sz="4" w:space="0" w:color="auto"/>
              <w:bottom w:val="single" w:sz="4" w:space="0" w:color="auto"/>
            </w:tcBorders>
            <w:shd w:val="clear" w:color="auto" w:fill="auto"/>
            <w:vAlign w:val="center"/>
            <w:hideMark/>
          </w:tcPr>
          <w:p w14:paraId="1B977794" w14:textId="77777777" w:rsidR="003F3913" w:rsidRPr="003F3913" w:rsidRDefault="003F3913" w:rsidP="003F3913">
            <w:pPr>
              <w:spacing w:after="0" w:line="240" w:lineRule="auto"/>
              <w:rPr>
                <w:rFonts w:eastAsia="Times New Roman" w:cstheme="minorHAnsi"/>
                <w:b/>
                <w:bCs/>
                <w:sz w:val="18"/>
                <w:szCs w:val="18"/>
                <w:lang w:eastAsia="hr-HR"/>
              </w:rPr>
            </w:pPr>
            <w:r w:rsidRPr="003F3913">
              <w:rPr>
                <w:rFonts w:eastAsia="Times New Roman" w:cstheme="minorHAnsi"/>
                <w:b/>
                <w:bCs/>
                <w:sz w:val="18"/>
                <w:szCs w:val="18"/>
                <w:lang w:eastAsia="hr-HR"/>
              </w:rPr>
              <w:t>Red. br.</w:t>
            </w:r>
          </w:p>
        </w:tc>
        <w:tc>
          <w:tcPr>
            <w:tcW w:w="3231" w:type="dxa"/>
            <w:tcBorders>
              <w:top w:val="single" w:sz="4" w:space="0" w:color="auto"/>
              <w:bottom w:val="single" w:sz="4" w:space="0" w:color="auto"/>
            </w:tcBorders>
            <w:shd w:val="clear" w:color="auto" w:fill="auto"/>
            <w:vAlign w:val="center"/>
            <w:hideMark/>
          </w:tcPr>
          <w:p w14:paraId="1CD32589" w14:textId="77777777" w:rsidR="003F3913" w:rsidRPr="003F3913" w:rsidRDefault="003F3913" w:rsidP="003F3913">
            <w:pPr>
              <w:spacing w:after="0" w:line="240" w:lineRule="auto"/>
              <w:jc w:val="center"/>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Opis</w:t>
            </w:r>
          </w:p>
        </w:tc>
        <w:tc>
          <w:tcPr>
            <w:tcW w:w="1531" w:type="dxa"/>
            <w:tcBorders>
              <w:top w:val="single" w:sz="4" w:space="0" w:color="auto"/>
              <w:bottom w:val="single" w:sz="4" w:space="0" w:color="auto"/>
            </w:tcBorders>
            <w:shd w:val="clear" w:color="auto" w:fill="auto"/>
            <w:vAlign w:val="center"/>
            <w:hideMark/>
          </w:tcPr>
          <w:p w14:paraId="6B53B828" w14:textId="77828B78" w:rsidR="003F3913" w:rsidRPr="003F3913" w:rsidRDefault="003F3913" w:rsidP="003F3913">
            <w:pPr>
              <w:spacing w:after="0" w:line="240" w:lineRule="auto"/>
              <w:jc w:val="center"/>
              <w:rPr>
                <w:rFonts w:eastAsia="Times New Roman" w:cstheme="minorHAnsi"/>
                <w:b/>
                <w:bCs/>
                <w:sz w:val="18"/>
                <w:szCs w:val="18"/>
                <w:lang w:eastAsia="hr-HR"/>
              </w:rPr>
            </w:pPr>
            <w:r w:rsidRPr="003F3913">
              <w:rPr>
                <w:rFonts w:eastAsia="Times New Roman" w:cstheme="minorHAnsi"/>
                <w:b/>
                <w:bCs/>
                <w:sz w:val="18"/>
                <w:szCs w:val="18"/>
                <w:lang w:eastAsia="hr-HR"/>
              </w:rPr>
              <w:t>Ostvarenje 220</w:t>
            </w:r>
            <w:r w:rsidR="000137A0">
              <w:rPr>
                <w:rFonts w:eastAsia="Times New Roman" w:cstheme="minorHAnsi"/>
                <w:b/>
                <w:bCs/>
                <w:sz w:val="18"/>
                <w:szCs w:val="18"/>
                <w:lang w:eastAsia="hr-HR"/>
              </w:rPr>
              <w:t>3</w:t>
            </w:r>
          </w:p>
        </w:tc>
        <w:tc>
          <w:tcPr>
            <w:tcW w:w="1531" w:type="dxa"/>
            <w:tcBorders>
              <w:top w:val="single" w:sz="4" w:space="0" w:color="auto"/>
              <w:bottom w:val="single" w:sz="4" w:space="0" w:color="auto"/>
            </w:tcBorders>
            <w:shd w:val="clear" w:color="auto" w:fill="auto"/>
            <w:vAlign w:val="center"/>
            <w:hideMark/>
          </w:tcPr>
          <w:p w14:paraId="05CCCA00" w14:textId="79CCB5DA" w:rsidR="003F3913" w:rsidRPr="003F3913" w:rsidRDefault="003F3913" w:rsidP="003F3913">
            <w:pPr>
              <w:spacing w:after="0" w:line="240" w:lineRule="auto"/>
              <w:jc w:val="center"/>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Rebalans plana 202</w:t>
            </w:r>
            <w:r w:rsidR="000137A0">
              <w:rPr>
                <w:rFonts w:eastAsia="Times New Roman" w:cstheme="minorHAnsi"/>
                <w:b/>
                <w:bCs/>
                <w:color w:val="000000"/>
                <w:sz w:val="18"/>
                <w:szCs w:val="18"/>
                <w:lang w:eastAsia="hr-HR"/>
              </w:rPr>
              <w:t>4</w:t>
            </w:r>
          </w:p>
        </w:tc>
        <w:tc>
          <w:tcPr>
            <w:tcW w:w="1531" w:type="dxa"/>
            <w:tcBorders>
              <w:top w:val="single" w:sz="4" w:space="0" w:color="auto"/>
              <w:bottom w:val="single" w:sz="4" w:space="0" w:color="auto"/>
            </w:tcBorders>
            <w:shd w:val="clear" w:color="auto" w:fill="auto"/>
            <w:vAlign w:val="center"/>
            <w:hideMark/>
          </w:tcPr>
          <w:p w14:paraId="1C6E1208" w14:textId="116A6BA1" w:rsidR="003F3913" w:rsidRPr="003F3913" w:rsidRDefault="003F3913" w:rsidP="003F3913">
            <w:pPr>
              <w:spacing w:after="0" w:line="240" w:lineRule="auto"/>
              <w:jc w:val="center"/>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Ostvarenje 202</w:t>
            </w:r>
            <w:r w:rsidR="000137A0">
              <w:rPr>
                <w:rFonts w:eastAsia="Times New Roman" w:cstheme="minorHAnsi"/>
                <w:b/>
                <w:bCs/>
                <w:color w:val="000000"/>
                <w:sz w:val="18"/>
                <w:szCs w:val="18"/>
                <w:lang w:eastAsia="hr-HR"/>
              </w:rPr>
              <w:t>4</w:t>
            </w:r>
          </w:p>
        </w:tc>
        <w:tc>
          <w:tcPr>
            <w:tcW w:w="893" w:type="dxa"/>
            <w:tcBorders>
              <w:top w:val="single" w:sz="4" w:space="0" w:color="auto"/>
              <w:bottom w:val="single" w:sz="4" w:space="0" w:color="auto"/>
            </w:tcBorders>
            <w:shd w:val="clear" w:color="auto" w:fill="auto"/>
            <w:vAlign w:val="center"/>
            <w:hideMark/>
          </w:tcPr>
          <w:p w14:paraId="45B680F1" w14:textId="77777777" w:rsidR="003F3913" w:rsidRPr="003F3913" w:rsidRDefault="003F3913" w:rsidP="003F3913">
            <w:pPr>
              <w:spacing w:after="0" w:line="240" w:lineRule="auto"/>
              <w:jc w:val="center"/>
              <w:rPr>
                <w:rFonts w:eastAsia="Times New Roman" w:cstheme="minorHAnsi"/>
                <w:b/>
                <w:bCs/>
                <w:sz w:val="18"/>
                <w:szCs w:val="18"/>
                <w:lang w:eastAsia="hr-HR"/>
              </w:rPr>
            </w:pPr>
            <w:r w:rsidRPr="003F3913">
              <w:rPr>
                <w:rFonts w:eastAsia="Times New Roman" w:cstheme="minorHAnsi"/>
                <w:b/>
                <w:bCs/>
                <w:sz w:val="18"/>
                <w:szCs w:val="18"/>
                <w:lang w:eastAsia="hr-HR"/>
              </w:rPr>
              <w:t>indeks          (5/3)</w:t>
            </w:r>
          </w:p>
        </w:tc>
        <w:tc>
          <w:tcPr>
            <w:tcW w:w="784" w:type="dxa"/>
            <w:tcBorders>
              <w:top w:val="single" w:sz="4" w:space="0" w:color="auto"/>
              <w:bottom w:val="single" w:sz="4" w:space="0" w:color="auto"/>
            </w:tcBorders>
            <w:shd w:val="clear" w:color="auto" w:fill="auto"/>
            <w:vAlign w:val="center"/>
            <w:hideMark/>
          </w:tcPr>
          <w:p w14:paraId="057D74B2" w14:textId="77777777" w:rsidR="003F3913" w:rsidRPr="003F3913" w:rsidRDefault="003F3913" w:rsidP="003F3913">
            <w:pPr>
              <w:spacing w:after="0" w:line="240" w:lineRule="auto"/>
              <w:jc w:val="center"/>
              <w:rPr>
                <w:rFonts w:eastAsia="Times New Roman" w:cstheme="minorHAnsi"/>
                <w:b/>
                <w:bCs/>
                <w:sz w:val="18"/>
                <w:szCs w:val="18"/>
                <w:lang w:eastAsia="hr-HR"/>
              </w:rPr>
            </w:pPr>
            <w:r w:rsidRPr="003F3913">
              <w:rPr>
                <w:rFonts w:eastAsia="Times New Roman" w:cstheme="minorHAnsi"/>
                <w:b/>
                <w:bCs/>
                <w:sz w:val="18"/>
                <w:szCs w:val="18"/>
                <w:lang w:eastAsia="hr-HR"/>
              </w:rPr>
              <w:t>indeks         (5/4)</w:t>
            </w:r>
          </w:p>
        </w:tc>
      </w:tr>
      <w:tr w:rsidR="003F3913" w:rsidRPr="003F3913" w14:paraId="2EEEA948" w14:textId="77777777" w:rsidTr="0079098C">
        <w:trPr>
          <w:trHeight w:val="20"/>
        </w:trPr>
        <w:tc>
          <w:tcPr>
            <w:tcW w:w="672" w:type="dxa"/>
            <w:tcBorders>
              <w:top w:val="single" w:sz="4" w:space="0" w:color="auto"/>
              <w:bottom w:val="single" w:sz="4" w:space="0" w:color="auto"/>
            </w:tcBorders>
            <w:shd w:val="clear" w:color="auto" w:fill="auto"/>
            <w:noWrap/>
            <w:vAlign w:val="bottom"/>
            <w:hideMark/>
          </w:tcPr>
          <w:p w14:paraId="4C313A53"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1</w:t>
            </w:r>
          </w:p>
        </w:tc>
        <w:tc>
          <w:tcPr>
            <w:tcW w:w="3231" w:type="dxa"/>
            <w:tcBorders>
              <w:top w:val="single" w:sz="4" w:space="0" w:color="auto"/>
              <w:bottom w:val="single" w:sz="4" w:space="0" w:color="auto"/>
            </w:tcBorders>
            <w:shd w:val="clear" w:color="auto" w:fill="auto"/>
            <w:noWrap/>
            <w:vAlign w:val="bottom"/>
            <w:hideMark/>
          </w:tcPr>
          <w:p w14:paraId="17976942"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2</w:t>
            </w:r>
          </w:p>
        </w:tc>
        <w:tc>
          <w:tcPr>
            <w:tcW w:w="1531" w:type="dxa"/>
            <w:tcBorders>
              <w:top w:val="single" w:sz="4" w:space="0" w:color="auto"/>
              <w:bottom w:val="single" w:sz="4" w:space="0" w:color="auto"/>
            </w:tcBorders>
            <w:shd w:val="clear" w:color="auto" w:fill="auto"/>
            <w:noWrap/>
            <w:vAlign w:val="bottom"/>
            <w:hideMark/>
          </w:tcPr>
          <w:p w14:paraId="26ADBA0E"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3</w:t>
            </w:r>
          </w:p>
        </w:tc>
        <w:tc>
          <w:tcPr>
            <w:tcW w:w="1531" w:type="dxa"/>
            <w:tcBorders>
              <w:top w:val="single" w:sz="4" w:space="0" w:color="auto"/>
              <w:bottom w:val="single" w:sz="4" w:space="0" w:color="auto"/>
            </w:tcBorders>
            <w:shd w:val="clear" w:color="auto" w:fill="auto"/>
            <w:noWrap/>
            <w:vAlign w:val="bottom"/>
            <w:hideMark/>
          </w:tcPr>
          <w:p w14:paraId="71C783F3"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4</w:t>
            </w:r>
          </w:p>
        </w:tc>
        <w:tc>
          <w:tcPr>
            <w:tcW w:w="1531" w:type="dxa"/>
            <w:tcBorders>
              <w:top w:val="single" w:sz="4" w:space="0" w:color="auto"/>
              <w:bottom w:val="single" w:sz="4" w:space="0" w:color="auto"/>
            </w:tcBorders>
            <w:shd w:val="clear" w:color="auto" w:fill="auto"/>
            <w:noWrap/>
            <w:vAlign w:val="bottom"/>
            <w:hideMark/>
          </w:tcPr>
          <w:p w14:paraId="0E1DEB74"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5</w:t>
            </w:r>
          </w:p>
        </w:tc>
        <w:tc>
          <w:tcPr>
            <w:tcW w:w="893" w:type="dxa"/>
            <w:tcBorders>
              <w:top w:val="single" w:sz="4" w:space="0" w:color="auto"/>
              <w:bottom w:val="single" w:sz="4" w:space="0" w:color="auto"/>
            </w:tcBorders>
            <w:shd w:val="clear" w:color="auto" w:fill="auto"/>
            <w:noWrap/>
            <w:vAlign w:val="bottom"/>
            <w:hideMark/>
          </w:tcPr>
          <w:p w14:paraId="2CDE8374"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6</w:t>
            </w:r>
          </w:p>
        </w:tc>
        <w:tc>
          <w:tcPr>
            <w:tcW w:w="784" w:type="dxa"/>
            <w:tcBorders>
              <w:top w:val="single" w:sz="4" w:space="0" w:color="auto"/>
              <w:bottom w:val="single" w:sz="4" w:space="0" w:color="auto"/>
            </w:tcBorders>
            <w:shd w:val="clear" w:color="auto" w:fill="auto"/>
            <w:noWrap/>
            <w:vAlign w:val="bottom"/>
            <w:hideMark/>
          </w:tcPr>
          <w:p w14:paraId="6F65C976" w14:textId="77777777" w:rsidR="003F3913" w:rsidRPr="003F3913" w:rsidRDefault="003F3913" w:rsidP="005C7490">
            <w:pPr>
              <w:spacing w:after="0" w:line="240" w:lineRule="auto"/>
              <w:jc w:val="center"/>
              <w:rPr>
                <w:rFonts w:eastAsia="Times New Roman" w:cstheme="minorHAnsi"/>
                <w:i/>
                <w:iCs/>
                <w:color w:val="D0CECE"/>
                <w:sz w:val="14"/>
                <w:szCs w:val="14"/>
                <w:lang w:eastAsia="hr-HR"/>
              </w:rPr>
            </w:pPr>
            <w:r w:rsidRPr="003F3913">
              <w:rPr>
                <w:rFonts w:eastAsia="Times New Roman" w:cstheme="minorHAnsi"/>
                <w:i/>
                <w:iCs/>
                <w:color w:val="D0CECE"/>
                <w:sz w:val="14"/>
                <w:szCs w:val="14"/>
                <w:lang w:eastAsia="hr-HR"/>
              </w:rPr>
              <w:t>7</w:t>
            </w:r>
          </w:p>
        </w:tc>
      </w:tr>
      <w:tr w:rsidR="0079098C" w:rsidRPr="003F3913" w14:paraId="277007AC" w14:textId="77777777" w:rsidTr="0079098C">
        <w:trPr>
          <w:trHeight w:val="340"/>
        </w:trPr>
        <w:tc>
          <w:tcPr>
            <w:tcW w:w="672" w:type="dxa"/>
            <w:tcBorders>
              <w:top w:val="single" w:sz="4" w:space="0" w:color="auto"/>
            </w:tcBorders>
            <w:shd w:val="clear" w:color="auto" w:fill="auto"/>
            <w:noWrap/>
            <w:vAlign w:val="bottom"/>
            <w:hideMark/>
          </w:tcPr>
          <w:p w14:paraId="14E0FAE9"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1.</w:t>
            </w:r>
          </w:p>
        </w:tc>
        <w:tc>
          <w:tcPr>
            <w:tcW w:w="3231" w:type="dxa"/>
            <w:tcBorders>
              <w:top w:val="single" w:sz="4" w:space="0" w:color="auto"/>
            </w:tcBorders>
            <w:shd w:val="clear" w:color="auto" w:fill="auto"/>
            <w:vAlign w:val="bottom"/>
            <w:hideMark/>
          </w:tcPr>
          <w:p w14:paraId="160688A0"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POSLOVNI PRIHODI</w:t>
            </w:r>
          </w:p>
        </w:tc>
        <w:tc>
          <w:tcPr>
            <w:tcW w:w="1531" w:type="dxa"/>
            <w:tcBorders>
              <w:top w:val="single" w:sz="4" w:space="0" w:color="auto"/>
            </w:tcBorders>
            <w:shd w:val="clear" w:color="auto" w:fill="auto"/>
            <w:noWrap/>
            <w:vAlign w:val="bottom"/>
            <w:hideMark/>
          </w:tcPr>
          <w:p w14:paraId="13B41CA6" w14:textId="1AD0C655" w:rsidR="0079098C" w:rsidRPr="005C7490" w:rsidRDefault="0079098C" w:rsidP="0079098C">
            <w:pPr>
              <w:spacing w:after="0" w:line="240" w:lineRule="auto"/>
              <w:jc w:val="center"/>
              <w:rPr>
                <w:rFonts w:eastAsia="Times New Roman" w:cstheme="minorHAnsi"/>
                <w:b/>
                <w:bCs/>
                <w:color w:val="000000"/>
                <w:sz w:val="18"/>
                <w:szCs w:val="18"/>
                <w:lang w:eastAsia="hr-HR"/>
              </w:rPr>
            </w:pPr>
            <w:r w:rsidRPr="005C7490">
              <w:rPr>
                <w:rFonts w:ascii="Calibri" w:hAnsi="Calibri" w:cs="Calibri"/>
                <w:b/>
                <w:bCs/>
                <w:color w:val="000000"/>
                <w:sz w:val="18"/>
                <w:szCs w:val="18"/>
              </w:rPr>
              <w:t>12.594.286</w:t>
            </w:r>
          </w:p>
        </w:tc>
        <w:tc>
          <w:tcPr>
            <w:tcW w:w="1531" w:type="dxa"/>
            <w:tcBorders>
              <w:top w:val="single" w:sz="4" w:space="0" w:color="auto"/>
            </w:tcBorders>
            <w:shd w:val="clear" w:color="auto" w:fill="auto"/>
            <w:noWrap/>
            <w:vAlign w:val="bottom"/>
            <w:hideMark/>
          </w:tcPr>
          <w:p w14:paraId="7FBBBA75" w14:textId="26AF5C99" w:rsidR="0079098C" w:rsidRPr="005C7490" w:rsidRDefault="0079098C" w:rsidP="0079098C">
            <w:pPr>
              <w:spacing w:after="0" w:line="240" w:lineRule="auto"/>
              <w:jc w:val="center"/>
              <w:rPr>
                <w:rFonts w:eastAsia="Times New Roman" w:cstheme="minorHAnsi"/>
                <w:b/>
                <w:bCs/>
                <w:color w:val="000000"/>
                <w:sz w:val="18"/>
                <w:szCs w:val="18"/>
                <w:lang w:eastAsia="hr-HR"/>
              </w:rPr>
            </w:pPr>
            <w:r w:rsidRPr="005C7490">
              <w:rPr>
                <w:rFonts w:ascii="Calibri" w:hAnsi="Calibri" w:cs="Calibri"/>
                <w:b/>
                <w:bCs/>
                <w:color w:val="000000"/>
                <w:sz w:val="18"/>
                <w:szCs w:val="18"/>
              </w:rPr>
              <w:t>12.746.471</w:t>
            </w:r>
          </w:p>
        </w:tc>
        <w:tc>
          <w:tcPr>
            <w:tcW w:w="1531" w:type="dxa"/>
            <w:tcBorders>
              <w:top w:val="single" w:sz="4" w:space="0" w:color="auto"/>
            </w:tcBorders>
            <w:shd w:val="clear" w:color="auto" w:fill="auto"/>
            <w:noWrap/>
            <w:vAlign w:val="bottom"/>
            <w:hideMark/>
          </w:tcPr>
          <w:p w14:paraId="5FED1682" w14:textId="41052A9F" w:rsidR="0079098C" w:rsidRPr="005C7490" w:rsidRDefault="0079098C" w:rsidP="0079098C">
            <w:pPr>
              <w:spacing w:after="0" w:line="240" w:lineRule="auto"/>
              <w:jc w:val="center"/>
              <w:rPr>
                <w:rFonts w:eastAsia="Times New Roman" w:cstheme="minorHAnsi"/>
                <w:b/>
                <w:bCs/>
                <w:color w:val="000000"/>
                <w:sz w:val="18"/>
                <w:szCs w:val="18"/>
                <w:lang w:eastAsia="hr-HR"/>
              </w:rPr>
            </w:pPr>
            <w:r w:rsidRPr="005C7490">
              <w:rPr>
                <w:rFonts w:ascii="Calibri" w:hAnsi="Calibri" w:cs="Calibri"/>
                <w:b/>
                <w:bCs/>
                <w:color w:val="000000"/>
                <w:sz w:val="18"/>
                <w:szCs w:val="18"/>
              </w:rPr>
              <w:t>12.568.066</w:t>
            </w:r>
          </w:p>
        </w:tc>
        <w:tc>
          <w:tcPr>
            <w:tcW w:w="893" w:type="dxa"/>
            <w:tcBorders>
              <w:top w:val="single" w:sz="4" w:space="0" w:color="auto"/>
            </w:tcBorders>
            <w:shd w:val="clear" w:color="auto" w:fill="auto"/>
            <w:noWrap/>
            <w:vAlign w:val="bottom"/>
            <w:hideMark/>
          </w:tcPr>
          <w:p w14:paraId="25856ABF" w14:textId="45B8274B" w:rsidR="0079098C" w:rsidRPr="0079098C" w:rsidRDefault="0079098C" w:rsidP="0079098C">
            <w:pPr>
              <w:spacing w:after="0" w:line="240" w:lineRule="auto"/>
              <w:jc w:val="center"/>
              <w:rPr>
                <w:rFonts w:eastAsia="Times New Roman" w:cstheme="minorHAnsi"/>
                <w:b/>
                <w:bCs/>
                <w:color w:val="000000"/>
                <w:sz w:val="18"/>
                <w:szCs w:val="18"/>
                <w:lang w:eastAsia="hr-HR"/>
              </w:rPr>
            </w:pPr>
            <w:r w:rsidRPr="0079098C">
              <w:rPr>
                <w:rFonts w:ascii="Calibri" w:hAnsi="Calibri" w:cs="Calibri"/>
                <w:b/>
                <w:bCs/>
                <w:color w:val="000000"/>
                <w:sz w:val="18"/>
                <w:szCs w:val="18"/>
              </w:rPr>
              <w:t>100%</w:t>
            </w:r>
          </w:p>
        </w:tc>
        <w:tc>
          <w:tcPr>
            <w:tcW w:w="784" w:type="dxa"/>
            <w:tcBorders>
              <w:top w:val="single" w:sz="4" w:space="0" w:color="auto"/>
            </w:tcBorders>
            <w:shd w:val="clear" w:color="auto" w:fill="auto"/>
            <w:noWrap/>
            <w:vAlign w:val="bottom"/>
            <w:hideMark/>
          </w:tcPr>
          <w:p w14:paraId="0A5CDBFC" w14:textId="4FE44B73" w:rsidR="0079098C" w:rsidRPr="0079098C" w:rsidRDefault="0079098C" w:rsidP="0079098C">
            <w:pPr>
              <w:spacing w:after="0" w:line="240" w:lineRule="auto"/>
              <w:jc w:val="center"/>
              <w:rPr>
                <w:rFonts w:eastAsia="Times New Roman" w:cstheme="minorHAnsi"/>
                <w:b/>
                <w:bCs/>
                <w:color w:val="000000"/>
                <w:sz w:val="18"/>
                <w:szCs w:val="18"/>
                <w:lang w:eastAsia="hr-HR"/>
              </w:rPr>
            </w:pPr>
            <w:r w:rsidRPr="0079098C">
              <w:rPr>
                <w:rFonts w:ascii="Calibri" w:hAnsi="Calibri" w:cs="Calibri"/>
                <w:b/>
                <w:bCs/>
                <w:color w:val="000000"/>
                <w:sz w:val="18"/>
                <w:szCs w:val="18"/>
              </w:rPr>
              <w:t>99%</w:t>
            </w:r>
          </w:p>
        </w:tc>
      </w:tr>
      <w:tr w:rsidR="0079098C" w:rsidRPr="003F3913" w14:paraId="2AA83D9F" w14:textId="77777777" w:rsidTr="0079098C">
        <w:trPr>
          <w:trHeight w:val="340"/>
        </w:trPr>
        <w:tc>
          <w:tcPr>
            <w:tcW w:w="672" w:type="dxa"/>
            <w:shd w:val="clear" w:color="auto" w:fill="auto"/>
            <w:noWrap/>
            <w:vAlign w:val="bottom"/>
            <w:hideMark/>
          </w:tcPr>
          <w:p w14:paraId="0FE32302"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1.1</w:t>
            </w:r>
          </w:p>
        </w:tc>
        <w:tc>
          <w:tcPr>
            <w:tcW w:w="3231" w:type="dxa"/>
            <w:shd w:val="clear" w:color="auto" w:fill="auto"/>
            <w:vAlign w:val="bottom"/>
            <w:hideMark/>
          </w:tcPr>
          <w:p w14:paraId="17C2CF2F"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Prihodi od prodaje</w:t>
            </w:r>
          </w:p>
        </w:tc>
        <w:tc>
          <w:tcPr>
            <w:tcW w:w="1531" w:type="dxa"/>
            <w:shd w:val="clear" w:color="auto" w:fill="auto"/>
            <w:noWrap/>
            <w:vAlign w:val="bottom"/>
            <w:hideMark/>
          </w:tcPr>
          <w:p w14:paraId="2792EE2E" w14:textId="4155DA15" w:rsidR="0079098C" w:rsidRPr="005C7490" w:rsidRDefault="0079098C" w:rsidP="0079098C">
            <w:pPr>
              <w:spacing w:after="0" w:line="240" w:lineRule="auto"/>
              <w:jc w:val="center"/>
              <w:rPr>
                <w:rFonts w:eastAsia="Times New Roman" w:cstheme="minorHAnsi"/>
                <w:b/>
                <w:bCs/>
                <w:color w:val="000000"/>
                <w:sz w:val="18"/>
                <w:szCs w:val="18"/>
                <w:lang w:eastAsia="hr-HR"/>
              </w:rPr>
            </w:pPr>
            <w:r w:rsidRPr="005C7490">
              <w:rPr>
                <w:rFonts w:ascii="Calibri" w:hAnsi="Calibri" w:cs="Calibri"/>
                <w:b/>
                <w:bCs/>
                <w:color w:val="000000"/>
                <w:sz w:val="18"/>
                <w:szCs w:val="18"/>
              </w:rPr>
              <w:t>9.728.107</w:t>
            </w:r>
          </w:p>
        </w:tc>
        <w:tc>
          <w:tcPr>
            <w:tcW w:w="1531" w:type="dxa"/>
            <w:shd w:val="clear" w:color="auto" w:fill="auto"/>
            <w:noWrap/>
            <w:vAlign w:val="bottom"/>
            <w:hideMark/>
          </w:tcPr>
          <w:p w14:paraId="4AC825B7" w14:textId="25420D56" w:rsidR="0079098C" w:rsidRPr="005C7490" w:rsidRDefault="0079098C" w:rsidP="0079098C">
            <w:pPr>
              <w:spacing w:after="0" w:line="240" w:lineRule="auto"/>
              <w:jc w:val="center"/>
              <w:rPr>
                <w:rFonts w:eastAsia="Times New Roman" w:cstheme="minorHAnsi"/>
                <w:b/>
                <w:bCs/>
                <w:color w:val="000000"/>
                <w:sz w:val="18"/>
                <w:szCs w:val="18"/>
                <w:lang w:eastAsia="hr-HR"/>
              </w:rPr>
            </w:pPr>
            <w:r w:rsidRPr="005C7490">
              <w:rPr>
                <w:rFonts w:ascii="Calibri" w:hAnsi="Calibri" w:cs="Calibri"/>
                <w:b/>
                <w:bCs/>
                <w:color w:val="000000"/>
                <w:sz w:val="18"/>
                <w:szCs w:val="18"/>
              </w:rPr>
              <w:t>10.190.839</w:t>
            </w:r>
          </w:p>
        </w:tc>
        <w:tc>
          <w:tcPr>
            <w:tcW w:w="1531" w:type="dxa"/>
            <w:shd w:val="clear" w:color="auto" w:fill="auto"/>
            <w:noWrap/>
            <w:vAlign w:val="bottom"/>
            <w:hideMark/>
          </w:tcPr>
          <w:p w14:paraId="7B5BB07F" w14:textId="78974738" w:rsidR="0079098C" w:rsidRPr="005C7490" w:rsidRDefault="0079098C" w:rsidP="0079098C">
            <w:pPr>
              <w:spacing w:after="0" w:line="240" w:lineRule="auto"/>
              <w:jc w:val="center"/>
              <w:rPr>
                <w:rFonts w:eastAsia="Times New Roman" w:cstheme="minorHAnsi"/>
                <w:b/>
                <w:bCs/>
                <w:color w:val="000000"/>
                <w:sz w:val="18"/>
                <w:szCs w:val="18"/>
                <w:lang w:eastAsia="hr-HR"/>
              </w:rPr>
            </w:pPr>
            <w:r w:rsidRPr="005C7490">
              <w:rPr>
                <w:rFonts w:ascii="Calibri" w:hAnsi="Calibri" w:cs="Calibri"/>
                <w:b/>
                <w:bCs/>
                <w:color w:val="000000"/>
                <w:sz w:val="18"/>
                <w:szCs w:val="18"/>
              </w:rPr>
              <w:t>9.837.555</w:t>
            </w:r>
          </w:p>
        </w:tc>
        <w:tc>
          <w:tcPr>
            <w:tcW w:w="893" w:type="dxa"/>
            <w:shd w:val="clear" w:color="auto" w:fill="auto"/>
            <w:noWrap/>
            <w:vAlign w:val="bottom"/>
            <w:hideMark/>
          </w:tcPr>
          <w:p w14:paraId="078F023C" w14:textId="293DC702" w:rsidR="0079098C" w:rsidRPr="0079098C" w:rsidRDefault="0079098C" w:rsidP="0079098C">
            <w:pPr>
              <w:spacing w:after="0" w:line="240" w:lineRule="auto"/>
              <w:jc w:val="center"/>
              <w:rPr>
                <w:rFonts w:eastAsia="Times New Roman" w:cstheme="minorHAnsi"/>
                <w:b/>
                <w:bCs/>
                <w:color w:val="000000"/>
                <w:sz w:val="18"/>
                <w:szCs w:val="18"/>
                <w:lang w:eastAsia="hr-HR"/>
              </w:rPr>
            </w:pPr>
            <w:r w:rsidRPr="0079098C">
              <w:rPr>
                <w:rFonts w:ascii="Calibri" w:hAnsi="Calibri" w:cs="Calibri"/>
                <w:b/>
                <w:bCs/>
                <w:color w:val="000000"/>
                <w:sz w:val="18"/>
                <w:szCs w:val="18"/>
              </w:rPr>
              <w:t>101%</w:t>
            </w:r>
          </w:p>
        </w:tc>
        <w:tc>
          <w:tcPr>
            <w:tcW w:w="784" w:type="dxa"/>
            <w:shd w:val="clear" w:color="auto" w:fill="auto"/>
            <w:noWrap/>
            <w:vAlign w:val="bottom"/>
            <w:hideMark/>
          </w:tcPr>
          <w:p w14:paraId="14556249" w14:textId="571F4EAF" w:rsidR="0079098C" w:rsidRPr="0079098C" w:rsidRDefault="0079098C" w:rsidP="0079098C">
            <w:pPr>
              <w:spacing w:after="0" w:line="240" w:lineRule="auto"/>
              <w:jc w:val="center"/>
              <w:rPr>
                <w:rFonts w:eastAsia="Times New Roman" w:cstheme="minorHAnsi"/>
                <w:b/>
                <w:bCs/>
                <w:color w:val="000000"/>
                <w:sz w:val="18"/>
                <w:szCs w:val="18"/>
                <w:lang w:eastAsia="hr-HR"/>
              </w:rPr>
            </w:pPr>
            <w:r w:rsidRPr="0079098C">
              <w:rPr>
                <w:rFonts w:ascii="Calibri" w:hAnsi="Calibri" w:cs="Calibri"/>
                <w:b/>
                <w:bCs/>
                <w:color w:val="000000"/>
                <w:sz w:val="18"/>
                <w:szCs w:val="18"/>
              </w:rPr>
              <w:t>97%</w:t>
            </w:r>
          </w:p>
        </w:tc>
      </w:tr>
      <w:tr w:rsidR="0079098C" w:rsidRPr="003F3913" w14:paraId="2AFF6CCF" w14:textId="77777777" w:rsidTr="0079098C">
        <w:trPr>
          <w:trHeight w:val="340"/>
        </w:trPr>
        <w:tc>
          <w:tcPr>
            <w:tcW w:w="672" w:type="dxa"/>
            <w:shd w:val="clear" w:color="auto" w:fill="auto"/>
            <w:noWrap/>
            <w:vAlign w:val="bottom"/>
            <w:hideMark/>
          </w:tcPr>
          <w:p w14:paraId="1350D1F5"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1.1.1</w:t>
            </w:r>
          </w:p>
        </w:tc>
        <w:tc>
          <w:tcPr>
            <w:tcW w:w="3231" w:type="dxa"/>
            <w:shd w:val="clear" w:color="auto" w:fill="auto"/>
            <w:vAlign w:val="bottom"/>
            <w:hideMark/>
          </w:tcPr>
          <w:p w14:paraId="1E936BA3"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Prihodi od komunalnih usluga</w:t>
            </w:r>
          </w:p>
        </w:tc>
        <w:tc>
          <w:tcPr>
            <w:tcW w:w="1531" w:type="dxa"/>
            <w:shd w:val="clear" w:color="auto" w:fill="auto"/>
            <w:noWrap/>
            <w:vAlign w:val="bottom"/>
            <w:hideMark/>
          </w:tcPr>
          <w:p w14:paraId="18951892" w14:textId="4FF346F6"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9.720.896</w:t>
            </w:r>
          </w:p>
        </w:tc>
        <w:tc>
          <w:tcPr>
            <w:tcW w:w="1531" w:type="dxa"/>
            <w:shd w:val="clear" w:color="auto" w:fill="auto"/>
            <w:noWrap/>
            <w:vAlign w:val="bottom"/>
            <w:hideMark/>
          </w:tcPr>
          <w:p w14:paraId="2ADC500A" w14:textId="77F59450"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10.184.287</w:t>
            </w:r>
          </w:p>
        </w:tc>
        <w:tc>
          <w:tcPr>
            <w:tcW w:w="1531" w:type="dxa"/>
            <w:shd w:val="clear" w:color="auto" w:fill="auto"/>
            <w:noWrap/>
            <w:vAlign w:val="bottom"/>
            <w:hideMark/>
          </w:tcPr>
          <w:p w14:paraId="60F74F8C" w14:textId="0ED76D2E"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9.833.544</w:t>
            </w:r>
          </w:p>
        </w:tc>
        <w:tc>
          <w:tcPr>
            <w:tcW w:w="893" w:type="dxa"/>
            <w:shd w:val="clear" w:color="auto" w:fill="auto"/>
            <w:noWrap/>
            <w:vAlign w:val="bottom"/>
            <w:hideMark/>
          </w:tcPr>
          <w:p w14:paraId="0AB38561" w14:textId="7F6409F9" w:rsidR="0079098C" w:rsidRPr="0079098C" w:rsidRDefault="0079098C" w:rsidP="0079098C">
            <w:pPr>
              <w:spacing w:after="0" w:line="240" w:lineRule="auto"/>
              <w:jc w:val="center"/>
              <w:rPr>
                <w:rFonts w:eastAsia="Times New Roman" w:cstheme="minorHAnsi"/>
                <w:color w:val="000000"/>
                <w:sz w:val="18"/>
                <w:szCs w:val="18"/>
                <w:lang w:eastAsia="hr-HR"/>
              </w:rPr>
            </w:pPr>
            <w:r w:rsidRPr="0079098C">
              <w:rPr>
                <w:rFonts w:ascii="Calibri" w:hAnsi="Calibri" w:cs="Calibri"/>
                <w:color w:val="000000"/>
                <w:sz w:val="18"/>
                <w:szCs w:val="18"/>
              </w:rPr>
              <w:t>101%</w:t>
            </w:r>
          </w:p>
        </w:tc>
        <w:tc>
          <w:tcPr>
            <w:tcW w:w="784" w:type="dxa"/>
            <w:shd w:val="clear" w:color="auto" w:fill="auto"/>
            <w:noWrap/>
            <w:vAlign w:val="bottom"/>
            <w:hideMark/>
          </w:tcPr>
          <w:p w14:paraId="241093B6" w14:textId="0A3874D5" w:rsidR="0079098C" w:rsidRPr="0079098C" w:rsidRDefault="0079098C" w:rsidP="0079098C">
            <w:pPr>
              <w:spacing w:after="0" w:line="240" w:lineRule="auto"/>
              <w:jc w:val="center"/>
              <w:rPr>
                <w:rFonts w:eastAsia="Times New Roman" w:cstheme="minorHAnsi"/>
                <w:color w:val="000000"/>
                <w:sz w:val="18"/>
                <w:szCs w:val="18"/>
                <w:lang w:eastAsia="hr-HR"/>
              </w:rPr>
            </w:pPr>
            <w:r w:rsidRPr="0079098C">
              <w:rPr>
                <w:rFonts w:ascii="Calibri" w:hAnsi="Calibri" w:cs="Calibri"/>
                <w:color w:val="000000"/>
                <w:sz w:val="18"/>
                <w:szCs w:val="18"/>
              </w:rPr>
              <w:t>97%</w:t>
            </w:r>
          </w:p>
        </w:tc>
      </w:tr>
      <w:tr w:rsidR="0079098C" w:rsidRPr="003F3913" w14:paraId="72251510" w14:textId="77777777" w:rsidTr="0079098C">
        <w:trPr>
          <w:trHeight w:val="340"/>
        </w:trPr>
        <w:tc>
          <w:tcPr>
            <w:tcW w:w="672" w:type="dxa"/>
            <w:shd w:val="clear" w:color="auto" w:fill="auto"/>
            <w:noWrap/>
            <w:vAlign w:val="bottom"/>
            <w:hideMark/>
          </w:tcPr>
          <w:p w14:paraId="23FE03D0"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1.1.2</w:t>
            </w:r>
          </w:p>
        </w:tc>
        <w:tc>
          <w:tcPr>
            <w:tcW w:w="3231" w:type="dxa"/>
            <w:shd w:val="clear" w:color="auto" w:fill="auto"/>
            <w:vAlign w:val="bottom"/>
            <w:hideMark/>
          </w:tcPr>
          <w:p w14:paraId="62E50865"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Prihodi od sekundarnih sirovina</w:t>
            </w:r>
          </w:p>
        </w:tc>
        <w:tc>
          <w:tcPr>
            <w:tcW w:w="1531" w:type="dxa"/>
            <w:shd w:val="clear" w:color="auto" w:fill="auto"/>
            <w:noWrap/>
            <w:vAlign w:val="bottom"/>
            <w:hideMark/>
          </w:tcPr>
          <w:p w14:paraId="077FEFA0" w14:textId="624F62A3"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4.897</w:t>
            </w:r>
          </w:p>
        </w:tc>
        <w:tc>
          <w:tcPr>
            <w:tcW w:w="1531" w:type="dxa"/>
            <w:shd w:val="clear" w:color="auto" w:fill="auto"/>
            <w:noWrap/>
            <w:vAlign w:val="bottom"/>
            <w:hideMark/>
          </w:tcPr>
          <w:p w14:paraId="521873F0" w14:textId="6EDF2D8F" w:rsidR="0079098C" w:rsidRPr="005C7490" w:rsidRDefault="0079098C" w:rsidP="0079098C">
            <w:pPr>
              <w:spacing w:after="0" w:line="240" w:lineRule="auto"/>
              <w:jc w:val="center"/>
              <w:rPr>
                <w:rFonts w:eastAsia="Times New Roman" w:cstheme="minorHAnsi"/>
                <w:sz w:val="18"/>
                <w:szCs w:val="18"/>
                <w:lang w:eastAsia="hr-HR"/>
              </w:rPr>
            </w:pPr>
            <w:r w:rsidRPr="005C7490">
              <w:rPr>
                <w:rFonts w:ascii="Calibri" w:hAnsi="Calibri" w:cs="Calibri"/>
                <w:sz w:val="18"/>
                <w:szCs w:val="18"/>
              </w:rPr>
              <w:t>4.159</w:t>
            </w:r>
          </w:p>
        </w:tc>
        <w:tc>
          <w:tcPr>
            <w:tcW w:w="1531" w:type="dxa"/>
            <w:shd w:val="clear" w:color="auto" w:fill="auto"/>
            <w:noWrap/>
            <w:vAlign w:val="bottom"/>
            <w:hideMark/>
          </w:tcPr>
          <w:p w14:paraId="0F249B7A" w14:textId="75568C31" w:rsidR="0079098C" w:rsidRPr="005C7490" w:rsidRDefault="0079098C" w:rsidP="0079098C">
            <w:pPr>
              <w:spacing w:after="0" w:line="240" w:lineRule="auto"/>
              <w:jc w:val="center"/>
              <w:rPr>
                <w:rFonts w:eastAsia="Times New Roman" w:cstheme="minorHAnsi"/>
                <w:sz w:val="18"/>
                <w:szCs w:val="18"/>
                <w:lang w:eastAsia="hr-HR"/>
              </w:rPr>
            </w:pPr>
            <w:r w:rsidRPr="005C7490">
              <w:rPr>
                <w:rFonts w:ascii="Calibri" w:hAnsi="Calibri" w:cs="Calibri"/>
                <w:color w:val="000000"/>
                <w:sz w:val="18"/>
                <w:szCs w:val="18"/>
              </w:rPr>
              <w:t>1.538</w:t>
            </w:r>
          </w:p>
        </w:tc>
        <w:tc>
          <w:tcPr>
            <w:tcW w:w="893" w:type="dxa"/>
            <w:shd w:val="clear" w:color="auto" w:fill="auto"/>
            <w:noWrap/>
            <w:vAlign w:val="bottom"/>
            <w:hideMark/>
          </w:tcPr>
          <w:p w14:paraId="0A6D5045" w14:textId="5C9F9CC5" w:rsidR="0079098C" w:rsidRPr="0079098C" w:rsidRDefault="0079098C" w:rsidP="0079098C">
            <w:pPr>
              <w:spacing w:after="0" w:line="240" w:lineRule="auto"/>
              <w:jc w:val="center"/>
              <w:rPr>
                <w:rFonts w:eastAsia="Times New Roman" w:cstheme="minorHAnsi"/>
                <w:color w:val="000000"/>
                <w:sz w:val="18"/>
                <w:szCs w:val="18"/>
                <w:lang w:eastAsia="hr-HR"/>
              </w:rPr>
            </w:pPr>
            <w:r w:rsidRPr="0079098C">
              <w:rPr>
                <w:rFonts w:ascii="Calibri" w:hAnsi="Calibri" w:cs="Calibri"/>
                <w:color w:val="000000"/>
                <w:sz w:val="18"/>
                <w:szCs w:val="18"/>
              </w:rPr>
              <w:t>31%</w:t>
            </w:r>
          </w:p>
        </w:tc>
        <w:tc>
          <w:tcPr>
            <w:tcW w:w="784" w:type="dxa"/>
            <w:shd w:val="clear" w:color="auto" w:fill="auto"/>
            <w:noWrap/>
            <w:vAlign w:val="bottom"/>
            <w:hideMark/>
          </w:tcPr>
          <w:p w14:paraId="1EAD1C58" w14:textId="373DC4C6" w:rsidR="0079098C" w:rsidRPr="0079098C" w:rsidRDefault="0079098C" w:rsidP="0079098C">
            <w:pPr>
              <w:spacing w:after="0" w:line="240" w:lineRule="auto"/>
              <w:jc w:val="center"/>
              <w:rPr>
                <w:rFonts w:eastAsia="Times New Roman" w:cstheme="minorHAnsi"/>
                <w:color w:val="000000"/>
                <w:sz w:val="18"/>
                <w:szCs w:val="18"/>
                <w:lang w:eastAsia="hr-HR"/>
              </w:rPr>
            </w:pPr>
            <w:r w:rsidRPr="0079098C">
              <w:rPr>
                <w:rFonts w:ascii="Calibri" w:hAnsi="Calibri" w:cs="Calibri"/>
                <w:color w:val="000000"/>
                <w:sz w:val="18"/>
                <w:szCs w:val="18"/>
              </w:rPr>
              <w:t>37%</w:t>
            </w:r>
          </w:p>
        </w:tc>
      </w:tr>
      <w:tr w:rsidR="0079098C" w:rsidRPr="003F3913" w14:paraId="23DF71C4" w14:textId="77777777" w:rsidTr="0079098C">
        <w:trPr>
          <w:trHeight w:val="340"/>
        </w:trPr>
        <w:tc>
          <w:tcPr>
            <w:tcW w:w="672" w:type="dxa"/>
            <w:shd w:val="clear" w:color="auto" w:fill="auto"/>
            <w:noWrap/>
            <w:vAlign w:val="bottom"/>
            <w:hideMark/>
          </w:tcPr>
          <w:p w14:paraId="13A5F064"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1.1.3</w:t>
            </w:r>
          </w:p>
        </w:tc>
        <w:tc>
          <w:tcPr>
            <w:tcW w:w="3231" w:type="dxa"/>
            <w:shd w:val="clear" w:color="auto" w:fill="auto"/>
            <w:vAlign w:val="bottom"/>
            <w:hideMark/>
          </w:tcPr>
          <w:p w14:paraId="6003DD41"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Prihodi od prijevoza otpada</w:t>
            </w:r>
          </w:p>
        </w:tc>
        <w:tc>
          <w:tcPr>
            <w:tcW w:w="1531" w:type="dxa"/>
            <w:shd w:val="clear" w:color="auto" w:fill="auto"/>
            <w:noWrap/>
            <w:vAlign w:val="bottom"/>
            <w:hideMark/>
          </w:tcPr>
          <w:p w14:paraId="0F4BF7E8" w14:textId="6126D440"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2.313</w:t>
            </w:r>
          </w:p>
        </w:tc>
        <w:tc>
          <w:tcPr>
            <w:tcW w:w="1531" w:type="dxa"/>
            <w:shd w:val="clear" w:color="auto" w:fill="auto"/>
            <w:noWrap/>
            <w:vAlign w:val="bottom"/>
            <w:hideMark/>
          </w:tcPr>
          <w:p w14:paraId="70724B55" w14:textId="674B0A83"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2.393</w:t>
            </w:r>
          </w:p>
        </w:tc>
        <w:tc>
          <w:tcPr>
            <w:tcW w:w="1531" w:type="dxa"/>
            <w:shd w:val="clear" w:color="auto" w:fill="auto"/>
            <w:noWrap/>
            <w:vAlign w:val="bottom"/>
            <w:hideMark/>
          </w:tcPr>
          <w:p w14:paraId="6BC0E3BA" w14:textId="4407B69E" w:rsidR="0079098C" w:rsidRPr="005C7490" w:rsidRDefault="0079098C" w:rsidP="0079098C">
            <w:pPr>
              <w:spacing w:after="0" w:line="240" w:lineRule="auto"/>
              <w:jc w:val="center"/>
              <w:rPr>
                <w:rFonts w:eastAsia="Times New Roman" w:cstheme="minorHAnsi"/>
                <w:color w:val="000000"/>
                <w:sz w:val="18"/>
                <w:szCs w:val="18"/>
                <w:lang w:eastAsia="hr-HR"/>
              </w:rPr>
            </w:pPr>
            <w:r w:rsidRPr="005C7490">
              <w:rPr>
                <w:rFonts w:ascii="Calibri" w:hAnsi="Calibri" w:cs="Calibri"/>
                <w:color w:val="000000"/>
                <w:sz w:val="18"/>
                <w:szCs w:val="18"/>
              </w:rPr>
              <w:t>2.473</w:t>
            </w:r>
          </w:p>
        </w:tc>
        <w:tc>
          <w:tcPr>
            <w:tcW w:w="893" w:type="dxa"/>
            <w:shd w:val="clear" w:color="auto" w:fill="auto"/>
            <w:noWrap/>
            <w:vAlign w:val="bottom"/>
            <w:hideMark/>
          </w:tcPr>
          <w:p w14:paraId="61ED4D7B" w14:textId="7C37A722" w:rsidR="0079098C" w:rsidRPr="0079098C" w:rsidRDefault="0079098C" w:rsidP="0079098C">
            <w:pPr>
              <w:spacing w:after="0" w:line="240" w:lineRule="auto"/>
              <w:jc w:val="center"/>
              <w:rPr>
                <w:rFonts w:eastAsia="Times New Roman" w:cstheme="minorHAnsi"/>
                <w:color w:val="000000"/>
                <w:sz w:val="18"/>
                <w:szCs w:val="18"/>
                <w:lang w:eastAsia="hr-HR"/>
              </w:rPr>
            </w:pPr>
            <w:r w:rsidRPr="0079098C">
              <w:rPr>
                <w:rFonts w:ascii="Calibri" w:hAnsi="Calibri" w:cs="Calibri"/>
                <w:color w:val="000000"/>
                <w:sz w:val="18"/>
                <w:szCs w:val="18"/>
              </w:rPr>
              <w:t>107%</w:t>
            </w:r>
          </w:p>
        </w:tc>
        <w:tc>
          <w:tcPr>
            <w:tcW w:w="784" w:type="dxa"/>
            <w:shd w:val="clear" w:color="auto" w:fill="auto"/>
            <w:noWrap/>
            <w:vAlign w:val="bottom"/>
            <w:hideMark/>
          </w:tcPr>
          <w:p w14:paraId="67C24BB6" w14:textId="592A9A59" w:rsidR="0079098C" w:rsidRPr="0079098C" w:rsidRDefault="0079098C" w:rsidP="0079098C">
            <w:pPr>
              <w:spacing w:after="0" w:line="240" w:lineRule="auto"/>
              <w:jc w:val="center"/>
              <w:rPr>
                <w:rFonts w:eastAsia="Times New Roman" w:cstheme="minorHAnsi"/>
                <w:color w:val="000000"/>
                <w:sz w:val="18"/>
                <w:szCs w:val="18"/>
                <w:lang w:eastAsia="hr-HR"/>
              </w:rPr>
            </w:pPr>
            <w:r w:rsidRPr="0079098C">
              <w:rPr>
                <w:rFonts w:ascii="Calibri" w:hAnsi="Calibri" w:cs="Calibri"/>
                <w:color w:val="000000"/>
                <w:sz w:val="18"/>
                <w:szCs w:val="18"/>
              </w:rPr>
              <w:t>103%</w:t>
            </w:r>
          </w:p>
        </w:tc>
      </w:tr>
      <w:tr w:rsidR="0079098C" w:rsidRPr="003F3913" w14:paraId="06E683C4" w14:textId="77777777" w:rsidTr="0079098C">
        <w:trPr>
          <w:trHeight w:val="340"/>
        </w:trPr>
        <w:tc>
          <w:tcPr>
            <w:tcW w:w="672" w:type="dxa"/>
            <w:shd w:val="clear" w:color="auto" w:fill="auto"/>
            <w:noWrap/>
            <w:vAlign w:val="bottom"/>
            <w:hideMark/>
          </w:tcPr>
          <w:p w14:paraId="4E1C2E37"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1.2</w:t>
            </w:r>
          </w:p>
        </w:tc>
        <w:tc>
          <w:tcPr>
            <w:tcW w:w="3231" w:type="dxa"/>
            <w:shd w:val="clear" w:color="auto" w:fill="auto"/>
            <w:vAlign w:val="bottom"/>
            <w:hideMark/>
          </w:tcPr>
          <w:p w14:paraId="2A25CECC" w14:textId="414698F9" w:rsidR="0079098C" w:rsidRPr="005C7490" w:rsidRDefault="0079098C" w:rsidP="0079098C">
            <w:pPr>
              <w:spacing w:after="0" w:line="240" w:lineRule="auto"/>
              <w:rPr>
                <w:rFonts w:eastAsia="Times New Roman" w:cstheme="minorHAnsi"/>
                <w:b/>
                <w:bCs/>
                <w:color w:val="000000"/>
                <w:sz w:val="18"/>
                <w:szCs w:val="18"/>
                <w:lang w:eastAsia="hr-HR"/>
              </w:rPr>
            </w:pPr>
            <w:r w:rsidRPr="005C7490">
              <w:rPr>
                <w:rFonts w:ascii="Calibri" w:hAnsi="Calibri" w:cs="Calibri"/>
                <w:b/>
                <w:bCs/>
                <w:color w:val="000000"/>
                <w:sz w:val="18"/>
                <w:szCs w:val="18"/>
              </w:rPr>
              <w:t>Ostali poslovni prihodi</w:t>
            </w:r>
          </w:p>
        </w:tc>
        <w:tc>
          <w:tcPr>
            <w:tcW w:w="1531" w:type="dxa"/>
            <w:shd w:val="clear" w:color="auto" w:fill="auto"/>
            <w:noWrap/>
            <w:vAlign w:val="bottom"/>
            <w:hideMark/>
          </w:tcPr>
          <w:p w14:paraId="077B2149" w14:textId="305860B7"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2.866.179</w:t>
            </w:r>
          </w:p>
        </w:tc>
        <w:tc>
          <w:tcPr>
            <w:tcW w:w="1531" w:type="dxa"/>
            <w:shd w:val="clear" w:color="auto" w:fill="auto"/>
            <w:noWrap/>
            <w:vAlign w:val="bottom"/>
            <w:hideMark/>
          </w:tcPr>
          <w:p w14:paraId="19B89157" w14:textId="4556C100"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2.555.633</w:t>
            </w:r>
          </w:p>
        </w:tc>
        <w:tc>
          <w:tcPr>
            <w:tcW w:w="1531" w:type="dxa"/>
            <w:shd w:val="clear" w:color="auto" w:fill="auto"/>
            <w:noWrap/>
            <w:vAlign w:val="bottom"/>
            <w:hideMark/>
          </w:tcPr>
          <w:p w14:paraId="58AC6356" w14:textId="5102064C"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2.730.511</w:t>
            </w:r>
          </w:p>
        </w:tc>
        <w:tc>
          <w:tcPr>
            <w:tcW w:w="893" w:type="dxa"/>
            <w:shd w:val="clear" w:color="auto" w:fill="auto"/>
            <w:noWrap/>
            <w:vAlign w:val="bottom"/>
            <w:hideMark/>
          </w:tcPr>
          <w:p w14:paraId="686BC4F0" w14:textId="3257899B" w:rsidR="0079098C" w:rsidRPr="0079098C" w:rsidRDefault="0079098C" w:rsidP="0079098C">
            <w:pPr>
              <w:spacing w:after="0" w:line="240" w:lineRule="auto"/>
              <w:jc w:val="center"/>
              <w:rPr>
                <w:rFonts w:ascii="Calibri" w:eastAsia="Times New Roman" w:hAnsi="Calibri" w:cs="Calibri"/>
                <w:b/>
                <w:bCs/>
                <w:color w:val="000000"/>
                <w:sz w:val="18"/>
                <w:szCs w:val="18"/>
                <w:lang w:eastAsia="hr-HR"/>
              </w:rPr>
            </w:pPr>
            <w:r w:rsidRPr="0079098C">
              <w:rPr>
                <w:rFonts w:ascii="Calibri" w:hAnsi="Calibri" w:cs="Calibri"/>
                <w:b/>
                <w:bCs/>
                <w:color w:val="000000"/>
                <w:sz w:val="18"/>
                <w:szCs w:val="18"/>
              </w:rPr>
              <w:t>95%</w:t>
            </w:r>
          </w:p>
        </w:tc>
        <w:tc>
          <w:tcPr>
            <w:tcW w:w="784" w:type="dxa"/>
            <w:shd w:val="clear" w:color="auto" w:fill="auto"/>
            <w:noWrap/>
            <w:vAlign w:val="bottom"/>
            <w:hideMark/>
          </w:tcPr>
          <w:p w14:paraId="096F1E35" w14:textId="2F9DDD22" w:rsidR="0079098C" w:rsidRPr="0079098C" w:rsidRDefault="0079098C" w:rsidP="0079098C">
            <w:pPr>
              <w:spacing w:after="0" w:line="240" w:lineRule="auto"/>
              <w:jc w:val="center"/>
              <w:rPr>
                <w:rFonts w:ascii="Calibri" w:eastAsia="Times New Roman" w:hAnsi="Calibri" w:cs="Calibri"/>
                <w:b/>
                <w:bCs/>
                <w:color w:val="000000"/>
                <w:sz w:val="18"/>
                <w:szCs w:val="18"/>
                <w:lang w:eastAsia="hr-HR"/>
              </w:rPr>
            </w:pPr>
            <w:r w:rsidRPr="0079098C">
              <w:rPr>
                <w:rFonts w:ascii="Calibri" w:hAnsi="Calibri" w:cs="Calibri"/>
                <w:b/>
                <w:bCs/>
                <w:color w:val="000000"/>
                <w:sz w:val="18"/>
                <w:szCs w:val="18"/>
              </w:rPr>
              <w:t>107%</w:t>
            </w:r>
          </w:p>
        </w:tc>
      </w:tr>
      <w:tr w:rsidR="0079098C" w:rsidRPr="003F3913" w14:paraId="56F1F13C" w14:textId="77777777" w:rsidTr="0079098C">
        <w:trPr>
          <w:trHeight w:val="340"/>
        </w:trPr>
        <w:tc>
          <w:tcPr>
            <w:tcW w:w="672" w:type="dxa"/>
            <w:shd w:val="clear" w:color="auto" w:fill="auto"/>
            <w:noWrap/>
            <w:vAlign w:val="bottom"/>
            <w:hideMark/>
          </w:tcPr>
          <w:p w14:paraId="5459A5A2"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1.2.1</w:t>
            </w:r>
          </w:p>
        </w:tc>
        <w:tc>
          <w:tcPr>
            <w:tcW w:w="3231" w:type="dxa"/>
            <w:shd w:val="clear" w:color="auto" w:fill="auto"/>
            <w:vAlign w:val="bottom"/>
            <w:hideMark/>
          </w:tcPr>
          <w:p w14:paraId="0E3410DF" w14:textId="32853E2A"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Prihodi od ukidanja rezerviranja</w:t>
            </w:r>
          </w:p>
        </w:tc>
        <w:tc>
          <w:tcPr>
            <w:tcW w:w="1531" w:type="dxa"/>
            <w:shd w:val="clear" w:color="auto" w:fill="auto"/>
            <w:noWrap/>
            <w:vAlign w:val="bottom"/>
            <w:hideMark/>
          </w:tcPr>
          <w:p w14:paraId="7E77E664" w14:textId="18AB5C31"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5.493</w:t>
            </w:r>
          </w:p>
        </w:tc>
        <w:tc>
          <w:tcPr>
            <w:tcW w:w="1531" w:type="dxa"/>
            <w:shd w:val="clear" w:color="auto" w:fill="auto"/>
            <w:noWrap/>
            <w:vAlign w:val="bottom"/>
            <w:hideMark/>
          </w:tcPr>
          <w:p w14:paraId="58CE910C" w14:textId="74610375"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079F69FB" w14:textId="378D1A2A"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33.582</w:t>
            </w:r>
          </w:p>
        </w:tc>
        <w:tc>
          <w:tcPr>
            <w:tcW w:w="893" w:type="dxa"/>
            <w:shd w:val="clear" w:color="auto" w:fill="auto"/>
            <w:noWrap/>
            <w:vAlign w:val="bottom"/>
            <w:hideMark/>
          </w:tcPr>
          <w:p w14:paraId="09B175E3" w14:textId="6BCBE20A"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611%</w:t>
            </w:r>
          </w:p>
        </w:tc>
        <w:tc>
          <w:tcPr>
            <w:tcW w:w="784" w:type="dxa"/>
            <w:shd w:val="clear" w:color="auto" w:fill="auto"/>
            <w:noWrap/>
            <w:vAlign w:val="bottom"/>
            <w:hideMark/>
          </w:tcPr>
          <w:p w14:paraId="780445AD" w14:textId="12AC446F"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E16F2F">
              <w:rPr>
                <w:rFonts w:ascii="Calibri" w:hAnsi="Calibri" w:cs="Calibri"/>
                <w:color w:val="000000"/>
                <w:sz w:val="18"/>
                <w:szCs w:val="18"/>
              </w:rPr>
              <w:t>0%</w:t>
            </w:r>
          </w:p>
        </w:tc>
      </w:tr>
      <w:tr w:rsidR="0079098C" w:rsidRPr="003F3913" w14:paraId="6A0E032B" w14:textId="77777777" w:rsidTr="0079098C">
        <w:trPr>
          <w:trHeight w:val="340"/>
        </w:trPr>
        <w:tc>
          <w:tcPr>
            <w:tcW w:w="672" w:type="dxa"/>
            <w:shd w:val="clear" w:color="auto" w:fill="auto"/>
            <w:noWrap/>
            <w:vAlign w:val="bottom"/>
            <w:hideMark/>
          </w:tcPr>
          <w:p w14:paraId="1AC08083"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1.2.2</w:t>
            </w:r>
          </w:p>
        </w:tc>
        <w:tc>
          <w:tcPr>
            <w:tcW w:w="3231" w:type="dxa"/>
            <w:shd w:val="clear" w:color="auto" w:fill="auto"/>
            <w:vAlign w:val="bottom"/>
            <w:hideMark/>
          </w:tcPr>
          <w:p w14:paraId="660EE2C7" w14:textId="122C03AC"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Prihodi od naknadnih popusta</w:t>
            </w:r>
          </w:p>
        </w:tc>
        <w:tc>
          <w:tcPr>
            <w:tcW w:w="1531" w:type="dxa"/>
            <w:shd w:val="clear" w:color="auto" w:fill="auto"/>
            <w:noWrap/>
            <w:vAlign w:val="bottom"/>
            <w:hideMark/>
          </w:tcPr>
          <w:p w14:paraId="641EC72E" w14:textId="38DE07BA"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0BCC1637" w14:textId="502C92AF"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2F7D020A" w14:textId="10534161"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19</w:t>
            </w:r>
          </w:p>
        </w:tc>
        <w:tc>
          <w:tcPr>
            <w:tcW w:w="893" w:type="dxa"/>
            <w:shd w:val="clear" w:color="auto" w:fill="auto"/>
            <w:noWrap/>
            <w:vAlign w:val="bottom"/>
            <w:hideMark/>
          </w:tcPr>
          <w:p w14:paraId="69C40D1A" w14:textId="2234D67E"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shd w:val="clear" w:color="auto" w:fill="auto"/>
            <w:noWrap/>
            <w:vAlign w:val="bottom"/>
            <w:hideMark/>
          </w:tcPr>
          <w:p w14:paraId="213785A0" w14:textId="6581B124"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E16F2F">
              <w:rPr>
                <w:rFonts w:ascii="Calibri" w:hAnsi="Calibri" w:cs="Calibri"/>
                <w:color w:val="000000"/>
                <w:sz w:val="18"/>
                <w:szCs w:val="18"/>
              </w:rPr>
              <w:t>0%</w:t>
            </w:r>
          </w:p>
        </w:tc>
      </w:tr>
      <w:tr w:rsidR="0079098C" w:rsidRPr="003F3913" w14:paraId="559CFED5" w14:textId="77777777" w:rsidTr="0079098C">
        <w:trPr>
          <w:trHeight w:val="340"/>
        </w:trPr>
        <w:tc>
          <w:tcPr>
            <w:tcW w:w="672" w:type="dxa"/>
            <w:shd w:val="clear" w:color="auto" w:fill="auto"/>
            <w:noWrap/>
            <w:vAlign w:val="bottom"/>
            <w:hideMark/>
          </w:tcPr>
          <w:p w14:paraId="369C83BB"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1.2.3</w:t>
            </w:r>
          </w:p>
        </w:tc>
        <w:tc>
          <w:tcPr>
            <w:tcW w:w="3231" w:type="dxa"/>
            <w:shd w:val="clear" w:color="auto" w:fill="auto"/>
            <w:vAlign w:val="bottom"/>
            <w:hideMark/>
          </w:tcPr>
          <w:p w14:paraId="2D76611F" w14:textId="30F4DBDD"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Viškovi</w:t>
            </w:r>
          </w:p>
        </w:tc>
        <w:tc>
          <w:tcPr>
            <w:tcW w:w="1531" w:type="dxa"/>
            <w:shd w:val="clear" w:color="auto" w:fill="auto"/>
            <w:noWrap/>
            <w:vAlign w:val="bottom"/>
            <w:hideMark/>
          </w:tcPr>
          <w:p w14:paraId="3178A0FA" w14:textId="25848793"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4.579</w:t>
            </w:r>
          </w:p>
        </w:tc>
        <w:tc>
          <w:tcPr>
            <w:tcW w:w="1531" w:type="dxa"/>
            <w:shd w:val="clear" w:color="auto" w:fill="auto"/>
            <w:noWrap/>
            <w:vAlign w:val="bottom"/>
            <w:hideMark/>
          </w:tcPr>
          <w:p w14:paraId="7BC471EE" w14:textId="24B0D3F2"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3A53B2DE" w14:textId="0BB88B23"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1.713</w:t>
            </w:r>
          </w:p>
        </w:tc>
        <w:tc>
          <w:tcPr>
            <w:tcW w:w="893" w:type="dxa"/>
            <w:shd w:val="clear" w:color="auto" w:fill="auto"/>
            <w:noWrap/>
            <w:vAlign w:val="bottom"/>
            <w:hideMark/>
          </w:tcPr>
          <w:p w14:paraId="3801CEC8" w14:textId="399BF894"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37%</w:t>
            </w:r>
          </w:p>
        </w:tc>
        <w:tc>
          <w:tcPr>
            <w:tcW w:w="784" w:type="dxa"/>
            <w:shd w:val="clear" w:color="auto" w:fill="auto"/>
            <w:noWrap/>
            <w:vAlign w:val="bottom"/>
            <w:hideMark/>
          </w:tcPr>
          <w:p w14:paraId="3866AA38" w14:textId="27ED0364"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E16F2F">
              <w:rPr>
                <w:rFonts w:ascii="Calibri" w:hAnsi="Calibri" w:cs="Calibri"/>
                <w:color w:val="000000"/>
                <w:sz w:val="18"/>
                <w:szCs w:val="18"/>
              </w:rPr>
              <w:t>0%</w:t>
            </w:r>
          </w:p>
        </w:tc>
      </w:tr>
      <w:tr w:rsidR="0079098C" w:rsidRPr="003F3913" w14:paraId="3BA0A7E7" w14:textId="77777777" w:rsidTr="0079098C">
        <w:trPr>
          <w:trHeight w:val="340"/>
        </w:trPr>
        <w:tc>
          <w:tcPr>
            <w:tcW w:w="672" w:type="dxa"/>
            <w:shd w:val="clear" w:color="auto" w:fill="auto"/>
            <w:noWrap/>
            <w:vAlign w:val="bottom"/>
            <w:hideMark/>
          </w:tcPr>
          <w:p w14:paraId="02E91F14"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1.2.4</w:t>
            </w:r>
          </w:p>
        </w:tc>
        <w:tc>
          <w:tcPr>
            <w:tcW w:w="3231" w:type="dxa"/>
            <w:shd w:val="clear" w:color="auto" w:fill="auto"/>
            <w:vAlign w:val="bottom"/>
            <w:hideMark/>
          </w:tcPr>
          <w:p w14:paraId="4459F2BF" w14:textId="6730778E"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Prihodi od najma</w:t>
            </w:r>
          </w:p>
        </w:tc>
        <w:tc>
          <w:tcPr>
            <w:tcW w:w="1531" w:type="dxa"/>
            <w:shd w:val="clear" w:color="auto" w:fill="auto"/>
            <w:noWrap/>
            <w:vAlign w:val="bottom"/>
            <w:hideMark/>
          </w:tcPr>
          <w:p w14:paraId="49C250DF" w14:textId="2EE83B0D"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159</w:t>
            </w:r>
          </w:p>
        </w:tc>
        <w:tc>
          <w:tcPr>
            <w:tcW w:w="1531" w:type="dxa"/>
            <w:shd w:val="clear" w:color="auto" w:fill="auto"/>
            <w:noWrap/>
            <w:vAlign w:val="bottom"/>
            <w:hideMark/>
          </w:tcPr>
          <w:p w14:paraId="3EA5506E" w14:textId="6EEF1223"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159</w:t>
            </w:r>
          </w:p>
        </w:tc>
        <w:tc>
          <w:tcPr>
            <w:tcW w:w="1531" w:type="dxa"/>
            <w:shd w:val="clear" w:color="auto" w:fill="auto"/>
            <w:noWrap/>
            <w:vAlign w:val="bottom"/>
            <w:hideMark/>
          </w:tcPr>
          <w:p w14:paraId="670B687F" w14:textId="2BDBC9F3"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159</w:t>
            </w:r>
          </w:p>
        </w:tc>
        <w:tc>
          <w:tcPr>
            <w:tcW w:w="893" w:type="dxa"/>
            <w:shd w:val="clear" w:color="auto" w:fill="auto"/>
            <w:noWrap/>
            <w:vAlign w:val="bottom"/>
            <w:hideMark/>
          </w:tcPr>
          <w:p w14:paraId="3BB4B67D" w14:textId="6462C022"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100%</w:t>
            </w:r>
          </w:p>
        </w:tc>
        <w:tc>
          <w:tcPr>
            <w:tcW w:w="784" w:type="dxa"/>
            <w:shd w:val="clear" w:color="auto" w:fill="auto"/>
            <w:noWrap/>
            <w:vAlign w:val="bottom"/>
            <w:hideMark/>
          </w:tcPr>
          <w:p w14:paraId="1EC9B7E6" w14:textId="15718098"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100%</w:t>
            </w:r>
          </w:p>
        </w:tc>
      </w:tr>
      <w:tr w:rsidR="0079098C" w:rsidRPr="003F3913" w14:paraId="0C0A2025" w14:textId="77777777" w:rsidTr="0079098C">
        <w:trPr>
          <w:trHeight w:val="340"/>
        </w:trPr>
        <w:tc>
          <w:tcPr>
            <w:tcW w:w="672" w:type="dxa"/>
            <w:shd w:val="clear" w:color="auto" w:fill="auto"/>
            <w:noWrap/>
            <w:vAlign w:val="bottom"/>
            <w:hideMark/>
          </w:tcPr>
          <w:p w14:paraId="1D562F59"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1.2.5</w:t>
            </w:r>
          </w:p>
        </w:tc>
        <w:tc>
          <w:tcPr>
            <w:tcW w:w="3231" w:type="dxa"/>
            <w:shd w:val="clear" w:color="auto" w:fill="auto"/>
            <w:vAlign w:val="bottom"/>
            <w:hideMark/>
          </w:tcPr>
          <w:p w14:paraId="0E63286D" w14:textId="2122E74D"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Prihodi od prodaje imovine</w:t>
            </w:r>
          </w:p>
        </w:tc>
        <w:tc>
          <w:tcPr>
            <w:tcW w:w="1531" w:type="dxa"/>
            <w:shd w:val="clear" w:color="auto" w:fill="auto"/>
            <w:noWrap/>
            <w:vAlign w:val="bottom"/>
            <w:hideMark/>
          </w:tcPr>
          <w:p w14:paraId="0D128ED4" w14:textId="393A1C79"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72</w:t>
            </w:r>
          </w:p>
        </w:tc>
        <w:tc>
          <w:tcPr>
            <w:tcW w:w="1531" w:type="dxa"/>
            <w:shd w:val="clear" w:color="auto" w:fill="auto"/>
            <w:noWrap/>
            <w:vAlign w:val="bottom"/>
            <w:hideMark/>
          </w:tcPr>
          <w:p w14:paraId="1BFE1B75" w14:textId="47B591E3"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7E701312" w14:textId="7630DDB7"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81.351</w:t>
            </w:r>
          </w:p>
        </w:tc>
        <w:tc>
          <w:tcPr>
            <w:tcW w:w="893" w:type="dxa"/>
            <w:shd w:val="clear" w:color="auto" w:fill="auto"/>
            <w:noWrap/>
            <w:vAlign w:val="bottom"/>
            <w:hideMark/>
          </w:tcPr>
          <w:p w14:paraId="2C9882E4" w14:textId="5E84BC29"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112987%</w:t>
            </w:r>
          </w:p>
        </w:tc>
        <w:tc>
          <w:tcPr>
            <w:tcW w:w="784" w:type="dxa"/>
            <w:shd w:val="clear" w:color="auto" w:fill="auto"/>
            <w:noWrap/>
            <w:vAlign w:val="bottom"/>
            <w:hideMark/>
          </w:tcPr>
          <w:p w14:paraId="71E22749" w14:textId="27767DEB"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r>
      <w:tr w:rsidR="0079098C" w:rsidRPr="003F3913" w14:paraId="5D10F8DF" w14:textId="77777777" w:rsidTr="0079098C">
        <w:trPr>
          <w:trHeight w:val="340"/>
        </w:trPr>
        <w:tc>
          <w:tcPr>
            <w:tcW w:w="672" w:type="dxa"/>
            <w:shd w:val="clear" w:color="auto" w:fill="auto"/>
            <w:noWrap/>
            <w:vAlign w:val="bottom"/>
            <w:hideMark/>
          </w:tcPr>
          <w:p w14:paraId="7B7FF265"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1.2.6</w:t>
            </w:r>
          </w:p>
        </w:tc>
        <w:tc>
          <w:tcPr>
            <w:tcW w:w="3231" w:type="dxa"/>
            <w:shd w:val="clear" w:color="auto" w:fill="auto"/>
            <w:vAlign w:val="bottom"/>
            <w:hideMark/>
          </w:tcPr>
          <w:p w14:paraId="76830D6A" w14:textId="3098B6AC"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Naknadno utvrđeni prihodi</w:t>
            </w:r>
          </w:p>
        </w:tc>
        <w:tc>
          <w:tcPr>
            <w:tcW w:w="1531" w:type="dxa"/>
            <w:shd w:val="clear" w:color="auto" w:fill="auto"/>
            <w:noWrap/>
            <w:vAlign w:val="bottom"/>
            <w:hideMark/>
          </w:tcPr>
          <w:p w14:paraId="1CA69E1C" w14:textId="53F66F1D"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3F0C62BA" w14:textId="2DBA6894"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23.479</w:t>
            </w:r>
          </w:p>
        </w:tc>
        <w:tc>
          <w:tcPr>
            <w:tcW w:w="1531" w:type="dxa"/>
            <w:shd w:val="clear" w:color="auto" w:fill="auto"/>
            <w:noWrap/>
            <w:vAlign w:val="bottom"/>
            <w:hideMark/>
          </w:tcPr>
          <w:p w14:paraId="59344925" w14:textId="479E03E5"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23.460</w:t>
            </w:r>
          </w:p>
        </w:tc>
        <w:tc>
          <w:tcPr>
            <w:tcW w:w="893" w:type="dxa"/>
            <w:shd w:val="clear" w:color="auto" w:fill="auto"/>
            <w:noWrap/>
            <w:vAlign w:val="bottom"/>
            <w:hideMark/>
          </w:tcPr>
          <w:p w14:paraId="45E6E689" w14:textId="2F0A7A32"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shd w:val="clear" w:color="auto" w:fill="auto"/>
            <w:noWrap/>
            <w:vAlign w:val="bottom"/>
            <w:hideMark/>
          </w:tcPr>
          <w:p w14:paraId="4626E44B" w14:textId="5FA50C03"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100%</w:t>
            </w:r>
          </w:p>
        </w:tc>
      </w:tr>
      <w:tr w:rsidR="0079098C" w:rsidRPr="003F3913" w14:paraId="727B7255" w14:textId="77777777" w:rsidTr="0079098C">
        <w:trPr>
          <w:trHeight w:val="340"/>
        </w:trPr>
        <w:tc>
          <w:tcPr>
            <w:tcW w:w="672" w:type="dxa"/>
            <w:shd w:val="clear" w:color="auto" w:fill="auto"/>
            <w:noWrap/>
            <w:vAlign w:val="bottom"/>
            <w:hideMark/>
          </w:tcPr>
          <w:p w14:paraId="6F2864DE"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1.2.7</w:t>
            </w:r>
          </w:p>
        </w:tc>
        <w:tc>
          <w:tcPr>
            <w:tcW w:w="3231" w:type="dxa"/>
            <w:shd w:val="clear" w:color="auto" w:fill="auto"/>
            <w:vAlign w:val="bottom"/>
            <w:hideMark/>
          </w:tcPr>
          <w:p w14:paraId="7BB27B07" w14:textId="60D36E1A"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Naknade šteta iz tekućeg poslovanja</w:t>
            </w:r>
          </w:p>
        </w:tc>
        <w:tc>
          <w:tcPr>
            <w:tcW w:w="1531" w:type="dxa"/>
            <w:shd w:val="clear" w:color="auto" w:fill="auto"/>
            <w:noWrap/>
            <w:vAlign w:val="bottom"/>
            <w:hideMark/>
          </w:tcPr>
          <w:p w14:paraId="0926A86B" w14:textId="11505F1F"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2.074</w:t>
            </w:r>
          </w:p>
        </w:tc>
        <w:tc>
          <w:tcPr>
            <w:tcW w:w="1531" w:type="dxa"/>
            <w:shd w:val="clear" w:color="auto" w:fill="auto"/>
            <w:noWrap/>
            <w:vAlign w:val="bottom"/>
            <w:hideMark/>
          </w:tcPr>
          <w:p w14:paraId="2B17C180" w14:textId="5378CB2F"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496720EB" w14:textId="133CEB12"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893" w:type="dxa"/>
            <w:shd w:val="clear" w:color="auto" w:fill="auto"/>
            <w:noWrap/>
            <w:vAlign w:val="bottom"/>
            <w:hideMark/>
          </w:tcPr>
          <w:p w14:paraId="1466B3E9" w14:textId="4E6F07C1"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shd w:val="clear" w:color="auto" w:fill="auto"/>
            <w:noWrap/>
            <w:vAlign w:val="bottom"/>
            <w:hideMark/>
          </w:tcPr>
          <w:p w14:paraId="4310B1A2" w14:textId="52D8EF89"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r>
      <w:tr w:rsidR="0079098C" w:rsidRPr="003F3913" w14:paraId="26072241" w14:textId="77777777" w:rsidTr="0079098C">
        <w:trPr>
          <w:trHeight w:val="340"/>
        </w:trPr>
        <w:tc>
          <w:tcPr>
            <w:tcW w:w="672" w:type="dxa"/>
            <w:shd w:val="clear" w:color="auto" w:fill="auto"/>
            <w:noWrap/>
            <w:vAlign w:val="bottom"/>
            <w:hideMark/>
          </w:tcPr>
          <w:p w14:paraId="04DE28F5"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1.2.8</w:t>
            </w:r>
          </w:p>
        </w:tc>
        <w:tc>
          <w:tcPr>
            <w:tcW w:w="3231" w:type="dxa"/>
            <w:shd w:val="clear" w:color="auto" w:fill="auto"/>
            <w:vAlign w:val="bottom"/>
            <w:hideMark/>
          </w:tcPr>
          <w:p w14:paraId="59D5FF11" w14:textId="2147CEF2"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 xml:space="preserve">Subvencije Države za električnu energiju  </w:t>
            </w:r>
          </w:p>
        </w:tc>
        <w:tc>
          <w:tcPr>
            <w:tcW w:w="1531" w:type="dxa"/>
            <w:shd w:val="clear" w:color="auto" w:fill="auto"/>
            <w:noWrap/>
            <w:vAlign w:val="bottom"/>
            <w:hideMark/>
          </w:tcPr>
          <w:p w14:paraId="01A714A2" w14:textId="446129E9"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352.187</w:t>
            </w:r>
          </w:p>
        </w:tc>
        <w:tc>
          <w:tcPr>
            <w:tcW w:w="1531" w:type="dxa"/>
            <w:shd w:val="clear" w:color="auto" w:fill="auto"/>
            <w:noWrap/>
            <w:vAlign w:val="bottom"/>
            <w:hideMark/>
          </w:tcPr>
          <w:p w14:paraId="01CF3C15" w14:textId="178F8FA8"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270.226</w:t>
            </w:r>
          </w:p>
        </w:tc>
        <w:tc>
          <w:tcPr>
            <w:tcW w:w="1531" w:type="dxa"/>
            <w:shd w:val="clear" w:color="auto" w:fill="auto"/>
            <w:noWrap/>
            <w:vAlign w:val="bottom"/>
            <w:hideMark/>
          </w:tcPr>
          <w:p w14:paraId="0640B212" w14:textId="48526706"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257.515</w:t>
            </w:r>
          </w:p>
        </w:tc>
        <w:tc>
          <w:tcPr>
            <w:tcW w:w="893" w:type="dxa"/>
            <w:shd w:val="clear" w:color="auto" w:fill="auto"/>
            <w:noWrap/>
            <w:vAlign w:val="bottom"/>
            <w:hideMark/>
          </w:tcPr>
          <w:p w14:paraId="7AFC239A" w14:textId="269DD009"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73%</w:t>
            </w:r>
          </w:p>
        </w:tc>
        <w:tc>
          <w:tcPr>
            <w:tcW w:w="784" w:type="dxa"/>
            <w:shd w:val="clear" w:color="auto" w:fill="auto"/>
            <w:noWrap/>
            <w:vAlign w:val="bottom"/>
            <w:hideMark/>
          </w:tcPr>
          <w:p w14:paraId="35EED250" w14:textId="0F40FAFA"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95%</w:t>
            </w:r>
          </w:p>
        </w:tc>
      </w:tr>
      <w:tr w:rsidR="0079098C" w:rsidRPr="003F3913" w14:paraId="4486C8F8" w14:textId="77777777" w:rsidTr="0079098C">
        <w:trPr>
          <w:trHeight w:val="340"/>
        </w:trPr>
        <w:tc>
          <w:tcPr>
            <w:tcW w:w="672" w:type="dxa"/>
            <w:shd w:val="clear" w:color="auto" w:fill="auto"/>
            <w:noWrap/>
            <w:vAlign w:val="bottom"/>
            <w:hideMark/>
          </w:tcPr>
          <w:p w14:paraId="7AB9CD42"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1.2.9</w:t>
            </w:r>
          </w:p>
        </w:tc>
        <w:tc>
          <w:tcPr>
            <w:tcW w:w="3231" w:type="dxa"/>
            <w:shd w:val="clear" w:color="auto" w:fill="auto"/>
            <w:vAlign w:val="bottom"/>
            <w:hideMark/>
          </w:tcPr>
          <w:p w14:paraId="45045F47" w14:textId="1A6A5FF2"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 xml:space="preserve">Subvencije FZOEU za GIO </w:t>
            </w:r>
          </w:p>
        </w:tc>
        <w:tc>
          <w:tcPr>
            <w:tcW w:w="1531" w:type="dxa"/>
            <w:shd w:val="clear" w:color="auto" w:fill="auto"/>
            <w:noWrap/>
            <w:vAlign w:val="bottom"/>
            <w:hideMark/>
          </w:tcPr>
          <w:p w14:paraId="53C7FBD6" w14:textId="7530B62E"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144.412</w:t>
            </w:r>
          </w:p>
        </w:tc>
        <w:tc>
          <w:tcPr>
            <w:tcW w:w="1531" w:type="dxa"/>
            <w:shd w:val="clear" w:color="auto" w:fill="auto"/>
            <w:noWrap/>
            <w:vAlign w:val="bottom"/>
            <w:hideMark/>
          </w:tcPr>
          <w:p w14:paraId="3A1520CD" w14:textId="2940585C"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57982D11" w14:textId="71AD2AF4" w:rsidR="0079098C" w:rsidRPr="005C7490" w:rsidRDefault="0079098C" w:rsidP="0079098C">
            <w:pPr>
              <w:spacing w:after="0" w:line="240" w:lineRule="auto"/>
              <w:jc w:val="center"/>
              <w:rPr>
                <w:rFonts w:ascii="Calibri" w:eastAsia="Times New Roman" w:hAnsi="Calibri" w:cs="Calibri"/>
                <w:sz w:val="18"/>
                <w:szCs w:val="18"/>
                <w:lang w:eastAsia="hr-HR"/>
              </w:rPr>
            </w:pPr>
            <w:r w:rsidRPr="005C7490">
              <w:rPr>
                <w:rFonts w:ascii="Calibri" w:hAnsi="Calibri" w:cs="Calibri"/>
                <w:color w:val="000000"/>
                <w:sz w:val="18"/>
                <w:szCs w:val="18"/>
              </w:rPr>
              <w:t>0</w:t>
            </w:r>
          </w:p>
        </w:tc>
        <w:tc>
          <w:tcPr>
            <w:tcW w:w="893" w:type="dxa"/>
            <w:shd w:val="clear" w:color="auto" w:fill="auto"/>
            <w:noWrap/>
            <w:vAlign w:val="bottom"/>
            <w:hideMark/>
          </w:tcPr>
          <w:p w14:paraId="0405C1CB" w14:textId="67B09AF1"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shd w:val="clear" w:color="auto" w:fill="auto"/>
            <w:noWrap/>
            <w:vAlign w:val="bottom"/>
            <w:hideMark/>
          </w:tcPr>
          <w:p w14:paraId="6BE82956" w14:textId="72BC89A0"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F46B1C">
              <w:rPr>
                <w:rFonts w:ascii="Calibri" w:hAnsi="Calibri" w:cs="Calibri"/>
                <w:color w:val="000000"/>
                <w:sz w:val="18"/>
                <w:szCs w:val="18"/>
              </w:rPr>
              <w:t>0%</w:t>
            </w:r>
          </w:p>
        </w:tc>
      </w:tr>
      <w:tr w:rsidR="0079098C" w:rsidRPr="003F3913" w14:paraId="62AFA6ED" w14:textId="77777777" w:rsidTr="0079098C">
        <w:trPr>
          <w:trHeight w:val="340"/>
        </w:trPr>
        <w:tc>
          <w:tcPr>
            <w:tcW w:w="672" w:type="dxa"/>
            <w:shd w:val="clear" w:color="auto" w:fill="auto"/>
            <w:noWrap/>
            <w:vAlign w:val="bottom"/>
            <w:hideMark/>
          </w:tcPr>
          <w:p w14:paraId="01D8AE56"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1.2.10</w:t>
            </w:r>
          </w:p>
        </w:tc>
        <w:tc>
          <w:tcPr>
            <w:tcW w:w="3231" w:type="dxa"/>
            <w:shd w:val="clear" w:color="auto" w:fill="auto"/>
            <w:vAlign w:val="bottom"/>
            <w:hideMark/>
          </w:tcPr>
          <w:p w14:paraId="70A4BD5B" w14:textId="6A5BFBC9" w:rsidR="0079098C" w:rsidRPr="005C7490" w:rsidRDefault="0079098C" w:rsidP="0079098C">
            <w:pPr>
              <w:spacing w:after="0" w:line="240" w:lineRule="auto"/>
              <w:rPr>
                <w:rFonts w:eastAsia="Times New Roman" w:cstheme="minorHAnsi"/>
                <w:color w:val="000000"/>
                <w:sz w:val="18"/>
                <w:szCs w:val="18"/>
                <w:lang w:eastAsia="hr-HR"/>
              </w:rPr>
            </w:pPr>
            <w:r w:rsidRPr="005C7490">
              <w:rPr>
                <w:rFonts w:ascii="Calibri" w:hAnsi="Calibri" w:cs="Calibri"/>
                <w:sz w:val="18"/>
                <w:szCs w:val="18"/>
              </w:rPr>
              <w:t>Prihodi od prefakturiranih troškova</w:t>
            </w:r>
          </w:p>
        </w:tc>
        <w:tc>
          <w:tcPr>
            <w:tcW w:w="1531" w:type="dxa"/>
            <w:shd w:val="clear" w:color="auto" w:fill="auto"/>
            <w:noWrap/>
            <w:vAlign w:val="bottom"/>
            <w:hideMark/>
          </w:tcPr>
          <w:p w14:paraId="7B013B07" w14:textId="1CDA6DA3"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144</w:t>
            </w:r>
          </w:p>
        </w:tc>
        <w:tc>
          <w:tcPr>
            <w:tcW w:w="1531" w:type="dxa"/>
            <w:shd w:val="clear" w:color="auto" w:fill="auto"/>
            <w:noWrap/>
            <w:vAlign w:val="bottom"/>
            <w:hideMark/>
          </w:tcPr>
          <w:p w14:paraId="79426CC2" w14:textId="38342346"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04533A01" w14:textId="24DDBA45"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893" w:type="dxa"/>
            <w:shd w:val="clear" w:color="auto" w:fill="auto"/>
            <w:noWrap/>
            <w:vAlign w:val="bottom"/>
            <w:hideMark/>
          </w:tcPr>
          <w:p w14:paraId="07E4DEA8" w14:textId="739305B9"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shd w:val="clear" w:color="auto" w:fill="auto"/>
            <w:noWrap/>
            <w:vAlign w:val="bottom"/>
            <w:hideMark/>
          </w:tcPr>
          <w:p w14:paraId="723E7F89" w14:textId="73550550"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F46B1C">
              <w:rPr>
                <w:rFonts w:ascii="Calibri" w:hAnsi="Calibri" w:cs="Calibri"/>
                <w:color w:val="000000"/>
                <w:sz w:val="18"/>
                <w:szCs w:val="18"/>
              </w:rPr>
              <w:t>0%</w:t>
            </w:r>
          </w:p>
        </w:tc>
      </w:tr>
      <w:tr w:rsidR="0079098C" w:rsidRPr="003F3913" w14:paraId="75CF96DC" w14:textId="77777777" w:rsidTr="0079098C">
        <w:trPr>
          <w:trHeight w:val="340"/>
        </w:trPr>
        <w:tc>
          <w:tcPr>
            <w:tcW w:w="672" w:type="dxa"/>
            <w:shd w:val="clear" w:color="auto" w:fill="auto"/>
            <w:noWrap/>
            <w:vAlign w:val="bottom"/>
            <w:hideMark/>
          </w:tcPr>
          <w:p w14:paraId="07A3AB31"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1.2.11</w:t>
            </w:r>
          </w:p>
        </w:tc>
        <w:tc>
          <w:tcPr>
            <w:tcW w:w="3231" w:type="dxa"/>
            <w:shd w:val="clear" w:color="auto" w:fill="auto"/>
            <w:vAlign w:val="bottom"/>
            <w:hideMark/>
          </w:tcPr>
          <w:p w14:paraId="2CEB2927" w14:textId="0F623813" w:rsidR="0079098C" w:rsidRPr="005C7490" w:rsidRDefault="0079098C" w:rsidP="0079098C">
            <w:pPr>
              <w:spacing w:after="0" w:line="240" w:lineRule="auto"/>
              <w:rPr>
                <w:rFonts w:eastAsia="Times New Roman" w:cstheme="minorHAnsi"/>
                <w:color w:val="000000"/>
                <w:sz w:val="18"/>
                <w:szCs w:val="18"/>
                <w:lang w:eastAsia="hr-HR"/>
              </w:rPr>
            </w:pPr>
            <w:r w:rsidRPr="005C7490">
              <w:rPr>
                <w:rFonts w:ascii="Calibri" w:hAnsi="Calibri" w:cs="Calibri"/>
                <w:sz w:val="18"/>
                <w:szCs w:val="18"/>
              </w:rPr>
              <w:t>Naplate šteta</w:t>
            </w:r>
          </w:p>
        </w:tc>
        <w:tc>
          <w:tcPr>
            <w:tcW w:w="1531" w:type="dxa"/>
            <w:shd w:val="clear" w:color="auto" w:fill="auto"/>
            <w:noWrap/>
            <w:vAlign w:val="bottom"/>
            <w:hideMark/>
          </w:tcPr>
          <w:p w14:paraId="54969967" w14:textId="4E586F2D"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126.361</w:t>
            </w:r>
          </w:p>
        </w:tc>
        <w:tc>
          <w:tcPr>
            <w:tcW w:w="1531" w:type="dxa"/>
            <w:shd w:val="clear" w:color="auto" w:fill="auto"/>
            <w:noWrap/>
            <w:vAlign w:val="bottom"/>
            <w:hideMark/>
          </w:tcPr>
          <w:p w14:paraId="3087F543" w14:textId="79B9AFDF"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95.597</w:t>
            </w:r>
          </w:p>
        </w:tc>
        <w:tc>
          <w:tcPr>
            <w:tcW w:w="1531" w:type="dxa"/>
            <w:shd w:val="clear" w:color="auto" w:fill="auto"/>
            <w:noWrap/>
            <w:vAlign w:val="bottom"/>
            <w:hideMark/>
          </w:tcPr>
          <w:p w14:paraId="6AD8D3F1" w14:textId="17E88048"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113.689</w:t>
            </w:r>
          </w:p>
        </w:tc>
        <w:tc>
          <w:tcPr>
            <w:tcW w:w="893" w:type="dxa"/>
            <w:shd w:val="clear" w:color="auto" w:fill="auto"/>
            <w:noWrap/>
            <w:vAlign w:val="bottom"/>
            <w:hideMark/>
          </w:tcPr>
          <w:p w14:paraId="1B47C521" w14:textId="400BE35B"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90%</w:t>
            </w:r>
          </w:p>
        </w:tc>
        <w:tc>
          <w:tcPr>
            <w:tcW w:w="784" w:type="dxa"/>
            <w:shd w:val="clear" w:color="auto" w:fill="auto"/>
            <w:noWrap/>
            <w:vAlign w:val="bottom"/>
            <w:hideMark/>
          </w:tcPr>
          <w:p w14:paraId="2B625124" w14:textId="4F816BF5"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119%</w:t>
            </w:r>
          </w:p>
        </w:tc>
      </w:tr>
      <w:tr w:rsidR="0079098C" w:rsidRPr="003F3913" w14:paraId="271673BE" w14:textId="77777777" w:rsidTr="0079098C">
        <w:trPr>
          <w:trHeight w:val="340"/>
        </w:trPr>
        <w:tc>
          <w:tcPr>
            <w:tcW w:w="672" w:type="dxa"/>
            <w:shd w:val="clear" w:color="auto" w:fill="auto"/>
            <w:noWrap/>
            <w:vAlign w:val="bottom"/>
            <w:hideMark/>
          </w:tcPr>
          <w:p w14:paraId="37DB6C62"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1.2.12</w:t>
            </w:r>
          </w:p>
        </w:tc>
        <w:tc>
          <w:tcPr>
            <w:tcW w:w="3231" w:type="dxa"/>
            <w:shd w:val="clear" w:color="auto" w:fill="auto"/>
            <w:vAlign w:val="bottom"/>
            <w:hideMark/>
          </w:tcPr>
          <w:p w14:paraId="77D9CC2E" w14:textId="1C5B81CB"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Prihodi od povrata za doškolovanje</w:t>
            </w:r>
          </w:p>
        </w:tc>
        <w:tc>
          <w:tcPr>
            <w:tcW w:w="1531" w:type="dxa"/>
            <w:shd w:val="clear" w:color="auto" w:fill="auto"/>
            <w:noWrap/>
            <w:vAlign w:val="bottom"/>
            <w:hideMark/>
          </w:tcPr>
          <w:p w14:paraId="797B0615" w14:textId="18F7CA75"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1.287</w:t>
            </w:r>
          </w:p>
        </w:tc>
        <w:tc>
          <w:tcPr>
            <w:tcW w:w="1531" w:type="dxa"/>
            <w:shd w:val="clear" w:color="auto" w:fill="auto"/>
            <w:noWrap/>
            <w:vAlign w:val="bottom"/>
            <w:hideMark/>
          </w:tcPr>
          <w:p w14:paraId="7FA539C1" w14:textId="3585167E"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shd w:val="clear" w:color="auto" w:fill="auto"/>
            <w:noWrap/>
            <w:vAlign w:val="bottom"/>
            <w:hideMark/>
          </w:tcPr>
          <w:p w14:paraId="00A59123" w14:textId="57FC3DD1"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893" w:type="dxa"/>
            <w:shd w:val="clear" w:color="auto" w:fill="auto"/>
            <w:noWrap/>
            <w:vAlign w:val="bottom"/>
            <w:hideMark/>
          </w:tcPr>
          <w:p w14:paraId="6ABD8E1B" w14:textId="27B705C9"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shd w:val="clear" w:color="auto" w:fill="auto"/>
            <w:noWrap/>
            <w:vAlign w:val="bottom"/>
            <w:hideMark/>
          </w:tcPr>
          <w:p w14:paraId="050189F7" w14:textId="31BB6B76"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r>
      <w:tr w:rsidR="0079098C" w:rsidRPr="003F3913" w14:paraId="54672A9A" w14:textId="77777777" w:rsidTr="0079098C">
        <w:trPr>
          <w:trHeight w:val="340"/>
        </w:trPr>
        <w:tc>
          <w:tcPr>
            <w:tcW w:w="672" w:type="dxa"/>
            <w:shd w:val="clear" w:color="auto" w:fill="auto"/>
            <w:noWrap/>
            <w:vAlign w:val="bottom"/>
            <w:hideMark/>
          </w:tcPr>
          <w:p w14:paraId="2362FD8B"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1.2.13</w:t>
            </w:r>
          </w:p>
        </w:tc>
        <w:tc>
          <w:tcPr>
            <w:tcW w:w="3231" w:type="dxa"/>
            <w:shd w:val="clear" w:color="auto" w:fill="auto"/>
            <w:vAlign w:val="bottom"/>
            <w:hideMark/>
          </w:tcPr>
          <w:p w14:paraId="27A575D8" w14:textId="754BBBE3" w:rsidR="0079098C" w:rsidRPr="005C7490" w:rsidRDefault="0079098C" w:rsidP="0079098C">
            <w:pPr>
              <w:spacing w:after="0" w:line="240" w:lineRule="auto"/>
              <w:rPr>
                <w:rFonts w:eastAsia="Times New Roman" w:cstheme="minorHAnsi"/>
                <w:sz w:val="18"/>
                <w:szCs w:val="18"/>
                <w:lang w:eastAsia="hr-HR"/>
              </w:rPr>
            </w:pPr>
            <w:r w:rsidRPr="005C7490">
              <w:rPr>
                <w:rFonts w:ascii="Calibri" w:hAnsi="Calibri" w:cs="Calibri"/>
                <w:sz w:val="18"/>
                <w:szCs w:val="18"/>
              </w:rPr>
              <w:t xml:space="preserve">Odgođeni prihodi od potpora </w:t>
            </w:r>
          </w:p>
        </w:tc>
        <w:tc>
          <w:tcPr>
            <w:tcW w:w="1531" w:type="dxa"/>
            <w:shd w:val="clear" w:color="auto" w:fill="auto"/>
            <w:noWrap/>
            <w:vAlign w:val="bottom"/>
            <w:hideMark/>
          </w:tcPr>
          <w:p w14:paraId="11A6A9BA" w14:textId="16DC8F54"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sz w:val="18"/>
                <w:szCs w:val="18"/>
              </w:rPr>
              <w:t>2.229.409</w:t>
            </w:r>
          </w:p>
        </w:tc>
        <w:tc>
          <w:tcPr>
            <w:tcW w:w="1531" w:type="dxa"/>
            <w:shd w:val="clear" w:color="auto" w:fill="auto"/>
            <w:noWrap/>
            <w:vAlign w:val="bottom"/>
            <w:hideMark/>
          </w:tcPr>
          <w:p w14:paraId="41C9F845" w14:textId="2D7653C4"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sz w:val="18"/>
                <w:szCs w:val="18"/>
              </w:rPr>
              <w:t>2.166.172</w:t>
            </w:r>
          </w:p>
        </w:tc>
        <w:tc>
          <w:tcPr>
            <w:tcW w:w="1531" w:type="dxa"/>
            <w:shd w:val="clear" w:color="auto" w:fill="auto"/>
            <w:noWrap/>
            <w:vAlign w:val="bottom"/>
            <w:hideMark/>
          </w:tcPr>
          <w:p w14:paraId="7C4655A4" w14:textId="3703C370"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2.219.022</w:t>
            </w:r>
          </w:p>
        </w:tc>
        <w:tc>
          <w:tcPr>
            <w:tcW w:w="893" w:type="dxa"/>
            <w:shd w:val="clear" w:color="auto" w:fill="auto"/>
            <w:noWrap/>
            <w:vAlign w:val="bottom"/>
            <w:hideMark/>
          </w:tcPr>
          <w:p w14:paraId="315067F8" w14:textId="6FAE73BC"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100%</w:t>
            </w:r>
          </w:p>
        </w:tc>
        <w:tc>
          <w:tcPr>
            <w:tcW w:w="784" w:type="dxa"/>
            <w:shd w:val="clear" w:color="auto" w:fill="auto"/>
            <w:noWrap/>
            <w:vAlign w:val="bottom"/>
            <w:hideMark/>
          </w:tcPr>
          <w:p w14:paraId="74B16471" w14:textId="594657AB"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102%</w:t>
            </w:r>
          </w:p>
        </w:tc>
      </w:tr>
      <w:tr w:rsidR="0079098C" w:rsidRPr="003F3913" w14:paraId="2B0FEEBE" w14:textId="77777777" w:rsidTr="0079098C">
        <w:trPr>
          <w:trHeight w:val="340"/>
        </w:trPr>
        <w:tc>
          <w:tcPr>
            <w:tcW w:w="672" w:type="dxa"/>
            <w:shd w:val="clear" w:color="auto" w:fill="auto"/>
            <w:noWrap/>
            <w:vAlign w:val="bottom"/>
            <w:hideMark/>
          </w:tcPr>
          <w:p w14:paraId="14DA30FC"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2.</w:t>
            </w:r>
          </w:p>
        </w:tc>
        <w:tc>
          <w:tcPr>
            <w:tcW w:w="3231" w:type="dxa"/>
            <w:shd w:val="clear" w:color="auto" w:fill="auto"/>
            <w:vAlign w:val="bottom"/>
            <w:hideMark/>
          </w:tcPr>
          <w:p w14:paraId="119601A0"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FINANCIJSKI PRIHODI</w:t>
            </w:r>
          </w:p>
        </w:tc>
        <w:tc>
          <w:tcPr>
            <w:tcW w:w="1531" w:type="dxa"/>
            <w:shd w:val="clear" w:color="auto" w:fill="auto"/>
            <w:noWrap/>
            <w:vAlign w:val="bottom"/>
            <w:hideMark/>
          </w:tcPr>
          <w:p w14:paraId="42C914F1" w14:textId="7E60FB4D"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75.723</w:t>
            </w:r>
          </w:p>
        </w:tc>
        <w:tc>
          <w:tcPr>
            <w:tcW w:w="1531" w:type="dxa"/>
            <w:shd w:val="clear" w:color="auto" w:fill="auto"/>
            <w:noWrap/>
            <w:vAlign w:val="bottom"/>
            <w:hideMark/>
          </w:tcPr>
          <w:p w14:paraId="373535C5" w14:textId="318312C9"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70.000</w:t>
            </w:r>
          </w:p>
        </w:tc>
        <w:tc>
          <w:tcPr>
            <w:tcW w:w="1531" w:type="dxa"/>
            <w:shd w:val="clear" w:color="auto" w:fill="auto"/>
            <w:noWrap/>
            <w:vAlign w:val="bottom"/>
            <w:hideMark/>
          </w:tcPr>
          <w:p w14:paraId="0F5CA6B4" w14:textId="6BE42E11"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68.945</w:t>
            </w:r>
          </w:p>
        </w:tc>
        <w:tc>
          <w:tcPr>
            <w:tcW w:w="893" w:type="dxa"/>
            <w:shd w:val="clear" w:color="auto" w:fill="auto"/>
            <w:noWrap/>
            <w:vAlign w:val="bottom"/>
            <w:hideMark/>
          </w:tcPr>
          <w:p w14:paraId="7073FC96" w14:textId="1F268111" w:rsidR="0079098C" w:rsidRPr="0079098C" w:rsidRDefault="0079098C" w:rsidP="0079098C">
            <w:pPr>
              <w:spacing w:after="0" w:line="240" w:lineRule="auto"/>
              <w:jc w:val="center"/>
              <w:rPr>
                <w:rFonts w:ascii="Calibri" w:eastAsia="Times New Roman" w:hAnsi="Calibri" w:cs="Calibri"/>
                <w:b/>
                <w:bCs/>
                <w:color w:val="000000"/>
                <w:sz w:val="18"/>
                <w:szCs w:val="18"/>
                <w:lang w:eastAsia="hr-HR"/>
              </w:rPr>
            </w:pPr>
            <w:r w:rsidRPr="0079098C">
              <w:rPr>
                <w:rFonts w:ascii="Calibri" w:hAnsi="Calibri" w:cs="Calibri"/>
                <w:b/>
                <w:bCs/>
                <w:color w:val="000000"/>
                <w:sz w:val="18"/>
                <w:szCs w:val="18"/>
              </w:rPr>
              <w:t>91%</w:t>
            </w:r>
          </w:p>
        </w:tc>
        <w:tc>
          <w:tcPr>
            <w:tcW w:w="784" w:type="dxa"/>
            <w:shd w:val="clear" w:color="auto" w:fill="auto"/>
            <w:noWrap/>
            <w:vAlign w:val="bottom"/>
            <w:hideMark/>
          </w:tcPr>
          <w:p w14:paraId="2CAE0559" w14:textId="54D84076" w:rsidR="0079098C" w:rsidRPr="0079098C" w:rsidRDefault="0079098C" w:rsidP="0079098C">
            <w:pPr>
              <w:spacing w:after="0" w:line="240" w:lineRule="auto"/>
              <w:jc w:val="center"/>
              <w:rPr>
                <w:rFonts w:ascii="Calibri" w:eastAsia="Times New Roman" w:hAnsi="Calibri" w:cs="Calibri"/>
                <w:b/>
                <w:bCs/>
                <w:color w:val="000000"/>
                <w:sz w:val="18"/>
                <w:szCs w:val="18"/>
                <w:lang w:eastAsia="hr-HR"/>
              </w:rPr>
            </w:pPr>
            <w:r w:rsidRPr="0079098C">
              <w:rPr>
                <w:rFonts w:ascii="Calibri" w:hAnsi="Calibri" w:cs="Calibri"/>
                <w:b/>
                <w:bCs/>
                <w:color w:val="000000"/>
                <w:sz w:val="18"/>
                <w:szCs w:val="18"/>
              </w:rPr>
              <w:t>98%</w:t>
            </w:r>
          </w:p>
        </w:tc>
      </w:tr>
      <w:tr w:rsidR="0079098C" w:rsidRPr="003F3913" w14:paraId="571FCED4" w14:textId="77777777" w:rsidTr="0079098C">
        <w:trPr>
          <w:trHeight w:val="340"/>
        </w:trPr>
        <w:tc>
          <w:tcPr>
            <w:tcW w:w="672" w:type="dxa"/>
            <w:shd w:val="clear" w:color="auto" w:fill="auto"/>
            <w:noWrap/>
            <w:vAlign w:val="bottom"/>
            <w:hideMark/>
          </w:tcPr>
          <w:p w14:paraId="1D46A679"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2.1</w:t>
            </w:r>
          </w:p>
        </w:tc>
        <w:tc>
          <w:tcPr>
            <w:tcW w:w="3231" w:type="dxa"/>
            <w:shd w:val="clear" w:color="auto" w:fill="auto"/>
            <w:noWrap/>
            <w:vAlign w:val="bottom"/>
            <w:hideMark/>
          </w:tcPr>
          <w:p w14:paraId="3A6D3351"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Ostali prihodi s osnove kamata</w:t>
            </w:r>
          </w:p>
        </w:tc>
        <w:tc>
          <w:tcPr>
            <w:tcW w:w="1531" w:type="dxa"/>
            <w:shd w:val="clear" w:color="auto" w:fill="auto"/>
            <w:noWrap/>
            <w:vAlign w:val="bottom"/>
            <w:hideMark/>
          </w:tcPr>
          <w:p w14:paraId="0A568F95" w14:textId="3DEDF68D"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75.670</w:t>
            </w:r>
          </w:p>
        </w:tc>
        <w:tc>
          <w:tcPr>
            <w:tcW w:w="1531" w:type="dxa"/>
            <w:shd w:val="clear" w:color="auto" w:fill="auto"/>
            <w:noWrap/>
            <w:vAlign w:val="bottom"/>
            <w:hideMark/>
          </w:tcPr>
          <w:p w14:paraId="35CF02D9" w14:textId="5BE977CA"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70.000</w:t>
            </w:r>
          </w:p>
        </w:tc>
        <w:tc>
          <w:tcPr>
            <w:tcW w:w="1531" w:type="dxa"/>
            <w:shd w:val="clear" w:color="auto" w:fill="auto"/>
            <w:noWrap/>
            <w:vAlign w:val="bottom"/>
            <w:hideMark/>
          </w:tcPr>
          <w:p w14:paraId="61AD0FC1" w14:textId="35235919"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68.945</w:t>
            </w:r>
          </w:p>
        </w:tc>
        <w:tc>
          <w:tcPr>
            <w:tcW w:w="893" w:type="dxa"/>
            <w:shd w:val="clear" w:color="auto" w:fill="auto"/>
            <w:noWrap/>
            <w:vAlign w:val="bottom"/>
            <w:hideMark/>
          </w:tcPr>
          <w:p w14:paraId="47423F8C" w14:textId="0120A8F3"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91%</w:t>
            </w:r>
          </w:p>
        </w:tc>
        <w:tc>
          <w:tcPr>
            <w:tcW w:w="784" w:type="dxa"/>
            <w:shd w:val="clear" w:color="auto" w:fill="auto"/>
            <w:noWrap/>
            <w:vAlign w:val="bottom"/>
            <w:hideMark/>
          </w:tcPr>
          <w:p w14:paraId="538CAEEE" w14:textId="1C48F6CF"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98%</w:t>
            </w:r>
          </w:p>
        </w:tc>
      </w:tr>
      <w:tr w:rsidR="0079098C" w:rsidRPr="003F3913" w14:paraId="024D6CBB" w14:textId="77777777" w:rsidTr="0079098C">
        <w:trPr>
          <w:trHeight w:val="340"/>
        </w:trPr>
        <w:tc>
          <w:tcPr>
            <w:tcW w:w="672" w:type="dxa"/>
            <w:tcBorders>
              <w:bottom w:val="single" w:sz="4" w:space="0" w:color="auto"/>
            </w:tcBorders>
            <w:shd w:val="clear" w:color="auto" w:fill="auto"/>
            <w:noWrap/>
            <w:vAlign w:val="bottom"/>
            <w:hideMark/>
          </w:tcPr>
          <w:p w14:paraId="18B306AA" w14:textId="7C91364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2.</w:t>
            </w:r>
            <w:r>
              <w:rPr>
                <w:rFonts w:eastAsia="Times New Roman" w:cstheme="minorHAnsi"/>
                <w:color w:val="000000"/>
                <w:sz w:val="18"/>
                <w:szCs w:val="18"/>
                <w:lang w:eastAsia="hr-HR"/>
              </w:rPr>
              <w:t>2</w:t>
            </w:r>
          </w:p>
        </w:tc>
        <w:tc>
          <w:tcPr>
            <w:tcW w:w="3231" w:type="dxa"/>
            <w:tcBorders>
              <w:bottom w:val="single" w:sz="4" w:space="0" w:color="auto"/>
            </w:tcBorders>
            <w:shd w:val="clear" w:color="auto" w:fill="auto"/>
            <w:noWrap/>
            <w:vAlign w:val="bottom"/>
            <w:hideMark/>
          </w:tcPr>
          <w:p w14:paraId="27137828" w14:textId="77777777" w:rsidR="0079098C" w:rsidRPr="003F3913" w:rsidRDefault="0079098C" w:rsidP="0079098C">
            <w:pPr>
              <w:spacing w:after="0" w:line="240" w:lineRule="auto"/>
              <w:rPr>
                <w:rFonts w:eastAsia="Times New Roman" w:cstheme="minorHAnsi"/>
                <w:color w:val="000000"/>
                <w:sz w:val="18"/>
                <w:szCs w:val="18"/>
                <w:lang w:eastAsia="hr-HR"/>
              </w:rPr>
            </w:pPr>
            <w:r w:rsidRPr="003F3913">
              <w:rPr>
                <w:rFonts w:eastAsia="Times New Roman" w:cstheme="minorHAnsi"/>
                <w:color w:val="000000"/>
                <w:sz w:val="18"/>
                <w:szCs w:val="18"/>
                <w:lang w:eastAsia="hr-HR"/>
              </w:rPr>
              <w:t>Pozitivne tečajne razlike prijelaz na euro</w:t>
            </w:r>
          </w:p>
        </w:tc>
        <w:tc>
          <w:tcPr>
            <w:tcW w:w="1531" w:type="dxa"/>
            <w:tcBorders>
              <w:bottom w:val="single" w:sz="4" w:space="0" w:color="auto"/>
            </w:tcBorders>
            <w:shd w:val="clear" w:color="auto" w:fill="auto"/>
            <w:noWrap/>
            <w:vAlign w:val="bottom"/>
            <w:hideMark/>
          </w:tcPr>
          <w:p w14:paraId="30F56C8D" w14:textId="17127767"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53</w:t>
            </w:r>
          </w:p>
        </w:tc>
        <w:tc>
          <w:tcPr>
            <w:tcW w:w="1531" w:type="dxa"/>
            <w:tcBorders>
              <w:bottom w:val="single" w:sz="4" w:space="0" w:color="auto"/>
            </w:tcBorders>
            <w:shd w:val="clear" w:color="auto" w:fill="auto"/>
            <w:noWrap/>
            <w:vAlign w:val="bottom"/>
            <w:hideMark/>
          </w:tcPr>
          <w:p w14:paraId="525224C7" w14:textId="2C5D4E61"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1531" w:type="dxa"/>
            <w:tcBorders>
              <w:bottom w:val="single" w:sz="4" w:space="0" w:color="auto"/>
            </w:tcBorders>
            <w:shd w:val="clear" w:color="auto" w:fill="auto"/>
            <w:noWrap/>
            <w:vAlign w:val="bottom"/>
            <w:hideMark/>
          </w:tcPr>
          <w:p w14:paraId="3459D20A" w14:textId="6BA7674D" w:rsidR="0079098C" w:rsidRPr="005C7490" w:rsidRDefault="0079098C" w:rsidP="0079098C">
            <w:pPr>
              <w:spacing w:after="0" w:line="240" w:lineRule="auto"/>
              <w:jc w:val="center"/>
              <w:rPr>
                <w:rFonts w:ascii="Calibri" w:eastAsia="Times New Roman" w:hAnsi="Calibri" w:cs="Calibri"/>
                <w:color w:val="000000"/>
                <w:sz w:val="18"/>
                <w:szCs w:val="18"/>
                <w:lang w:eastAsia="hr-HR"/>
              </w:rPr>
            </w:pPr>
            <w:r w:rsidRPr="005C7490">
              <w:rPr>
                <w:rFonts w:ascii="Calibri" w:hAnsi="Calibri" w:cs="Calibri"/>
                <w:color w:val="000000"/>
                <w:sz w:val="18"/>
                <w:szCs w:val="18"/>
              </w:rPr>
              <w:t>0</w:t>
            </w:r>
          </w:p>
        </w:tc>
        <w:tc>
          <w:tcPr>
            <w:tcW w:w="893" w:type="dxa"/>
            <w:tcBorders>
              <w:bottom w:val="single" w:sz="4" w:space="0" w:color="auto"/>
            </w:tcBorders>
            <w:shd w:val="clear" w:color="auto" w:fill="auto"/>
            <w:noWrap/>
            <w:vAlign w:val="bottom"/>
            <w:hideMark/>
          </w:tcPr>
          <w:p w14:paraId="74DBAB1D" w14:textId="13F22004"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c>
          <w:tcPr>
            <w:tcW w:w="784" w:type="dxa"/>
            <w:tcBorders>
              <w:bottom w:val="single" w:sz="4" w:space="0" w:color="auto"/>
            </w:tcBorders>
            <w:shd w:val="clear" w:color="auto" w:fill="auto"/>
            <w:noWrap/>
            <w:vAlign w:val="bottom"/>
            <w:hideMark/>
          </w:tcPr>
          <w:p w14:paraId="2A405D70" w14:textId="393FA2D6" w:rsidR="0079098C" w:rsidRPr="0079098C" w:rsidRDefault="0079098C" w:rsidP="0079098C">
            <w:pPr>
              <w:spacing w:after="0" w:line="240" w:lineRule="auto"/>
              <w:jc w:val="center"/>
              <w:rPr>
                <w:rFonts w:ascii="Calibri" w:eastAsia="Times New Roman" w:hAnsi="Calibri" w:cs="Calibri"/>
                <w:color w:val="000000"/>
                <w:sz w:val="18"/>
                <w:szCs w:val="18"/>
                <w:lang w:eastAsia="hr-HR"/>
              </w:rPr>
            </w:pPr>
            <w:r w:rsidRPr="0079098C">
              <w:rPr>
                <w:rFonts w:ascii="Calibri" w:hAnsi="Calibri" w:cs="Calibri"/>
                <w:color w:val="000000"/>
                <w:sz w:val="18"/>
                <w:szCs w:val="18"/>
              </w:rPr>
              <w:t>0%</w:t>
            </w:r>
          </w:p>
        </w:tc>
      </w:tr>
      <w:tr w:rsidR="0079098C" w:rsidRPr="003F3913" w14:paraId="351E2F22" w14:textId="77777777" w:rsidTr="0079098C">
        <w:trPr>
          <w:trHeight w:val="340"/>
        </w:trPr>
        <w:tc>
          <w:tcPr>
            <w:tcW w:w="672" w:type="dxa"/>
            <w:tcBorders>
              <w:top w:val="single" w:sz="4" w:space="0" w:color="auto"/>
              <w:bottom w:val="single" w:sz="4" w:space="0" w:color="auto"/>
            </w:tcBorders>
            <w:shd w:val="clear" w:color="auto" w:fill="auto"/>
            <w:noWrap/>
            <w:vAlign w:val="bottom"/>
            <w:hideMark/>
          </w:tcPr>
          <w:p w14:paraId="6F50E9A5"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3.</w:t>
            </w:r>
          </w:p>
        </w:tc>
        <w:tc>
          <w:tcPr>
            <w:tcW w:w="3231" w:type="dxa"/>
            <w:tcBorders>
              <w:top w:val="single" w:sz="4" w:space="0" w:color="auto"/>
              <w:bottom w:val="single" w:sz="4" w:space="0" w:color="auto"/>
            </w:tcBorders>
            <w:shd w:val="clear" w:color="auto" w:fill="auto"/>
            <w:noWrap/>
            <w:vAlign w:val="bottom"/>
            <w:hideMark/>
          </w:tcPr>
          <w:p w14:paraId="0E204320" w14:textId="77777777" w:rsidR="0079098C" w:rsidRPr="003F3913" w:rsidRDefault="0079098C" w:rsidP="0079098C">
            <w:pPr>
              <w:spacing w:after="0" w:line="240" w:lineRule="auto"/>
              <w:rPr>
                <w:rFonts w:eastAsia="Times New Roman" w:cstheme="minorHAnsi"/>
                <w:b/>
                <w:bCs/>
                <w:color w:val="000000"/>
                <w:sz w:val="18"/>
                <w:szCs w:val="18"/>
                <w:lang w:eastAsia="hr-HR"/>
              </w:rPr>
            </w:pPr>
            <w:r w:rsidRPr="003F3913">
              <w:rPr>
                <w:rFonts w:eastAsia="Times New Roman" w:cstheme="minorHAnsi"/>
                <w:b/>
                <w:bCs/>
                <w:color w:val="000000"/>
                <w:sz w:val="18"/>
                <w:szCs w:val="18"/>
                <w:lang w:eastAsia="hr-HR"/>
              </w:rPr>
              <w:t xml:space="preserve">UKUPNI PRIHODI </w:t>
            </w:r>
          </w:p>
        </w:tc>
        <w:tc>
          <w:tcPr>
            <w:tcW w:w="1531" w:type="dxa"/>
            <w:tcBorders>
              <w:top w:val="single" w:sz="4" w:space="0" w:color="auto"/>
              <w:bottom w:val="single" w:sz="4" w:space="0" w:color="auto"/>
            </w:tcBorders>
            <w:shd w:val="clear" w:color="auto" w:fill="auto"/>
            <w:noWrap/>
            <w:vAlign w:val="bottom"/>
            <w:hideMark/>
          </w:tcPr>
          <w:p w14:paraId="06BBE77D" w14:textId="641524C1"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12.670.009</w:t>
            </w:r>
          </w:p>
        </w:tc>
        <w:tc>
          <w:tcPr>
            <w:tcW w:w="1531" w:type="dxa"/>
            <w:tcBorders>
              <w:top w:val="single" w:sz="4" w:space="0" w:color="auto"/>
              <w:bottom w:val="single" w:sz="4" w:space="0" w:color="auto"/>
            </w:tcBorders>
            <w:shd w:val="clear" w:color="auto" w:fill="auto"/>
            <w:noWrap/>
            <w:vAlign w:val="bottom"/>
            <w:hideMark/>
          </w:tcPr>
          <w:p w14:paraId="71AC571C" w14:textId="3C472F18"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12.816.471</w:t>
            </w:r>
          </w:p>
        </w:tc>
        <w:tc>
          <w:tcPr>
            <w:tcW w:w="1531" w:type="dxa"/>
            <w:tcBorders>
              <w:top w:val="single" w:sz="4" w:space="0" w:color="auto"/>
              <w:bottom w:val="single" w:sz="4" w:space="0" w:color="auto"/>
            </w:tcBorders>
            <w:shd w:val="clear" w:color="auto" w:fill="auto"/>
            <w:noWrap/>
            <w:vAlign w:val="bottom"/>
            <w:hideMark/>
          </w:tcPr>
          <w:p w14:paraId="7B96CFEB" w14:textId="51348C6D" w:rsidR="0079098C" w:rsidRPr="005C7490" w:rsidRDefault="0079098C" w:rsidP="0079098C">
            <w:pPr>
              <w:spacing w:after="0" w:line="240" w:lineRule="auto"/>
              <w:jc w:val="center"/>
              <w:rPr>
                <w:rFonts w:ascii="Calibri" w:eastAsia="Times New Roman" w:hAnsi="Calibri" w:cs="Calibri"/>
                <w:b/>
                <w:bCs/>
                <w:color w:val="000000"/>
                <w:sz w:val="18"/>
                <w:szCs w:val="18"/>
                <w:lang w:eastAsia="hr-HR"/>
              </w:rPr>
            </w:pPr>
            <w:r w:rsidRPr="005C7490">
              <w:rPr>
                <w:rFonts w:ascii="Calibri" w:hAnsi="Calibri" w:cs="Calibri"/>
                <w:b/>
                <w:bCs/>
                <w:color w:val="000000"/>
                <w:sz w:val="18"/>
                <w:szCs w:val="18"/>
              </w:rPr>
              <w:t>12.637.010</w:t>
            </w:r>
          </w:p>
        </w:tc>
        <w:tc>
          <w:tcPr>
            <w:tcW w:w="893" w:type="dxa"/>
            <w:tcBorders>
              <w:top w:val="single" w:sz="4" w:space="0" w:color="auto"/>
              <w:bottom w:val="single" w:sz="4" w:space="0" w:color="auto"/>
            </w:tcBorders>
            <w:shd w:val="clear" w:color="auto" w:fill="auto"/>
            <w:noWrap/>
            <w:vAlign w:val="bottom"/>
            <w:hideMark/>
          </w:tcPr>
          <w:p w14:paraId="63B36939" w14:textId="4941F0B1" w:rsidR="0079098C" w:rsidRPr="0079098C" w:rsidRDefault="0079098C" w:rsidP="0079098C">
            <w:pPr>
              <w:spacing w:after="0" w:line="240" w:lineRule="auto"/>
              <w:jc w:val="center"/>
              <w:rPr>
                <w:rFonts w:ascii="Calibri" w:eastAsia="Times New Roman" w:hAnsi="Calibri" w:cs="Calibri"/>
                <w:b/>
                <w:bCs/>
                <w:color w:val="000000"/>
                <w:sz w:val="18"/>
                <w:szCs w:val="18"/>
                <w:lang w:eastAsia="hr-HR"/>
              </w:rPr>
            </w:pPr>
            <w:r w:rsidRPr="0079098C">
              <w:rPr>
                <w:rFonts w:ascii="Calibri" w:hAnsi="Calibri" w:cs="Calibri"/>
                <w:b/>
                <w:bCs/>
                <w:color w:val="000000"/>
                <w:sz w:val="18"/>
                <w:szCs w:val="18"/>
              </w:rPr>
              <w:t>100%</w:t>
            </w:r>
          </w:p>
        </w:tc>
        <w:tc>
          <w:tcPr>
            <w:tcW w:w="784" w:type="dxa"/>
            <w:tcBorders>
              <w:top w:val="single" w:sz="4" w:space="0" w:color="auto"/>
              <w:bottom w:val="single" w:sz="4" w:space="0" w:color="auto"/>
            </w:tcBorders>
            <w:shd w:val="clear" w:color="auto" w:fill="auto"/>
            <w:noWrap/>
            <w:vAlign w:val="bottom"/>
            <w:hideMark/>
          </w:tcPr>
          <w:p w14:paraId="74D89D79" w14:textId="12CF2FAD" w:rsidR="0079098C" w:rsidRPr="0079098C" w:rsidRDefault="0079098C" w:rsidP="0079098C">
            <w:pPr>
              <w:spacing w:after="0" w:line="240" w:lineRule="auto"/>
              <w:jc w:val="center"/>
              <w:rPr>
                <w:rFonts w:ascii="Calibri" w:eastAsia="Times New Roman" w:hAnsi="Calibri" w:cs="Calibri"/>
                <w:b/>
                <w:bCs/>
                <w:color w:val="000000"/>
                <w:sz w:val="18"/>
                <w:szCs w:val="18"/>
                <w:lang w:eastAsia="hr-HR"/>
              </w:rPr>
            </w:pPr>
            <w:r w:rsidRPr="0079098C">
              <w:rPr>
                <w:rFonts w:ascii="Calibri" w:hAnsi="Calibri" w:cs="Calibri"/>
                <w:b/>
                <w:bCs/>
                <w:color w:val="000000"/>
                <w:sz w:val="18"/>
                <w:szCs w:val="18"/>
              </w:rPr>
              <w:t>99%</w:t>
            </w:r>
          </w:p>
        </w:tc>
      </w:tr>
    </w:tbl>
    <w:p w14:paraId="784B2551" w14:textId="2EC95D04" w:rsidR="00D23DE3" w:rsidRDefault="00D23DE3">
      <w:pPr>
        <w:autoSpaceDE w:val="0"/>
        <w:autoSpaceDN w:val="0"/>
        <w:adjustRightInd w:val="0"/>
        <w:spacing w:before="240" w:after="240" w:line="360" w:lineRule="auto"/>
        <w:jc w:val="both"/>
        <w:rPr>
          <w:rFonts w:ascii="Calibri" w:hAnsi="Calibri" w:cs="Calibri"/>
          <w:b/>
          <w:bCs/>
          <w:color w:val="FF0000"/>
          <w:u w:val="single"/>
        </w:rPr>
      </w:pPr>
    </w:p>
    <w:p w14:paraId="4990C64F" w14:textId="77777777" w:rsidR="0029514B" w:rsidRDefault="0029514B" w:rsidP="00840E6B">
      <w:pPr>
        <w:autoSpaceDE w:val="0"/>
        <w:autoSpaceDN w:val="0"/>
        <w:adjustRightInd w:val="0"/>
        <w:spacing w:before="240" w:after="240" w:line="360" w:lineRule="auto"/>
        <w:jc w:val="both"/>
        <w:rPr>
          <w:rFonts w:ascii="Calibri" w:hAnsi="Calibri" w:cs="Calibri"/>
          <w:b/>
          <w:bCs/>
          <w:u w:val="single"/>
        </w:rPr>
      </w:pPr>
    </w:p>
    <w:p w14:paraId="3DB2ABA7" w14:textId="77777777" w:rsidR="0029514B" w:rsidRPr="0029514B" w:rsidRDefault="0029514B" w:rsidP="002B6274">
      <w:pPr>
        <w:autoSpaceDE w:val="0"/>
        <w:autoSpaceDN w:val="0"/>
        <w:adjustRightInd w:val="0"/>
        <w:spacing w:before="120" w:after="120" w:line="360" w:lineRule="auto"/>
        <w:jc w:val="both"/>
        <w:rPr>
          <w:rFonts w:ascii="Calibri" w:hAnsi="Calibri" w:cs="Calibri"/>
          <w:u w:val="single"/>
        </w:rPr>
      </w:pPr>
      <w:r w:rsidRPr="0029514B">
        <w:rPr>
          <w:rFonts w:ascii="Calibri" w:hAnsi="Calibri" w:cs="Calibri"/>
        </w:rPr>
        <w:lastRenderedPageBreak/>
        <w:t xml:space="preserve">Ukupni </w:t>
      </w:r>
      <w:r w:rsidRPr="0029514B">
        <w:rPr>
          <w:rFonts w:ascii="Calibri" w:hAnsi="Calibri" w:cs="Calibri"/>
          <w:b/>
          <w:bCs/>
        </w:rPr>
        <w:t xml:space="preserve">poslovni prihodi </w:t>
      </w:r>
      <w:r w:rsidRPr="0029514B">
        <w:rPr>
          <w:rFonts w:ascii="Calibri" w:hAnsi="Calibri" w:cs="Calibri"/>
        </w:rPr>
        <w:t>ostvareni su u iznosu od 12.568.000 eura, što je na razini prethodne godine i 1% manje u odnosu na rebalans plana.</w:t>
      </w:r>
      <w:r w:rsidRPr="0029514B">
        <w:rPr>
          <w:rFonts w:ascii="Calibri" w:hAnsi="Calibri" w:cs="Calibri"/>
          <w:u w:val="single"/>
        </w:rPr>
        <w:t xml:space="preserve"> </w:t>
      </w:r>
    </w:p>
    <w:p w14:paraId="6C6DA1AF" w14:textId="22966150" w:rsidR="0029514B" w:rsidRPr="0029514B" w:rsidRDefault="0029514B" w:rsidP="002B6274">
      <w:pPr>
        <w:autoSpaceDE w:val="0"/>
        <w:autoSpaceDN w:val="0"/>
        <w:adjustRightInd w:val="0"/>
        <w:spacing w:before="120" w:after="120" w:line="360" w:lineRule="auto"/>
        <w:jc w:val="both"/>
        <w:rPr>
          <w:rFonts w:ascii="Calibri" w:hAnsi="Calibri" w:cs="Calibri"/>
        </w:rPr>
      </w:pPr>
      <w:r w:rsidRPr="00CB3323">
        <w:rPr>
          <w:rFonts w:ascii="Calibri" w:hAnsi="Calibri" w:cs="Calibri"/>
          <w:b/>
          <w:bCs/>
        </w:rPr>
        <w:t>Prihodi od prodaje</w:t>
      </w:r>
      <w:r>
        <w:rPr>
          <w:rFonts w:ascii="Calibri" w:hAnsi="Calibri" w:cs="Calibri"/>
        </w:rPr>
        <w:t xml:space="preserve"> ostvareni su u iznosu od 9.837.555 eura </w:t>
      </w:r>
      <w:r w:rsidR="00C466A5">
        <w:rPr>
          <w:rFonts w:ascii="Calibri" w:hAnsi="Calibri" w:cs="Calibri"/>
        </w:rPr>
        <w:t>te</w:t>
      </w:r>
      <w:r w:rsidR="005A5BEA">
        <w:rPr>
          <w:rFonts w:ascii="Calibri" w:hAnsi="Calibri" w:cs="Calibri"/>
        </w:rPr>
        <w:t xml:space="preserve"> </w:t>
      </w:r>
      <w:r w:rsidR="005A5BEA" w:rsidRPr="005A5BEA">
        <w:rPr>
          <w:rFonts w:ascii="Calibri" w:hAnsi="Calibri" w:cs="Calibri"/>
        </w:rPr>
        <w:t>predstavljaju najveću pojedinačnu stavku ukupnih prihoda.</w:t>
      </w:r>
      <w:r w:rsidR="005A5BEA">
        <w:rPr>
          <w:rFonts w:ascii="Calibri" w:hAnsi="Calibri" w:cs="Calibri"/>
        </w:rPr>
        <w:t xml:space="preserve"> </w:t>
      </w:r>
      <w:r w:rsidR="00C466A5" w:rsidRPr="00C466A5">
        <w:rPr>
          <w:rFonts w:ascii="Calibri" w:hAnsi="Calibri" w:cs="Calibri"/>
        </w:rPr>
        <w:t>U odnosu na 2023. godinu v</w:t>
      </w:r>
      <w:r w:rsidR="00C466A5">
        <w:rPr>
          <w:rFonts w:ascii="Calibri" w:hAnsi="Calibri" w:cs="Calibri"/>
        </w:rPr>
        <w:t>eći</w:t>
      </w:r>
      <w:r w:rsidR="00C466A5" w:rsidRPr="00C466A5">
        <w:rPr>
          <w:rFonts w:ascii="Calibri" w:hAnsi="Calibri" w:cs="Calibri"/>
        </w:rPr>
        <w:t xml:space="preserve"> su za 1%, dok su u odnosu na rebalans plan</w:t>
      </w:r>
      <w:r w:rsidR="00C466A5">
        <w:rPr>
          <w:rFonts w:ascii="Calibri" w:hAnsi="Calibri" w:cs="Calibri"/>
        </w:rPr>
        <w:t>a</w:t>
      </w:r>
      <w:r w:rsidR="00C466A5" w:rsidRPr="00C466A5">
        <w:rPr>
          <w:rFonts w:ascii="Calibri" w:hAnsi="Calibri" w:cs="Calibri"/>
        </w:rPr>
        <w:t xml:space="preserve"> </w:t>
      </w:r>
      <w:r w:rsidR="00DE7A9C">
        <w:rPr>
          <w:rFonts w:ascii="Calibri" w:hAnsi="Calibri" w:cs="Calibri"/>
        </w:rPr>
        <w:t>manji</w:t>
      </w:r>
      <w:r w:rsidR="00C466A5" w:rsidRPr="00C466A5">
        <w:rPr>
          <w:rFonts w:ascii="Calibri" w:hAnsi="Calibri" w:cs="Calibri"/>
        </w:rPr>
        <w:t xml:space="preserve"> </w:t>
      </w:r>
      <w:r w:rsidR="00C466A5" w:rsidRPr="000565E0">
        <w:rPr>
          <w:rFonts w:ascii="Calibri" w:hAnsi="Calibri" w:cs="Calibri"/>
        </w:rPr>
        <w:t xml:space="preserve">za </w:t>
      </w:r>
      <w:r w:rsidR="00DE7A9C" w:rsidRPr="000565E0">
        <w:rPr>
          <w:rFonts w:ascii="Calibri" w:hAnsi="Calibri" w:cs="Calibri"/>
        </w:rPr>
        <w:t>3</w:t>
      </w:r>
      <w:r w:rsidR="00C466A5" w:rsidRPr="000565E0">
        <w:rPr>
          <w:rFonts w:ascii="Calibri" w:hAnsi="Calibri" w:cs="Calibri"/>
        </w:rPr>
        <w:t>%.</w:t>
      </w:r>
    </w:p>
    <w:p w14:paraId="4CCBE07B" w14:textId="0690C2C8" w:rsidR="00713E2C" w:rsidRPr="00FB7D85" w:rsidRDefault="0051436C" w:rsidP="002B6274">
      <w:pPr>
        <w:autoSpaceDE w:val="0"/>
        <w:autoSpaceDN w:val="0"/>
        <w:adjustRightInd w:val="0"/>
        <w:spacing w:before="120" w:after="120" w:line="360" w:lineRule="auto"/>
        <w:jc w:val="both"/>
        <w:rPr>
          <w:rFonts w:ascii="Calibri" w:hAnsi="Calibri" w:cs="Calibri"/>
        </w:rPr>
      </w:pPr>
      <w:r w:rsidRPr="00FB7D85">
        <w:rPr>
          <w:rFonts w:ascii="Calibri" w:hAnsi="Calibri" w:cs="Calibri"/>
          <w:b/>
          <w:bCs/>
        </w:rPr>
        <w:t>Prihodi od</w:t>
      </w:r>
      <w:r w:rsidR="000565E0">
        <w:rPr>
          <w:rFonts w:ascii="Calibri" w:hAnsi="Calibri" w:cs="Calibri"/>
          <w:b/>
          <w:bCs/>
        </w:rPr>
        <w:t xml:space="preserve"> </w:t>
      </w:r>
      <w:r w:rsidRPr="00FB7D85">
        <w:rPr>
          <w:rFonts w:ascii="Calibri" w:hAnsi="Calibri" w:cs="Calibri"/>
          <w:b/>
          <w:bCs/>
        </w:rPr>
        <w:t>komunalnih usluga</w:t>
      </w:r>
      <w:r w:rsidR="00015485" w:rsidRPr="00FB7D85">
        <w:rPr>
          <w:rFonts w:ascii="Calibri" w:hAnsi="Calibri" w:cs="Calibri"/>
          <w:b/>
          <w:bCs/>
        </w:rPr>
        <w:t xml:space="preserve"> </w:t>
      </w:r>
      <w:r w:rsidR="00015485" w:rsidRPr="00FB7D85">
        <w:rPr>
          <w:rFonts w:ascii="Calibri" w:hAnsi="Calibri" w:cs="Calibri"/>
        </w:rPr>
        <w:t>obuhvaćaju prihode od osnovne djelatnosti zaprimanja, obrade i zbrinjavanja otpada te</w:t>
      </w:r>
      <w:r w:rsidRPr="00FB7D85">
        <w:rPr>
          <w:rFonts w:ascii="Calibri" w:hAnsi="Calibri" w:cs="Calibri"/>
        </w:rPr>
        <w:t xml:space="preserve"> čine najveću stavku prihoda od prodaj</w:t>
      </w:r>
      <w:r w:rsidR="004F26DF" w:rsidRPr="00FB7D85">
        <w:rPr>
          <w:rFonts w:ascii="Calibri" w:hAnsi="Calibri" w:cs="Calibri"/>
        </w:rPr>
        <w:t>e.</w:t>
      </w:r>
      <w:r w:rsidR="007C454E" w:rsidRPr="00FB7D85">
        <w:rPr>
          <w:rFonts w:ascii="Calibri" w:hAnsi="Calibri" w:cs="Calibri"/>
        </w:rPr>
        <w:t xml:space="preserve"> O</w:t>
      </w:r>
      <w:r w:rsidR="00713E2C" w:rsidRPr="00FB7D85">
        <w:rPr>
          <w:rFonts w:ascii="Calibri" w:hAnsi="Calibri" w:cs="Calibri"/>
        </w:rPr>
        <w:t xml:space="preserve">stvareni su u iznosu od </w:t>
      </w:r>
      <w:r w:rsidR="007D0E59">
        <w:rPr>
          <w:rFonts w:ascii="Calibri" w:hAnsi="Calibri" w:cs="Calibri"/>
        </w:rPr>
        <w:t>9.</w:t>
      </w:r>
      <w:r w:rsidR="00A7669C">
        <w:rPr>
          <w:rFonts w:ascii="Calibri" w:hAnsi="Calibri" w:cs="Calibri"/>
        </w:rPr>
        <w:t>833.544</w:t>
      </w:r>
      <w:r w:rsidR="007D0E59">
        <w:rPr>
          <w:rFonts w:ascii="Calibri" w:hAnsi="Calibri" w:cs="Calibri"/>
        </w:rPr>
        <w:t xml:space="preserve"> eura </w:t>
      </w:r>
      <w:r w:rsidR="00713E2C" w:rsidRPr="00FB7D85">
        <w:rPr>
          <w:rFonts w:ascii="Calibri" w:hAnsi="Calibri" w:cs="Calibri"/>
        </w:rPr>
        <w:t xml:space="preserve">što je za </w:t>
      </w:r>
      <w:r w:rsidR="00A7669C">
        <w:rPr>
          <w:rFonts w:ascii="Calibri" w:hAnsi="Calibri" w:cs="Calibri"/>
        </w:rPr>
        <w:t>1</w:t>
      </w:r>
      <w:r w:rsidR="00713E2C" w:rsidRPr="00FB7D85">
        <w:rPr>
          <w:rFonts w:ascii="Calibri" w:hAnsi="Calibri" w:cs="Calibri"/>
        </w:rPr>
        <w:t xml:space="preserve">% </w:t>
      </w:r>
      <w:r w:rsidR="00015485" w:rsidRPr="00FB7D85">
        <w:rPr>
          <w:rFonts w:ascii="Calibri" w:hAnsi="Calibri" w:cs="Calibri"/>
        </w:rPr>
        <w:t>više</w:t>
      </w:r>
      <w:r w:rsidR="00713E2C" w:rsidRPr="00FB7D85">
        <w:rPr>
          <w:rFonts w:ascii="Calibri" w:hAnsi="Calibri" w:cs="Calibri"/>
        </w:rPr>
        <w:t xml:space="preserve"> u odnosu na </w:t>
      </w:r>
      <w:r w:rsidR="007C454E" w:rsidRPr="00FB7D85">
        <w:rPr>
          <w:rFonts w:ascii="Calibri" w:hAnsi="Calibri" w:cs="Calibri"/>
        </w:rPr>
        <w:t>20</w:t>
      </w:r>
      <w:r w:rsidR="004E2F5F" w:rsidRPr="00FB7D85">
        <w:rPr>
          <w:rFonts w:ascii="Calibri" w:hAnsi="Calibri" w:cs="Calibri"/>
        </w:rPr>
        <w:t>2</w:t>
      </w:r>
      <w:r w:rsidR="00A7669C">
        <w:rPr>
          <w:rFonts w:ascii="Calibri" w:hAnsi="Calibri" w:cs="Calibri"/>
        </w:rPr>
        <w:t>3</w:t>
      </w:r>
      <w:r w:rsidR="007C454E" w:rsidRPr="00FB7D85">
        <w:rPr>
          <w:rFonts w:ascii="Calibri" w:hAnsi="Calibri" w:cs="Calibri"/>
        </w:rPr>
        <w:t>. godinu</w:t>
      </w:r>
      <w:r w:rsidR="004F26DF" w:rsidRPr="00FB7D85">
        <w:rPr>
          <w:rFonts w:ascii="Calibri" w:hAnsi="Calibri" w:cs="Calibri"/>
        </w:rPr>
        <w:t xml:space="preserve"> </w:t>
      </w:r>
      <w:r w:rsidR="007D0E59">
        <w:rPr>
          <w:rFonts w:ascii="Calibri" w:hAnsi="Calibri" w:cs="Calibri"/>
        </w:rPr>
        <w:t xml:space="preserve">te za </w:t>
      </w:r>
      <w:r w:rsidR="00A7669C">
        <w:rPr>
          <w:rFonts w:ascii="Calibri" w:hAnsi="Calibri" w:cs="Calibri"/>
        </w:rPr>
        <w:t>3</w:t>
      </w:r>
      <w:r w:rsidR="007D0E59">
        <w:rPr>
          <w:rFonts w:ascii="Calibri" w:hAnsi="Calibri" w:cs="Calibri"/>
        </w:rPr>
        <w:t xml:space="preserve">% </w:t>
      </w:r>
      <w:r w:rsidR="00A7669C">
        <w:rPr>
          <w:rFonts w:ascii="Calibri" w:hAnsi="Calibri" w:cs="Calibri"/>
        </w:rPr>
        <w:t>manje</w:t>
      </w:r>
      <w:r w:rsidR="007D0E59">
        <w:rPr>
          <w:rFonts w:ascii="Calibri" w:hAnsi="Calibri" w:cs="Calibri"/>
        </w:rPr>
        <w:t xml:space="preserve"> u odnosu na rebalans plana prihoda.</w:t>
      </w:r>
    </w:p>
    <w:p w14:paraId="169BC0F7" w14:textId="6E2C2AB6" w:rsidR="0051436C" w:rsidRPr="00FB7D85" w:rsidRDefault="00FD7780" w:rsidP="002B6274">
      <w:pPr>
        <w:autoSpaceDE w:val="0"/>
        <w:autoSpaceDN w:val="0"/>
        <w:adjustRightInd w:val="0"/>
        <w:spacing w:before="120" w:after="120" w:line="360" w:lineRule="auto"/>
        <w:jc w:val="both"/>
        <w:rPr>
          <w:rFonts w:ascii="Calibri" w:hAnsi="Calibri" w:cs="Calibri"/>
        </w:rPr>
      </w:pPr>
      <w:r w:rsidRPr="00FB7D85">
        <w:rPr>
          <w:rFonts w:ascii="Calibri" w:hAnsi="Calibri" w:cs="Calibri"/>
        </w:rPr>
        <w:t xml:space="preserve">Slijede prihodi </w:t>
      </w:r>
      <w:r w:rsidR="00DB7F7F">
        <w:rPr>
          <w:rFonts w:ascii="Calibri" w:hAnsi="Calibri" w:cs="Calibri"/>
        </w:rPr>
        <w:t xml:space="preserve">od </w:t>
      </w:r>
      <w:r w:rsidR="00DB7F7F" w:rsidRPr="00FB7D85">
        <w:rPr>
          <w:rFonts w:ascii="Calibri" w:hAnsi="Calibri" w:cs="Calibri"/>
        </w:rPr>
        <w:t xml:space="preserve">prijevoza otpada </w:t>
      </w:r>
      <w:r w:rsidR="00DB7F7F">
        <w:rPr>
          <w:rFonts w:ascii="Calibri" w:hAnsi="Calibri" w:cs="Calibri"/>
        </w:rPr>
        <w:t xml:space="preserve">u iznosu od 2.473 eura (2023.: </w:t>
      </w:r>
      <w:r w:rsidR="00DB7F7F" w:rsidRPr="00DB7F7F">
        <w:rPr>
          <w:rFonts w:ascii="Calibri" w:hAnsi="Calibri" w:cs="Calibri"/>
        </w:rPr>
        <w:t>2</w:t>
      </w:r>
      <w:r w:rsidR="00DB7F7F">
        <w:rPr>
          <w:rFonts w:ascii="Calibri" w:hAnsi="Calibri" w:cs="Calibri"/>
        </w:rPr>
        <w:t>.</w:t>
      </w:r>
      <w:r w:rsidR="00DB7F7F" w:rsidRPr="00DB7F7F">
        <w:rPr>
          <w:rFonts w:ascii="Calibri" w:hAnsi="Calibri" w:cs="Calibri"/>
        </w:rPr>
        <w:t>313</w:t>
      </w:r>
      <w:r w:rsidR="00DB7F7F">
        <w:rPr>
          <w:rFonts w:ascii="Calibri" w:hAnsi="Calibri" w:cs="Calibri"/>
        </w:rPr>
        <w:t xml:space="preserve"> eura) te prihodi </w:t>
      </w:r>
      <w:r w:rsidRPr="00FB7D85">
        <w:rPr>
          <w:rFonts w:ascii="Calibri" w:hAnsi="Calibri" w:cs="Calibri"/>
        </w:rPr>
        <w:t xml:space="preserve">od </w:t>
      </w:r>
      <w:r w:rsidR="009C064F" w:rsidRPr="00FB7D85">
        <w:rPr>
          <w:rFonts w:ascii="Calibri" w:hAnsi="Calibri" w:cs="Calibri"/>
        </w:rPr>
        <w:t xml:space="preserve">sekundarnih sirovina </w:t>
      </w:r>
      <w:r w:rsidR="00DB7F7F">
        <w:rPr>
          <w:rFonts w:ascii="Calibri" w:hAnsi="Calibri" w:cs="Calibri"/>
        </w:rPr>
        <w:t>u iznosu od 1.538 eura (2023.: 4.897 eura)</w:t>
      </w:r>
      <w:r w:rsidR="00467C7A">
        <w:rPr>
          <w:rFonts w:ascii="Calibri" w:hAnsi="Calibri" w:cs="Calibri"/>
        </w:rPr>
        <w:t>.</w:t>
      </w:r>
      <w:r w:rsidR="009C064F">
        <w:rPr>
          <w:rFonts w:ascii="Calibri" w:hAnsi="Calibri" w:cs="Calibri"/>
        </w:rPr>
        <w:t xml:space="preserve"> </w:t>
      </w:r>
    </w:p>
    <w:p w14:paraId="2407A20D" w14:textId="77777777" w:rsidR="001E33D5" w:rsidRDefault="00C82C3F" w:rsidP="001E33D5">
      <w:pPr>
        <w:autoSpaceDE w:val="0"/>
        <w:autoSpaceDN w:val="0"/>
        <w:adjustRightInd w:val="0"/>
        <w:spacing w:before="120" w:after="120" w:line="360" w:lineRule="auto"/>
        <w:jc w:val="both"/>
        <w:rPr>
          <w:rFonts w:ascii="Calibri" w:hAnsi="Calibri" w:cs="Calibri"/>
        </w:rPr>
      </w:pPr>
      <w:r w:rsidRPr="00CB3323">
        <w:rPr>
          <w:rFonts w:ascii="Calibri" w:hAnsi="Calibri" w:cs="Calibri"/>
          <w:b/>
          <w:bCs/>
        </w:rPr>
        <w:t>Ostali poslovni prihodi</w:t>
      </w:r>
      <w:r w:rsidRPr="00BE2E39">
        <w:rPr>
          <w:rFonts w:ascii="Calibri" w:hAnsi="Calibri" w:cs="Calibri"/>
          <w:b/>
          <w:bCs/>
        </w:rPr>
        <w:t xml:space="preserve"> </w:t>
      </w:r>
      <w:r w:rsidRPr="00C82C3F">
        <w:rPr>
          <w:rFonts w:ascii="Calibri" w:hAnsi="Calibri" w:cs="Calibri"/>
        </w:rPr>
        <w:t xml:space="preserve">ostvareni su u iznosu od 2.730.511 eura, </w:t>
      </w:r>
      <w:r w:rsidR="002B04B1">
        <w:rPr>
          <w:rFonts w:ascii="Calibri" w:hAnsi="Calibri" w:cs="Calibri"/>
        </w:rPr>
        <w:t>š</w:t>
      </w:r>
      <w:r w:rsidR="002B04B1" w:rsidRPr="002B04B1">
        <w:rPr>
          <w:rFonts w:ascii="Calibri" w:hAnsi="Calibri" w:cs="Calibri"/>
        </w:rPr>
        <w:t>to predstavlja smanjenje od 5% u odnosu na prethodnu godinu, ali i povećanje od 7% u odnosu na rebalans</w:t>
      </w:r>
      <w:r w:rsidR="002B04B1">
        <w:rPr>
          <w:rFonts w:ascii="Calibri" w:hAnsi="Calibri" w:cs="Calibri"/>
        </w:rPr>
        <w:t xml:space="preserve"> plana.</w:t>
      </w:r>
      <w:r w:rsidRPr="00C82C3F">
        <w:rPr>
          <w:rFonts w:ascii="Calibri" w:hAnsi="Calibri" w:cs="Calibri"/>
        </w:rPr>
        <w:t xml:space="preserve"> </w:t>
      </w:r>
    </w:p>
    <w:p w14:paraId="2DEBBD87" w14:textId="77777777" w:rsidR="001E33D5" w:rsidRDefault="001E33D5" w:rsidP="001E33D5">
      <w:pPr>
        <w:autoSpaceDE w:val="0"/>
        <w:autoSpaceDN w:val="0"/>
        <w:adjustRightInd w:val="0"/>
        <w:spacing w:before="120" w:after="120" w:line="360" w:lineRule="auto"/>
        <w:jc w:val="both"/>
        <w:rPr>
          <w:rFonts w:ascii="Calibri" w:hAnsi="Calibri" w:cs="Calibri"/>
        </w:rPr>
      </w:pPr>
      <w:r w:rsidRPr="001E33D5">
        <w:rPr>
          <w:rFonts w:ascii="Calibri" w:hAnsi="Calibri" w:cs="Calibri"/>
        </w:rPr>
        <w:t>Na ostvareno povećanje u odnosu na planirani iznos najviše su utjecali prihodi od prodaje imovine, točnije radnog stroja marke Caterpillar, u iznosu od 81.351 euro.</w:t>
      </w:r>
    </w:p>
    <w:p w14:paraId="43ABC575" w14:textId="69464772" w:rsidR="001E33D5" w:rsidRDefault="0076730D" w:rsidP="001E33D5">
      <w:pPr>
        <w:autoSpaceDE w:val="0"/>
        <w:autoSpaceDN w:val="0"/>
        <w:adjustRightInd w:val="0"/>
        <w:spacing w:before="120" w:after="120" w:line="360" w:lineRule="auto"/>
        <w:jc w:val="both"/>
        <w:rPr>
          <w:rFonts w:ascii="Calibri" w:hAnsi="Calibri" w:cs="Calibri"/>
        </w:rPr>
      </w:pPr>
      <w:r>
        <w:rPr>
          <w:rFonts w:ascii="Calibri" w:hAnsi="Calibri" w:cs="Calibri"/>
        </w:rPr>
        <w:t xml:space="preserve">Na smanjenje u odnosu na 2023. godinu </w:t>
      </w:r>
      <w:r w:rsidR="001E33D5" w:rsidRPr="001E33D5">
        <w:rPr>
          <w:rFonts w:ascii="Calibri" w:hAnsi="Calibri" w:cs="Calibri"/>
        </w:rPr>
        <w:t xml:space="preserve">utjecao je izostanak prihoda od subvencija Fonda za sufinanciranje troškova zbrinjavanja goriva iz otpada, kao i smanjenje subvencija za električnu energiju </w:t>
      </w:r>
      <w:r w:rsidR="001E33D5">
        <w:rPr>
          <w:rFonts w:ascii="Calibri" w:hAnsi="Calibri" w:cs="Calibri"/>
        </w:rPr>
        <w:t xml:space="preserve">koje su </w:t>
      </w:r>
      <w:r w:rsidR="001E33D5" w:rsidRPr="001E33D5">
        <w:rPr>
          <w:rFonts w:ascii="Calibri" w:hAnsi="Calibri" w:cs="Calibri"/>
        </w:rPr>
        <w:t>u 2024. godini iznosile 257.515 eura, dok su u 2023. godini iznosile 352.187 eura. Smanjenje je posljedica snižene cijene električne energije temeljem provedenog postupka javne nabave.</w:t>
      </w:r>
    </w:p>
    <w:p w14:paraId="0A2A9572" w14:textId="64919803" w:rsidR="00A05685" w:rsidRPr="004F3BA9" w:rsidRDefault="00D564D5" w:rsidP="001E33D5">
      <w:pPr>
        <w:autoSpaceDE w:val="0"/>
        <w:autoSpaceDN w:val="0"/>
        <w:adjustRightInd w:val="0"/>
        <w:spacing w:before="120" w:after="120" w:line="360" w:lineRule="auto"/>
        <w:jc w:val="both"/>
      </w:pPr>
      <w:r w:rsidRPr="004F3BA9">
        <w:rPr>
          <w:rFonts w:ascii="Calibri" w:hAnsi="Calibri" w:cs="Calibri"/>
        </w:rPr>
        <w:t xml:space="preserve">Najznačajnija stavka </w:t>
      </w:r>
      <w:bookmarkStart w:id="52" w:name="_Hlk73360338"/>
      <w:r w:rsidR="00C12F87" w:rsidRPr="00C12F87">
        <w:rPr>
          <w:rFonts w:ascii="Calibri" w:hAnsi="Calibri" w:cs="Calibri"/>
        </w:rPr>
        <w:t>unutar ostalih poslovnih prihoda su</w:t>
      </w:r>
      <w:r w:rsidR="00C12F87">
        <w:rPr>
          <w:rFonts w:ascii="Calibri" w:hAnsi="Calibri" w:cs="Calibri"/>
        </w:rPr>
        <w:t xml:space="preserve"> </w:t>
      </w:r>
      <w:r w:rsidRPr="004F3BA9">
        <w:rPr>
          <w:rFonts w:ascii="Calibri" w:hAnsi="Calibri" w:cs="Calibri"/>
          <w:b/>
          <w:bCs/>
        </w:rPr>
        <w:t>odgođen</w:t>
      </w:r>
      <w:r w:rsidR="00BE2E39">
        <w:rPr>
          <w:rFonts w:ascii="Calibri" w:hAnsi="Calibri" w:cs="Calibri"/>
          <w:b/>
          <w:bCs/>
        </w:rPr>
        <w:t>i</w:t>
      </w:r>
      <w:r w:rsidRPr="004F3BA9">
        <w:rPr>
          <w:rFonts w:ascii="Calibri" w:hAnsi="Calibri" w:cs="Calibri"/>
          <w:b/>
          <w:bCs/>
        </w:rPr>
        <w:t xml:space="preserve"> prihode od potpora za inv</w:t>
      </w:r>
      <w:r w:rsidR="00D5659D" w:rsidRPr="004F3BA9">
        <w:rPr>
          <w:rFonts w:ascii="Calibri" w:hAnsi="Calibri" w:cs="Calibri"/>
          <w:b/>
          <w:bCs/>
        </w:rPr>
        <w:t>esticije</w:t>
      </w:r>
      <w:r w:rsidR="00D3249A" w:rsidRPr="004F3BA9">
        <w:rPr>
          <w:rFonts w:ascii="Calibri" w:hAnsi="Calibri" w:cs="Calibri"/>
          <w:b/>
          <w:bCs/>
        </w:rPr>
        <w:t xml:space="preserve"> </w:t>
      </w:r>
      <w:r w:rsidR="00CB4811">
        <w:rPr>
          <w:rFonts w:ascii="Calibri" w:hAnsi="Calibri" w:cs="Calibri"/>
        </w:rPr>
        <w:t xml:space="preserve">ostvareni </w:t>
      </w:r>
      <w:r w:rsidR="004E4F62" w:rsidRPr="004F3BA9">
        <w:rPr>
          <w:rFonts w:ascii="Calibri" w:hAnsi="Calibri" w:cs="Calibri"/>
        </w:rPr>
        <w:t xml:space="preserve">u iznosu od </w:t>
      </w:r>
      <w:bookmarkEnd w:id="52"/>
      <w:r w:rsidR="00F97FD3">
        <w:rPr>
          <w:rFonts w:ascii="Calibri" w:hAnsi="Calibri" w:cs="Calibri"/>
        </w:rPr>
        <w:t>2.219</w:t>
      </w:r>
      <w:r w:rsidR="00B642EA">
        <w:rPr>
          <w:rFonts w:ascii="Calibri" w:hAnsi="Calibri" w:cs="Calibri"/>
        </w:rPr>
        <w:t>.022</w:t>
      </w:r>
      <w:r w:rsidR="00A96E3B">
        <w:rPr>
          <w:rFonts w:ascii="Calibri" w:hAnsi="Calibri" w:cs="Calibri"/>
        </w:rPr>
        <w:t xml:space="preserve"> eura</w:t>
      </w:r>
      <w:r w:rsidR="004E4F62" w:rsidRPr="004F3BA9">
        <w:rPr>
          <w:rFonts w:ascii="Calibri" w:hAnsi="Calibri" w:cs="Calibri"/>
        </w:rPr>
        <w:t xml:space="preserve">. </w:t>
      </w:r>
      <w:r w:rsidR="00D5659D" w:rsidRPr="004F3BA9">
        <w:t>Čine j</w:t>
      </w:r>
      <w:r w:rsidR="004E4F62" w:rsidRPr="004F3BA9">
        <w:t>u</w:t>
      </w:r>
      <w:r w:rsidR="00D5659D" w:rsidRPr="004F3BA9">
        <w:t xml:space="preserve"> odgođeni prihodi od Europske unije, Fonda za zaštitu okoliša i energetske učinkovitosti, Ministarstva zaštite okoliša i energetike, Primorsko goranske županije i Grada Rijeke. </w:t>
      </w:r>
      <w:r w:rsidR="002C55AF">
        <w:t>Realizacija je na razini 2023. godine dok je u odnosu na rebalans</w:t>
      </w:r>
      <w:r w:rsidR="00A96E3B">
        <w:t xml:space="preserve"> </w:t>
      </w:r>
      <w:r w:rsidR="002C55AF">
        <w:t>veća za 2</w:t>
      </w:r>
      <w:r w:rsidR="00A96E3B">
        <w:t xml:space="preserve">%. </w:t>
      </w:r>
      <w:r w:rsidR="004F3BA9" w:rsidRPr="004F3BA9">
        <w:t xml:space="preserve"> </w:t>
      </w:r>
      <w:r w:rsidR="00CB4811" w:rsidRPr="00CB4811">
        <w:t>Povećanje proizlazi iz metode izračuna amortizacije odlagališnih ploha (metoda utroška), budući da je u 2024. godini na plohe odloženo nešto više otpada, što je rezultiralo višim troškom amortizacije i, sukladno tome, većim prihodom po toj osnovi.</w:t>
      </w:r>
    </w:p>
    <w:p w14:paraId="1C39E235" w14:textId="7B390071" w:rsidR="00EE10D2" w:rsidRPr="00EE10D2" w:rsidRDefault="00EE10D2" w:rsidP="00EE10D2">
      <w:pPr>
        <w:pStyle w:val="NoSpacing"/>
        <w:spacing w:line="360" w:lineRule="auto"/>
        <w:jc w:val="both"/>
      </w:pPr>
      <w:r>
        <w:t>Ostale</w:t>
      </w:r>
      <w:r w:rsidRPr="00EE10D2">
        <w:t xml:space="preserve"> stavke ostalih poslovnih prihoda su:</w:t>
      </w:r>
    </w:p>
    <w:p w14:paraId="062473E9" w14:textId="77777777" w:rsidR="00EE10D2" w:rsidRPr="00EE10D2" w:rsidRDefault="00EE10D2">
      <w:pPr>
        <w:pStyle w:val="NoSpacing"/>
        <w:numPr>
          <w:ilvl w:val="0"/>
          <w:numId w:val="19"/>
        </w:numPr>
        <w:spacing w:line="360" w:lineRule="auto"/>
        <w:jc w:val="both"/>
      </w:pPr>
      <w:r w:rsidRPr="00EE10D2">
        <w:t>Naplate šteta (osiguranje): 113.689 eura</w:t>
      </w:r>
    </w:p>
    <w:p w14:paraId="14F56C55" w14:textId="0C36C582" w:rsidR="00EE10D2" w:rsidRPr="00EE10D2" w:rsidRDefault="00EE10D2">
      <w:pPr>
        <w:pStyle w:val="NoSpacing"/>
        <w:numPr>
          <w:ilvl w:val="0"/>
          <w:numId w:val="19"/>
        </w:numPr>
        <w:spacing w:line="360" w:lineRule="auto"/>
        <w:jc w:val="both"/>
      </w:pPr>
      <w:r w:rsidRPr="00EE10D2">
        <w:t>Prihodi od ukidanja rezervacija: 33.582 eura</w:t>
      </w:r>
      <w:r w:rsidR="001E33D5">
        <w:t xml:space="preserve"> (sudski sporovi)</w:t>
      </w:r>
    </w:p>
    <w:p w14:paraId="2649C4EF" w14:textId="4ABD1672" w:rsidR="00EE10D2" w:rsidRPr="00EE10D2" w:rsidRDefault="00EE10D2">
      <w:pPr>
        <w:pStyle w:val="NoSpacing"/>
        <w:numPr>
          <w:ilvl w:val="0"/>
          <w:numId w:val="19"/>
        </w:numPr>
        <w:spacing w:line="360" w:lineRule="auto"/>
        <w:jc w:val="both"/>
      </w:pPr>
      <w:r w:rsidRPr="00EE10D2">
        <w:t>Naknadno utvrđeni prihodi: 23.460 eura</w:t>
      </w:r>
      <w:r w:rsidR="001E33D5">
        <w:t xml:space="preserve"> (pretplata naknade za opterećenje okoliša i Hr vode)</w:t>
      </w:r>
    </w:p>
    <w:p w14:paraId="7714C64F" w14:textId="77777777" w:rsidR="00EE10D2" w:rsidRPr="00EE10D2" w:rsidRDefault="00EE10D2">
      <w:pPr>
        <w:pStyle w:val="NoSpacing"/>
        <w:numPr>
          <w:ilvl w:val="0"/>
          <w:numId w:val="19"/>
        </w:numPr>
        <w:spacing w:line="360" w:lineRule="auto"/>
        <w:jc w:val="both"/>
      </w:pPr>
      <w:r w:rsidRPr="00EE10D2">
        <w:t>Viškovi utvrđeni inventurom: 1.713 eura</w:t>
      </w:r>
    </w:p>
    <w:p w14:paraId="7308BB75" w14:textId="43B367A7" w:rsidR="00EE10D2" w:rsidRPr="00EE10D2" w:rsidRDefault="00EE10D2">
      <w:pPr>
        <w:pStyle w:val="NoSpacing"/>
        <w:numPr>
          <w:ilvl w:val="0"/>
          <w:numId w:val="19"/>
        </w:numPr>
        <w:spacing w:line="360" w:lineRule="auto"/>
        <w:jc w:val="both"/>
      </w:pPr>
      <w:r w:rsidRPr="00EE10D2">
        <w:t>Prihodi od najma: 159 eura</w:t>
      </w:r>
      <w:r w:rsidR="002B6274">
        <w:t xml:space="preserve"> </w:t>
      </w:r>
    </w:p>
    <w:p w14:paraId="310C73F6" w14:textId="77777777" w:rsidR="00EE10D2" w:rsidRPr="00EE10D2" w:rsidRDefault="00EE10D2">
      <w:pPr>
        <w:pStyle w:val="NoSpacing"/>
        <w:numPr>
          <w:ilvl w:val="0"/>
          <w:numId w:val="19"/>
        </w:numPr>
        <w:spacing w:line="360" w:lineRule="auto"/>
        <w:jc w:val="both"/>
      </w:pPr>
      <w:r w:rsidRPr="00EE10D2">
        <w:t>Prihodi od naknadnih popusta: 19 eura</w:t>
      </w:r>
    </w:p>
    <w:p w14:paraId="5E7C8D4B" w14:textId="0A7E9313" w:rsidR="00F71005" w:rsidRDefault="003761FF" w:rsidP="00840E6B">
      <w:pPr>
        <w:spacing w:before="240" w:after="240" w:line="360" w:lineRule="auto"/>
        <w:jc w:val="both"/>
      </w:pPr>
      <w:r w:rsidRPr="00CB3323">
        <w:rPr>
          <w:b/>
          <w:bCs/>
        </w:rPr>
        <w:lastRenderedPageBreak/>
        <w:t>Financijski prihodi</w:t>
      </w:r>
      <w:r w:rsidR="00D757A8" w:rsidRPr="00DA6224">
        <w:t xml:space="preserve"> </w:t>
      </w:r>
      <w:r w:rsidR="00F71005" w:rsidRPr="00F71005">
        <w:t>ostvareni su u iznosu od 68.945 eura i u cijelosti se odnose na prihode po osnovi zateznih</w:t>
      </w:r>
      <w:r w:rsidR="002E21A8">
        <w:t xml:space="preserve"> </w:t>
      </w:r>
      <w:r w:rsidR="00F71005" w:rsidRPr="00F71005">
        <w:t>kamata korisnicima usluga zbog nepravovremenog podmirenja obveza.</w:t>
      </w:r>
      <w:r w:rsidR="002E21A8">
        <w:t xml:space="preserve"> </w:t>
      </w:r>
      <w:r w:rsidR="00F71005" w:rsidRPr="00F71005">
        <w:t>U usporedbi s 2023. godinom, manji su za 9%, dok su u odnosu na rebalansirani plan manji za 2%.</w:t>
      </w:r>
    </w:p>
    <w:p w14:paraId="679B2A31" w14:textId="06C95FCE" w:rsidR="00F42A75" w:rsidRPr="00840E6B" w:rsidRDefault="0051436C" w:rsidP="00840E6B">
      <w:pPr>
        <w:spacing w:before="240" w:after="240" w:line="360" w:lineRule="auto"/>
        <w:jc w:val="both"/>
        <w:rPr>
          <w:rFonts w:cstheme="minorHAnsi"/>
        </w:rPr>
      </w:pPr>
      <w:r w:rsidRPr="00840E6B">
        <w:rPr>
          <w:rFonts w:cstheme="minorHAnsi"/>
        </w:rPr>
        <w:t xml:space="preserve">U nastavku slijedi prikaz </w:t>
      </w:r>
      <w:r w:rsidRPr="00840E6B">
        <w:rPr>
          <w:rFonts w:cstheme="minorHAnsi"/>
          <w:b/>
          <w:bCs/>
        </w:rPr>
        <w:t>ukupno prikupljenih količina otpada</w:t>
      </w:r>
      <w:r w:rsidRPr="00840E6B">
        <w:rPr>
          <w:rFonts w:cstheme="minorHAnsi"/>
        </w:rPr>
        <w:t xml:space="preserve"> </w:t>
      </w:r>
      <w:r w:rsidR="004B6D0A" w:rsidRPr="00840E6B">
        <w:rPr>
          <w:rFonts w:cstheme="minorHAnsi"/>
        </w:rPr>
        <w:t>u</w:t>
      </w:r>
      <w:r w:rsidRPr="00840E6B">
        <w:rPr>
          <w:rFonts w:cstheme="minorHAnsi"/>
        </w:rPr>
        <w:t xml:space="preserve"> 20</w:t>
      </w:r>
      <w:r w:rsidR="00FE4C1F" w:rsidRPr="00840E6B">
        <w:rPr>
          <w:rFonts w:cstheme="minorHAnsi"/>
        </w:rPr>
        <w:t>2</w:t>
      </w:r>
      <w:r w:rsidR="00F71005">
        <w:rPr>
          <w:rFonts w:cstheme="minorHAnsi"/>
        </w:rPr>
        <w:t>4</w:t>
      </w:r>
      <w:r w:rsidRPr="00840E6B">
        <w:rPr>
          <w:rFonts w:cstheme="minorHAnsi"/>
        </w:rPr>
        <w:t>. godin</w:t>
      </w:r>
      <w:r w:rsidR="004B6D0A" w:rsidRPr="00840E6B">
        <w:rPr>
          <w:rFonts w:cstheme="minorHAnsi"/>
        </w:rPr>
        <w:t>i</w:t>
      </w:r>
      <w:r w:rsidRPr="00840E6B">
        <w:rPr>
          <w:rFonts w:cstheme="minorHAnsi"/>
        </w:rPr>
        <w:t>, raspoređenih prema ključn</w:t>
      </w:r>
      <w:r w:rsidR="00713E2C" w:rsidRPr="00840E6B">
        <w:rPr>
          <w:rFonts w:cstheme="minorHAnsi"/>
        </w:rPr>
        <w:t>im</w:t>
      </w:r>
      <w:r w:rsidRPr="00840E6B">
        <w:rPr>
          <w:rFonts w:cstheme="minorHAnsi"/>
        </w:rPr>
        <w:t xml:space="preserve"> broj</w:t>
      </w:r>
      <w:r w:rsidR="00713E2C" w:rsidRPr="00840E6B">
        <w:rPr>
          <w:rFonts w:cstheme="minorHAnsi"/>
        </w:rPr>
        <w:t>evima</w:t>
      </w:r>
      <w:r w:rsidRPr="00840E6B">
        <w:rPr>
          <w:rFonts w:cstheme="minorHAnsi"/>
        </w:rPr>
        <w:t xml:space="preserve"> otpada, </w:t>
      </w:r>
      <w:r w:rsidR="00F71005">
        <w:rPr>
          <w:rFonts w:cstheme="minorHAnsi"/>
        </w:rPr>
        <w:t>na temelju kojih</w:t>
      </w:r>
      <w:r w:rsidRPr="00840E6B">
        <w:rPr>
          <w:rFonts w:cstheme="minorHAnsi"/>
        </w:rPr>
        <w:t xml:space="preserve"> su ostvareni prihodi od prodaje komunalnih usluga.</w:t>
      </w:r>
      <w:r w:rsidR="004B6D0A" w:rsidRPr="00840E6B">
        <w:rPr>
          <w:rFonts w:cstheme="minorHAnsi"/>
        </w:rPr>
        <w:t xml:space="preserve"> </w:t>
      </w:r>
    </w:p>
    <w:p w14:paraId="7B8E99FE" w14:textId="69322DBD" w:rsidR="0017565D" w:rsidRPr="00840E6B" w:rsidRDefault="00A05685" w:rsidP="00840E6B">
      <w:pPr>
        <w:spacing w:before="240" w:after="240" w:line="360" w:lineRule="auto"/>
        <w:jc w:val="both"/>
        <w:rPr>
          <w:rFonts w:cstheme="minorHAnsi"/>
          <w:color w:val="FF0000"/>
        </w:rPr>
      </w:pPr>
      <w:r w:rsidRPr="00840E6B">
        <w:rPr>
          <w:rFonts w:cstheme="minorHAnsi"/>
        </w:rPr>
        <w:t xml:space="preserve">Količine otpada podijeljene su u tri kategorije, a čine ih </w:t>
      </w:r>
      <w:r w:rsidRPr="00840E6B">
        <w:rPr>
          <w:rFonts w:cstheme="minorHAnsi"/>
          <w:b/>
          <w:bCs/>
        </w:rPr>
        <w:t>komunalni otpad</w:t>
      </w:r>
      <w:r w:rsidRPr="00840E6B">
        <w:rPr>
          <w:rFonts w:cstheme="minorHAnsi"/>
        </w:rPr>
        <w:t xml:space="preserve"> i</w:t>
      </w:r>
      <w:r w:rsidRPr="00840E6B">
        <w:rPr>
          <w:rFonts w:cstheme="minorHAnsi"/>
          <w:b/>
          <w:bCs/>
        </w:rPr>
        <w:t xml:space="preserve"> proizvodni otpad </w:t>
      </w:r>
      <w:r w:rsidRPr="00840E6B">
        <w:rPr>
          <w:rFonts w:cstheme="minorHAnsi"/>
        </w:rPr>
        <w:t xml:space="preserve">koji se sukladno cjeniku o zbrinjavanju i obradi otpada obračunavaju prema toni prikupljenog otpada. Treću kategoriju čine sekundarne sirovine odnosno </w:t>
      </w:r>
      <w:r w:rsidRPr="00840E6B">
        <w:rPr>
          <w:rFonts w:cstheme="minorHAnsi"/>
          <w:b/>
          <w:bCs/>
        </w:rPr>
        <w:t xml:space="preserve">željezne kovine i neželjezni metali </w:t>
      </w:r>
      <w:r w:rsidRPr="00840E6B">
        <w:rPr>
          <w:rFonts w:cstheme="minorHAnsi"/>
        </w:rPr>
        <w:t xml:space="preserve">čija cijena ovisi o kretanjima na </w:t>
      </w:r>
      <w:r w:rsidRPr="00431494">
        <w:rPr>
          <w:rFonts w:cstheme="minorHAnsi"/>
        </w:rPr>
        <w:t>tržištu</w:t>
      </w:r>
      <w:r w:rsidR="00087FDF" w:rsidRPr="00431494">
        <w:rPr>
          <w:rFonts w:cstheme="minorHAnsi"/>
        </w:rPr>
        <w:t>.</w:t>
      </w:r>
      <w:r w:rsidRPr="00431494">
        <w:rPr>
          <w:rFonts w:cstheme="minorHAnsi"/>
        </w:rPr>
        <w:t xml:space="preserve"> </w:t>
      </w:r>
      <w:r w:rsidR="00431494">
        <w:rPr>
          <w:rFonts w:cstheme="minorHAnsi"/>
        </w:rPr>
        <w:t xml:space="preserve"> </w:t>
      </w:r>
    </w:p>
    <w:p w14:paraId="68214DB4" w14:textId="73FBCF03" w:rsidR="00E33587" w:rsidRPr="00840E6B" w:rsidRDefault="00087FDF" w:rsidP="00840E6B">
      <w:pPr>
        <w:pStyle w:val="Caption"/>
        <w:keepNext/>
        <w:spacing w:before="240" w:after="240"/>
        <w:rPr>
          <w:rFonts w:asciiTheme="minorHAnsi" w:hAnsiTheme="minorHAnsi" w:cstheme="minorHAnsi"/>
          <w:b w:val="0"/>
          <w:bCs w:val="0"/>
          <w:sz w:val="22"/>
          <w:szCs w:val="22"/>
        </w:rPr>
      </w:pPr>
      <w:bookmarkStart w:id="53" w:name="_Toc200366455"/>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17</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Količine otpada specificirane prema ključnim brojevima</w:t>
      </w:r>
      <w:bookmarkEnd w:id="53"/>
    </w:p>
    <w:tbl>
      <w:tblPr>
        <w:tblW w:w="94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5"/>
        <w:gridCol w:w="3175"/>
        <w:gridCol w:w="1034"/>
        <w:gridCol w:w="1032"/>
        <w:gridCol w:w="1034"/>
        <w:gridCol w:w="850"/>
        <w:gridCol w:w="850"/>
        <w:gridCol w:w="850"/>
      </w:tblGrid>
      <w:tr w:rsidR="00080E2D" w:rsidRPr="00080E2D" w14:paraId="1AA6EA58" w14:textId="77777777" w:rsidTr="00CB2603">
        <w:trPr>
          <w:trHeight w:val="794"/>
        </w:trPr>
        <w:tc>
          <w:tcPr>
            <w:tcW w:w="575" w:type="dxa"/>
            <w:tcBorders>
              <w:top w:val="single" w:sz="4" w:space="0" w:color="auto"/>
              <w:bottom w:val="single" w:sz="4" w:space="0" w:color="auto"/>
            </w:tcBorders>
            <w:shd w:val="clear" w:color="auto" w:fill="auto"/>
            <w:vAlign w:val="center"/>
            <w:hideMark/>
          </w:tcPr>
          <w:p w14:paraId="751B71A2" w14:textId="77777777" w:rsidR="00080E2D" w:rsidRPr="00080E2D" w:rsidRDefault="00080E2D" w:rsidP="00080E2D">
            <w:pPr>
              <w:spacing w:after="0" w:line="240" w:lineRule="auto"/>
              <w:rPr>
                <w:rFonts w:eastAsia="Times New Roman" w:cstheme="minorHAnsi"/>
                <w:b/>
                <w:bCs/>
                <w:sz w:val="18"/>
                <w:szCs w:val="18"/>
                <w:lang w:eastAsia="hr-HR"/>
              </w:rPr>
            </w:pPr>
            <w:bookmarkStart w:id="54" w:name="_Hlk200104451"/>
            <w:r w:rsidRPr="00080E2D">
              <w:rPr>
                <w:rFonts w:eastAsia="Times New Roman" w:cstheme="minorHAnsi"/>
                <w:b/>
                <w:bCs/>
                <w:sz w:val="18"/>
                <w:szCs w:val="18"/>
                <w:lang w:eastAsia="hr-HR"/>
              </w:rPr>
              <w:t>R.br.</w:t>
            </w:r>
          </w:p>
        </w:tc>
        <w:tc>
          <w:tcPr>
            <w:tcW w:w="3175" w:type="dxa"/>
            <w:tcBorders>
              <w:top w:val="single" w:sz="4" w:space="0" w:color="auto"/>
              <w:bottom w:val="single" w:sz="4" w:space="0" w:color="auto"/>
            </w:tcBorders>
            <w:shd w:val="clear" w:color="auto" w:fill="auto"/>
            <w:vAlign w:val="center"/>
            <w:hideMark/>
          </w:tcPr>
          <w:p w14:paraId="38E34AEA" w14:textId="77777777" w:rsidR="00080E2D" w:rsidRPr="00080E2D" w:rsidRDefault="00080E2D" w:rsidP="00080E2D">
            <w:pPr>
              <w:spacing w:after="0" w:line="240" w:lineRule="auto"/>
              <w:jc w:val="center"/>
              <w:rPr>
                <w:rFonts w:eastAsia="Times New Roman" w:cstheme="minorHAnsi"/>
                <w:b/>
                <w:bCs/>
                <w:sz w:val="18"/>
                <w:szCs w:val="18"/>
                <w:lang w:eastAsia="hr-HR"/>
              </w:rPr>
            </w:pPr>
            <w:r w:rsidRPr="00080E2D">
              <w:rPr>
                <w:rFonts w:eastAsia="Times New Roman" w:cstheme="minorHAnsi"/>
                <w:b/>
                <w:bCs/>
                <w:sz w:val="18"/>
                <w:szCs w:val="18"/>
                <w:lang w:eastAsia="hr-HR"/>
              </w:rPr>
              <w:t>Opis</w:t>
            </w:r>
          </w:p>
        </w:tc>
        <w:tc>
          <w:tcPr>
            <w:tcW w:w="1034" w:type="dxa"/>
            <w:tcBorders>
              <w:top w:val="single" w:sz="4" w:space="0" w:color="auto"/>
              <w:bottom w:val="single" w:sz="4" w:space="0" w:color="auto"/>
            </w:tcBorders>
            <w:shd w:val="clear" w:color="auto" w:fill="auto"/>
            <w:vAlign w:val="center"/>
            <w:hideMark/>
          </w:tcPr>
          <w:p w14:paraId="02BDBE9D" w14:textId="549DB60B" w:rsidR="00080E2D" w:rsidRPr="00080E2D" w:rsidRDefault="00080E2D" w:rsidP="00080E2D">
            <w:pPr>
              <w:spacing w:after="0" w:line="240" w:lineRule="auto"/>
              <w:jc w:val="center"/>
              <w:rPr>
                <w:rFonts w:eastAsia="Times New Roman" w:cstheme="minorHAnsi"/>
                <w:b/>
                <w:bCs/>
                <w:sz w:val="18"/>
                <w:szCs w:val="18"/>
                <w:lang w:eastAsia="hr-HR"/>
              </w:rPr>
            </w:pPr>
            <w:r w:rsidRPr="00080E2D">
              <w:rPr>
                <w:rFonts w:eastAsia="Times New Roman" w:cstheme="minorHAnsi"/>
                <w:b/>
                <w:bCs/>
                <w:sz w:val="18"/>
                <w:szCs w:val="18"/>
                <w:lang w:eastAsia="hr-HR"/>
              </w:rPr>
              <w:t>Ostvarenje 202</w:t>
            </w:r>
            <w:r w:rsidR="00E16596">
              <w:rPr>
                <w:rFonts w:eastAsia="Times New Roman" w:cstheme="minorHAnsi"/>
                <w:b/>
                <w:bCs/>
                <w:sz w:val="18"/>
                <w:szCs w:val="18"/>
                <w:lang w:eastAsia="hr-HR"/>
              </w:rPr>
              <w:t>3</w:t>
            </w:r>
          </w:p>
        </w:tc>
        <w:tc>
          <w:tcPr>
            <w:tcW w:w="1032" w:type="dxa"/>
            <w:tcBorders>
              <w:top w:val="single" w:sz="4" w:space="0" w:color="auto"/>
              <w:bottom w:val="single" w:sz="4" w:space="0" w:color="auto"/>
            </w:tcBorders>
            <w:shd w:val="clear" w:color="auto" w:fill="auto"/>
            <w:vAlign w:val="center"/>
            <w:hideMark/>
          </w:tcPr>
          <w:p w14:paraId="44464B13" w14:textId="410F5A4F" w:rsidR="00080E2D" w:rsidRPr="00080E2D" w:rsidRDefault="00080E2D" w:rsidP="00080E2D">
            <w:pPr>
              <w:spacing w:after="0" w:line="240" w:lineRule="auto"/>
              <w:jc w:val="center"/>
              <w:rPr>
                <w:rFonts w:eastAsia="Times New Roman" w:cstheme="minorHAnsi"/>
                <w:b/>
                <w:bCs/>
                <w:sz w:val="18"/>
                <w:szCs w:val="18"/>
                <w:lang w:eastAsia="hr-HR"/>
              </w:rPr>
            </w:pPr>
            <w:r w:rsidRPr="00080E2D">
              <w:rPr>
                <w:rFonts w:eastAsia="Times New Roman" w:cstheme="minorHAnsi"/>
                <w:b/>
                <w:bCs/>
                <w:sz w:val="18"/>
                <w:szCs w:val="18"/>
                <w:lang w:eastAsia="hr-HR"/>
              </w:rPr>
              <w:t>Rebalans količina 202</w:t>
            </w:r>
            <w:r w:rsidR="00E16596">
              <w:rPr>
                <w:rFonts w:eastAsia="Times New Roman" w:cstheme="minorHAnsi"/>
                <w:b/>
                <w:bCs/>
                <w:sz w:val="18"/>
                <w:szCs w:val="18"/>
                <w:lang w:eastAsia="hr-HR"/>
              </w:rPr>
              <w:t>4</w:t>
            </w:r>
          </w:p>
        </w:tc>
        <w:tc>
          <w:tcPr>
            <w:tcW w:w="1034" w:type="dxa"/>
            <w:tcBorders>
              <w:top w:val="single" w:sz="4" w:space="0" w:color="auto"/>
              <w:bottom w:val="single" w:sz="4" w:space="0" w:color="auto"/>
            </w:tcBorders>
            <w:shd w:val="clear" w:color="auto" w:fill="auto"/>
            <w:vAlign w:val="center"/>
            <w:hideMark/>
          </w:tcPr>
          <w:p w14:paraId="57BB0107" w14:textId="2D6E5D2B" w:rsidR="00080E2D" w:rsidRPr="00080E2D" w:rsidRDefault="00080E2D" w:rsidP="00080E2D">
            <w:pPr>
              <w:spacing w:after="0" w:line="240" w:lineRule="auto"/>
              <w:jc w:val="center"/>
              <w:rPr>
                <w:rFonts w:eastAsia="Times New Roman" w:cstheme="minorHAnsi"/>
                <w:b/>
                <w:bCs/>
                <w:sz w:val="18"/>
                <w:szCs w:val="18"/>
                <w:lang w:eastAsia="hr-HR"/>
              </w:rPr>
            </w:pPr>
            <w:r w:rsidRPr="00080E2D">
              <w:rPr>
                <w:rFonts w:eastAsia="Times New Roman" w:cstheme="minorHAnsi"/>
                <w:b/>
                <w:bCs/>
                <w:sz w:val="18"/>
                <w:szCs w:val="18"/>
                <w:lang w:eastAsia="hr-HR"/>
              </w:rPr>
              <w:t>Ostvarenje 202</w:t>
            </w:r>
            <w:r w:rsidR="00E16596">
              <w:rPr>
                <w:rFonts w:eastAsia="Times New Roman" w:cstheme="minorHAnsi"/>
                <w:b/>
                <w:bCs/>
                <w:sz w:val="18"/>
                <w:szCs w:val="18"/>
                <w:lang w:eastAsia="hr-HR"/>
              </w:rPr>
              <w:t>4</w:t>
            </w:r>
          </w:p>
        </w:tc>
        <w:tc>
          <w:tcPr>
            <w:tcW w:w="850" w:type="dxa"/>
            <w:tcBorders>
              <w:top w:val="single" w:sz="4" w:space="0" w:color="auto"/>
              <w:bottom w:val="single" w:sz="4" w:space="0" w:color="auto"/>
            </w:tcBorders>
            <w:shd w:val="clear" w:color="auto" w:fill="auto"/>
            <w:vAlign w:val="center"/>
            <w:hideMark/>
          </w:tcPr>
          <w:p w14:paraId="3C235451" w14:textId="5650D306" w:rsidR="00080E2D" w:rsidRPr="00080E2D" w:rsidRDefault="00080E2D" w:rsidP="00080E2D">
            <w:pPr>
              <w:spacing w:after="0" w:line="240" w:lineRule="auto"/>
              <w:jc w:val="center"/>
              <w:rPr>
                <w:rFonts w:eastAsia="Times New Roman" w:cstheme="minorHAnsi"/>
                <w:b/>
                <w:bCs/>
                <w:sz w:val="18"/>
                <w:szCs w:val="18"/>
                <w:lang w:eastAsia="hr-HR"/>
              </w:rPr>
            </w:pPr>
            <w:r w:rsidRPr="00080E2D">
              <w:rPr>
                <w:rFonts w:eastAsia="Times New Roman" w:cstheme="minorHAnsi"/>
                <w:b/>
                <w:bCs/>
                <w:sz w:val="18"/>
                <w:szCs w:val="18"/>
                <w:lang w:eastAsia="hr-HR"/>
              </w:rPr>
              <w:t>Udio            202</w:t>
            </w:r>
            <w:r w:rsidR="00E16596">
              <w:rPr>
                <w:rFonts w:eastAsia="Times New Roman" w:cstheme="minorHAnsi"/>
                <w:b/>
                <w:bCs/>
                <w:sz w:val="18"/>
                <w:szCs w:val="18"/>
                <w:lang w:eastAsia="hr-HR"/>
              </w:rPr>
              <w:t>4</w:t>
            </w:r>
          </w:p>
        </w:tc>
        <w:tc>
          <w:tcPr>
            <w:tcW w:w="850" w:type="dxa"/>
            <w:tcBorders>
              <w:top w:val="single" w:sz="4" w:space="0" w:color="auto"/>
              <w:bottom w:val="single" w:sz="4" w:space="0" w:color="auto"/>
            </w:tcBorders>
            <w:shd w:val="clear" w:color="auto" w:fill="auto"/>
            <w:vAlign w:val="center"/>
            <w:hideMark/>
          </w:tcPr>
          <w:p w14:paraId="32667B0C" w14:textId="77777777" w:rsidR="00080E2D" w:rsidRPr="00080E2D" w:rsidRDefault="00080E2D" w:rsidP="00080E2D">
            <w:pPr>
              <w:spacing w:after="0" w:line="240" w:lineRule="auto"/>
              <w:jc w:val="center"/>
              <w:rPr>
                <w:rFonts w:eastAsia="Times New Roman" w:cstheme="minorHAnsi"/>
                <w:b/>
                <w:bCs/>
                <w:color w:val="000000"/>
                <w:sz w:val="18"/>
                <w:szCs w:val="18"/>
                <w:lang w:eastAsia="hr-HR"/>
              </w:rPr>
            </w:pPr>
            <w:r w:rsidRPr="00080E2D">
              <w:rPr>
                <w:rFonts w:eastAsia="Times New Roman" w:cstheme="minorHAnsi"/>
                <w:b/>
                <w:bCs/>
                <w:color w:val="000000"/>
                <w:sz w:val="18"/>
                <w:szCs w:val="18"/>
                <w:lang w:eastAsia="hr-HR"/>
              </w:rPr>
              <w:t>indeks    (5/3)</w:t>
            </w:r>
          </w:p>
        </w:tc>
        <w:tc>
          <w:tcPr>
            <w:tcW w:w="850" w:type="dxa"/>
            <w:tcBorders>
              <w:top w:val="single" w:sz="4" w:space="0" w:color="auto"/>
              <w:bottom w:val="single" w:sz="4" w:space="0" w:color="auto"/>
            </w:tcBorders>
            <w:shd w:val="clear" w:color="auto" w:fill="auto"/>
            <w:vAlign w:val="center"/>
            <w:hideMark/>
          </w:tcPr>
          <w:p w14:paraId="208B4A1C" w14:textId="77777777" w:rsidR="00080E2D" w:rsidRPr="00080E2D" w:rsidRDefault="00080E2D" w:rsidP="00080E2D">
            <w:pPr>
              <w:spacing w:after="0" w:line="240" w:lineRule="auto"/>
              <w:jc w:val="center"/>
              <w:rPr>
                <w:rFonts w:eastAsia="Times New Roman" w:cstheme="minorHAnsi"/>
                <w:b/>
                <w:bCs/>
                <w:color w:val="000000"/>
                <w:sz w:val="18"/>
                <w:szCs w:val="18"/>
                <w:lang w:eastAsia="hr-HR"/>
              </w:rPr>
            </w:pPr>
            <w:r w:rsidRPr="00080E2D">
              <w:rPr>
                <w:rFonts w:eastAsia="Times New Roman" w:cstheme="minorHAnsi"/>
                <w:b/>
                <w:bCs/>
                <w:color w:val="000000"/>
                <w:sz w:val="18"/>
                <w:szCs w:val="18"/>
                <w:lang w:eastAsia="hr-HR"/>
              </w:rPr>
              <w:t>indeks           (5/4)</w:t>
            </w:r>
          </w:p>
        </w:tc>
      </w:tr>
      <w:tr w:rsidR="00080E2D" w:rsidRPr="00080E2D" w14:paraId="6682DF95" w14:textId="77777777" w:rsidTr="00CB2603">
        <w:trPr>
          <w:trHeight w:val="174"/>
        </w:trPr>
        <w:tc>
          <w:tcPr>
            <w:tcW w:w="575" w:type="dxa"/>
            <w:tcBorders>
              <w:top w:val="single" w:sz="4" w:space="0" w:color="auto"/>
              <w:bottom w:val="single" w:sz="4" w:space="0" w:color="auto"/>
            </w:tcBorders>
            <w:shd w:val="clear" w:color="auto" w:fill="auto"/>
            <w:vAlign w:val="center"/>
            <w:hideMark/>
          </w:tcPr>
          <w:p w14:paraId="1078E11A" w14:textId="77777777" w:rsidR="00080E2D" w:rsidRPr="00CB2603" w:rsidRDefault="00080E2D" w:rsidP="00080E2D">
            <w:pPr>
              <w:spacing w:after="0" w:line="240" w:lineRule="auto"/>
              <w:jc w:val="center"/>
              <w:rPr>
                <w:rFonts w:eastAsia="Times New Roman" w:cstheme="minorHAnsi"/>
                <w:i/>
                <w:iCs/>
                <w:color w:val="AEAAAA"/>
                <w:sz w:val="14"/>
                <w:szCs w:val="14"/>
                <w:lang w:eastAsia="hr-HR"/>
              </w:rPr>
            </w:pPr>
            <w:r w:rsidRPr="00CB2603">
              <w:rPr>
                <w:rFonts w:eastAsia="Times New Roman" w:cstheme="minorHAnsi"/>
                <w:i/>
                <w:iCs/>
                <w:color w:val="AEAAAA"/>
                <w:sz w:val="14"/>
                <w:szCs w:val="14"/>
                <w:lang w:eastAsia="hr-HR"/>
              </w:rPr>
              <w:t>1</w:t>
            </w:r>
          </w:p>
        </w:tc>
        <w:tc>
          <w:tcPr>
            <w:tcW w:w="3175" w:type="dxa"/>
            <w:tcBorders>
              <w:top w:val="single" w:sz="4" w:space="0" w:color="auto"/>
              <w:bottom w:val="single" w:sz="4" w:space="0" w:color="auto"/>
            </w:tcBorders>
            <w:shd w:val="clear" w:color="auto" w:fill="auto"/>
            <w:vAlign w:val="center"/>
            <w:hideMark/>
          </w:tcPr>
          <w:p w14:paraId="08605F97" w14:textId="77777777" w:rsidR="00080E2D" w:rsidRPr="00CB2603" w:rsidRDefault="00080E2D" w:rsidP="00080E2D">
            <w:pPr>
              <w:spacing w:after="0" w:line="240" w:lineRule="auto"/>
              <w:jc w:val="center"/>
              <w:rPr>
                <w:rFonts w:eastAsia="Times New Roman" w:cstheme="minorHAnsi"/>
                <w:b/>
                <w:bCs/>
                <w:color w:val="AEAAAA"/>
                <w:sz w:val="14"/>
                <w:szCs w:val="14"/>
                <w:lang w:eastAsia="hr-HR"/>
              </w:rPr>
            </w:pPr>
            <w:r w:rsidRPr="00CB2603">
              <w:rPr>
                <w:rFonts w:eastAsia="Times New Roman" w:cstheme="minorHAnsi"/>
                <w:b/>
                <w:bCs/>
                <w:color w:val="AEAAAA"/>
                <w:sz w:val="14"/>
                <w:szCs w:val="14"/>
                <w:lang w:eastAsia="hr-HR"/>
              </w:rPr>
              <w:t>2</w:t>
            </w:r>
          </w:p>
        </w:tc>
        <w:tc>
          <w:tcPr>
            <w:tcW w:w="1034" w:type="dxa"/>
            <w:tcBorders>
              <w:top w:val="single" w:sz="4" w:space="0" w:color="auto"/>
              <w:bottom w:val="single" w:sz="4" w:space="0" w:color="auto"/>
            </w:tcBorders>
            <w:shd w:val="clear" w:color="auto" w:fill="auto"/>
            <w:noWrap/>
            <w:vAlign w:val="center"/>
            <w:hideMark/>
          </w:tcPr>
          <w:p w14:paraId="743FDFB8" w14:textId="77777777" w:rsidR="00080E2D" w:rsidRPr="00CB2603" w:rsidRDefault="00080E2D" w:rsidP="00080E2D">
            <w:pPr>
              <w:spacing w:after="0" w:line="240" w:lineRule="auto"/>
              <w:jc w:val="center"/>
              <w:rPr>
                <w:rFonts w:eastAsia="Times New Roman" w:cstheme="minorHAnsi"/>
                <w:b/>
                <w:bCs/>
                <w:color w:val="BFBFBF"/>
                <w:sz w:val="14"/>
                <w:szCs w:val="14"/>
                <w:lang w:eastAsia="hr-HR"/>
              </w:rPr>
            </w:pPr>
            <w:r w:rsidRPr="00CB2603">
              <w:rPr>
                <w:rFonts w:eastAsia="Times New Roman" w:cstheme="minorHAnsi"/>
                <w:b/>
                <w:bCs/>
                <w:color w:val="BFBFBF"/>
                <w:sz w:val="14"/>
                <w:szCs w:val="14"/>
                <w:lang w:eastAsia="hr-HR"/>
              </w:rPr>
              <w:t>3</w:t>
            </w:r>
          </w:p>
        </w:tc>
        <w:tc>
          <w:tcPr>
            <w:tcW w:w="1032" w:type="dxa"/>
            <w:tcBorders>
              <w:top w:val="single" w:sz="4" w:space="0" w:color="auto"/>
              <w:bottom w:val="single" w:sz="4" w:space="0" w:color="auto"/>
            </w:tcBorders>
            <w:shd w:val="clear" w:color="auto" w:fill="auto"/>
            <w:vAlign w:val="center"/>
            <w:hideMark/>
          </w:tcPr>
          <w:p w14:paraId="51769B11" w14:textId="77777777" w:rsidR="00080E2D" w:rsidRPr="00CB2603" w:rsidRDefault="00080E2D" w:rsidP="00080E2D">
            <w:pPr>
              <w:spacing w:after="0" w:line="240" w:lineRule="auto"/>
              <w:jc w:val="center"/>
              <w:rPr>
                <w:rFonts w:eastAsia="Times New Roman" w:cstheme="minorHAnsi"/>
                <w:b/>
                <w:bCs/>
                <w:color w:val="AEAAAA"/>
                <w:sz w:val="14"/>
                <w:szCs w:val="14"/>
                <w:lang w:eastAsia="hr-HR"/>
              </w:rPr>
            </w:pPr>
            <w:r w:rsidRPr="00CB2603">
              <w:rPr>
                <w:rFonts w:eastAsia="Times New Roman" w:cstheme="minorHAnsi"/>
                <w:b/>
                <w:bCs/>
                <w:color w:val="AEAAAA"/>
                <w:sz w:val="14"/>
                <w:szCs w:val="14"/>
                <w:lang w:eastAsia="hr-HR"/>
              </w:rPr>
              <w:t>4</w:t>
            </w:r>
          </w:p>
        </w:tc>
        <w:tc>
          <w:tcPr>
            <w:tcW w:w="1034" w:type="dxa"/>
            <w:tcBorders>
              <w:top w:val="single" w:sz="4" w:space="0" w:color="auto"/>
              <w:bottom w:val="single" w:sz="4" w:space="0" w:color="auto"/>
            </w:tcBorders>
            <w:shd w:val="clear" w:color="auto" w:fill="auto"/>
            <w:noWrap/>
            <w:vAlign w:val="center"/>
            <w:hideMark/>
          </w:tcPr>
          <w:p w14:paraId="4E27B384" w14:textId="77777777" w:rsidR="00080E2D" w:rsidRPr="00CB2603" w:rsidRDefault="00080E2D" w:rsidP="00080E2D">
            <w:pPr>
              <w:spacing w:after="0" w:line="240" w:lineRule="auto"/>
              <w:jc w:val="center"/>
              <w:rPr>
                <w:rFonts w:eastAsia="Times New Roman" w:cstheme="minorHAnsi"/>
                <w:b/>
                <w:bCs/>
                <w:color w:val="BFBFBF"/>
                <w:sz w:val="14"/>
                <w:szCs w:val="14"/>
                <w:lang w:eastAsia="hr-HR"/>
              </w:rPr>
            </w:pPr>
            <w:r w:rsidRPr="00CB2603">
              <w:rPr>
                <w:rFonts w:eastAsia="Times New Roman" w:cstheme="minorHAnsi"/>
                <w:b/>
                <w:bCs/>
                <w:color w:val="BFBFBF"/>
                <w:sz w:val="14"/>
                <w:szCs w:val="14"/>
                <w:lang w:eastAsia="hr-HR"/>
              </w:rPr>
              <w:t>5</w:t>
            </w:r>
          </w:p>
        </w:tc>
        <w:tc>
          <w:tcPr>
            <w:tcW w:w="850" w:type="dxa"/>
            <w:tcBorders>
              <w:top w:val="single" w:sz="4" w:space="0" w:color="auto"/>
              <w:bottom w:val="single" w:sz="4" w:space="0" w:color="auto"/>
            </w:tcBorders>
            <w:shd w:val="clear" w:color="auto" w:fill="auto"/>
            <w:noWrap/>
            <w:vAlign w:val="center"/>
            <w:hideMark/>
          </w:tcPr>
          <w:p w14:paraId="641EAEB6" w14:textId="77777777" w:rsidR="00080E2D" w:rsidRPr="00CB2603" w:rsidRDefault="00080E2D" w:rsidP="00080E2D">
            <w:pPr>
              <w:spacing w:after="0" w:line="240" w:lineRule="auto"/>
              <w:jc w:val="center"/>
              <w:rPr>
                <w:rFonts w:eastAsia="Times New Roman" w:cstheme="minorHAnsi"/>
                <w:b/>
                <w:bCs/>
                <w:color w:val="BFBFBF"/>
                <w:sz w:val="14"/>
                <w:szCs w:val="14"/>
                <w:lang w:eastAsia="hr-HR"/>
              </w:rPr>
            </w:pPr>
            <w:r w:rsidRPr="00CB2603">
              <w:rPr>
                <w:rFonts w:eastAsia="Times New Roman" w:cstheme="minorHAnsi"/>
                <w:b/>
                <w:bCs/>
                <w:color w:val="BFBFBF"/>
                <w:sz w:val="14"/>
                <w:szCs w:val="14"/>
                <w:lang w:eastAsia="hr-HR"/>
              </w:rPr>
              <w:t>6</w:t>
            </w:r>
          </w:p>
        </w:tc>
        <w:tc>
          <w:tcPr>
            <w:tcW w:w="850" w:type="dxa"/>
            <w:tcBorders>
              <w:top w:val="single" w:sz="4" w:space="0" w:color="auto"/>
              <w:bottom w:val="single" w:sz="4" w:space="0" w:color="auto"/>
            </w:tcBorders>
            <w:shd w:val="clear" w:color="auto" w:fill="auto"/>
            <w:vAlign w:val="center"/>
            <w:hideMark/>
          </w:tcPr>
          <w:p w14:paraId="08215B34" w14:textId="77777777" w:rsidR="00080E2D" w:rsidRPr="00CB2603" w:rsidRDefault="00080E2D" w:rsidP="00080E2D">
            <w:pPr>
              <w:spacing w:after="0" w:line="240" w:lineRule="auto"/>
              <w:jc w:val="center"/>
              <w:rPr>
                <w:rFonts w:eastAsia="Times New Roman" w:cstheme="minorHAnsi"/>
                <w:b/>
                <w:bCs/>
                <w:color w:val="AEAAAA"/>
                <w:sz w:val="14"/>
                <w:szCs w:val="14"/>
                <w:lang w:eastAsia="hr-HR"/>
              </w:rPr>
            </w:pPr>
            <w:r w:rsidRPr="00CB2603">
              <w:rPr>
                <w:rFonts w:eastAsia="Times New Roman" w:cstheme="minorHAnsi"/>
                <w:b/>
                <w:bCs/>
                <w:color w:val="AEAAAA"/>
                <w:sz w:val="14"/>
                <w:szCs w:val="14"/>
                <w:lang w:eastAsia="hr-HR"/>
              </w:rPr>
              <w:t>7</w:t>
            </w:r>
          </w:p>
        </w:tc>
        <w:tc>
          <w:tcPr>
            <w:tcW w:w="850" w:type="dxa"/>
            <w:tcBorders>
              <w:top w:val="single" w:sz="4" w:space="0" w:color="auto"/>
              <w:bottom w:val="single" w:sz="4" w:space="0" w:color="auto"/>
            </w:tcBorders>
            <w:shd w:val="clear" w:color="auto" w:fill="auto"/>
            <w:noWrap/>
            <w:vAlign w:val="center"/>
            <w:hideMark/>
          </w:tcPr>
          <w:p w14:paraId="02B4A0A1" w14:textId="77777777" w:rsidR="00080E2D" w:rsidRPr="00CB2603" w:rsidRDefault="00080E2D" w:rsidP="00080E2D">
            <w:pPr>
              <w:spacing w:after="0" w:line="240" w:lineRule="auto"/>
              <w:jc w:val="center"/>
              <w:rPr>
                <w:rFonts w:eastAsia="Times New Roman" w:cstheme="minorHAnsi"/>
                <w:b/>
                <w:bCs/>
                <w:color w:val="BFBFBF"/>
                <w:sz w:val="14"/>
                <w:szCs w:val="14"/>
                <w:lang w:eastAsia="hr-HR"/>
              </w:rPr>
            </w:pPr>
            <w:r w:rsidRPr="00CB2603">
              <w:rPr>
                <w:rFonts w:eastAsia="Times New Roman" w:cstheme="minorHAnsi"/>
                <w:b/>
                <w:bCs/>
                <w:color w:val="BFBFBF"/>
                <w:sz w:val="14"/>
                <w:szCs w:val="14"/>
                <w:lang w:eastAsia="hr-HR"/>
              </w:rPr>
              <w:t>8</w:t>
            </w:r>
          </w:p>
        </w:tc>
      </w:tr>
      <w:tr w:rsidR="00CB2603" w:rsidRPr="00080E2D" w14:paraId="57605B98" w14:textId="77777777" w:rsidTr="00CB2603">
        <w:trPr>
          <w:trHeight w:val="313"/>
        </w:trPr>
        <w:tc>
          <w:tcPr>
            <w:tcW w:w="575" w:type="dxa"/>
            <w:tcBorders>
              <w:top w:val="single" w:sz="4" w:space="0" w:color="auto"/>
            </w:tcBorders>
            <w:shd w:val="clear" w:color="auto" w:fill="auto"/>
            <w:noWrap/>
            <w:vAlign w:val="center"/>
            <w:hideMark/>
          </w:tcPr>
          <w:p w14:paraId="1A831BAF" w14:textId="77777777" w:rsidR="00CB2603" w:rsidRPr="00080E2D" w:rsidRDefault="00CB2603" w:rsidP="00CB2603">
            <w:pPr>
              <w:spacing w:after="0" w:line="240" w:lineRule="auto"/>
              <w:rPr>
                <w:rFonts w:eastAsia="Times New Roman" w:cstheme="minorHAnsi"/>
                <w:b/>
                <w:bCs/>
                <w:color w:val="000000"/>
                <w:sz w:val="18"/>
                <w:szCs w:val="18"/>
                <w:lang w:eastAsia="hr-HR"/>
              </w:rPr>
            </w:pPr>
            <w:r w:rsidRPr="00080E2D">
              <w:rPr>
                <w:rFonts w:eastAsia="Times New Roman" w:cstheme="minorHAnsi"/>
                <w:b/>
                <w:bCs/>
                <w:color w:val="000000"/>
                <w:sz w:val="18"/>
                <w:szCs w:val="18"/>
                <w:lang w:eastAsia="hr-HR"/>
              </w:rPr>
              <w:t>1.</w:t>
            </w:r>
          </w:p>
        </w:tc>
        <w:tc>
          <w:tcPr>
            <w:tcW w:w="3175" w:type="dxa"/>
            <w:tcBorders>
              <w:top w:val="single" w:sz="4" w:space="0" w:color="auto"/>
            </w:tcBorders>
            <w:shd w:val="clear" w:color="auto" w:fill="auto"/>
            <w:vAlign w:val="center"/>
            <w:hideMark/>
          </w:tcPr>
          <w:p w14:paraId="32C9B9BA" w14:textId="77777777" w:rsidR="00CB2603" w:rsidRPr="00080E2D" w:rsidRDefault="00CB2603" w:rsidP="00CB2603">
            <w:pPr>
              <w:spacing w:after="0" w:line="240" w:lineRule="auto"/>
              <w:rPr>
                <w:rFonts w:eastAsia="Times New Roman" w:cstheme="minorHAnsi"/>
                <w:b/>
                <w:bCs/>
                <w:color w:val="000000"/>
                <w:sz w:val="18"/>
                <w:szCs w:val="18"/>
                <w:lang w:eastAsia="hr-HR"/>
              </w:rPr>
            </w:pPr>
            <w:r w:rsidRPr="00080E2D">
              <w:rPr>
                <w:rFonts w:eastAsia="Times New Roman" w:cstheme="minorHAnsi"/>
                <w:b/>
                <w:bCs/>
                <w:color w:val="000000"/>
                <w:sz w:val="18"/>
                <w:szCs w:val="18"/>
                <w:lang w:eastAsia="hr-HR"/>
              </w:rPr>
              <w:t>Komunalni otpad</w:t>
            </w:r>
          </w:p>
        </w:tc>
        <w:tc>
          <w:tcPr>
            <w:tcW w:w="1034" w:type="dxa"/>
            <w:tcBorders>
              <w:top w:val="single" w:sz="4" w:space="0" w:color="auto"/>
            </w:tcBorders>
            <w:shd w:val="clear" w:color="auto" w:fill="auto"/>
            <w:noWrap/>
            <w:vAlign w:val="center"/>
            <w:hideMark/>
          </w:tcPr>
          <w:p w14:paraId="7FE6F466" w14:textId="7B425C69" w:rsidR="00CB2603" w:rsidRPr="00CB2603" w:rsidRDefault="00CB2603" w:rsidP="00CB2603">
            <w:pPr>
              <w:spacing w:after="0" w:line="240" w:lineRule="auto"/>
              <w:jc w:val="center"/>
              <w:rPr>
                <w:rFonts w:eastAsia="Times New Roman" w:cstheme="minorHAnsi"/>
                <w:b/>
                <w:bCs/>
                <w:color w:val="000000"/>
                <w:sz w:val="18"/>
                <w:szCs w:val="18"/>
                <w:lang w:eastAsia="hr-HR"/>
              </w:rPr>
            </w:pPr>
            <w:r w:rsidRPr="00CB2603">
              <w:rPr>
                <w:rFonts w:ascii="Calibri" w:hAnsi="Calibri" w:cs="Calibri"/>
                <w:b/>
                <w:bCs/>
                <w:color w:val="000000"/>
                <w:sz w:val="18"/>
                <w:szCs w:val="18"/>
              </w:rPr>
              <w:t>82.557</w:t>
            </w:r>
          </w:p>
        </w:tc>
        <w:tc>
          <w:tcPr>
            <w:tcW w:w="1032" w:type="dxa"/>
            <w:tcBorders>
              <w:top w:val="single" w:sz="4" w:space="0" w:color="auto"/>
            </w:tcBorders>
            <w:shd w:val="clear" w:color="auto" w:fill="auto"/>
            <w:noWrap/>
            <w:vAlign w:val="center"/>
            <w:hideMark/>
          </w:tcPr>
          <w:p w14:paraId="5A3AF978" w14:textId="22D4805C" w:rsidR="00CB2603" w:rsidRPr="00CB2603" w:rsidRDefault="00CB2603" w:rsidP="00CB2603">
            <w:pPr>
              <w:spacing w:after="0" w:line="240" w:lineRule="auto"/>
              <w:jc w:val="center"/>
              <w:rPr>
                <w:rFonts w:eastAsia="Times New Roman" w:cstheme="minorHAnsi"/>
                <w:b/>
                <w:bCs/>
                <w:color w:val="000000"/>
                <w:sz w:val="18"/>
                <w:szCs w:val="18"/>
                <w:lang w:eastAsia="hr-HR"/>
              </w:rPr>
            </w:pPr>
            <w:r w:rsidRPr="00CB2603">
              <w:rPr>
                <w:rFonts w:ascii="Calibri" w:hAnsi="Calibri" w:cs="Calibri"/>
                <w:b/>
                <w:bCs/>
                <w:sz w:val="18"/>
                <w:szCs w:val="18"/>
              </w:rPr>
              <w:t>87.837</w:t>
            </w:r>
          </w:p>
        </w:tc>
        <w:tc>
          <w:tcPr>
            <w:tcW w:w="1034" w:type="dxa"/>
            <w:tcBorders>
              <w:top w:val="single" w:sz="4" w:space="0" w:color="auto"/>
            </w:tcBorders>
            <w:shd w:val="clear" w:color="auto" w:fill="auto"/>
            <w:noWrap/>
            <w:vAlign w:val="center"/>
            <w:hideMark/>
          </w:tcPr>
          <w:p w14:paraId="238159B8" w14:textId="1D8075E0"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84.863</w:t>
            </w:r>
          </w:p>
        </w:tc>
        <w:tc>
          <w:tcPr>
            <w:tcW w:w="850" w:type="dxa"/>
            <w:tcBorders>
              <w:top w:val="single" w:sz="4" w:space="0" w:color="auto"/>
            </w:tcBorders>
            <w:shd w:val="clear" w:color="auto" w:fill="auto"/>
            <w:noWrap/>
            <w:vAlign w:val="center"/>
            <w:hideMark/>
          </w:tcPr>
          <w:p w14:paraId="345BBB9D" w14:textId="63DCAABF"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99,74%</w:t>
            </w:r>
          </w:p>
        </w:tc>
        <w:tc>
          <w:tcPr>
            <w:tcW w:w="850" w:type="dxa"/>
            <w:tcBorders>
              <w:top w:val="single" w:sz="4" w:space="0" w:color="auto"/>
            </w:tcBorders>
            <w:shd w:val="clear" w:color="auto" w:fill="auto"/>
            <w:noWrap/>
            <w:vAlign w:val="center"/>
            <w:hideMark/>
          </w:tcPr>
          <w:p w14:paraId="3E3952B9" w14:textId="1A74FA5D"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103%</w:t>
            </w:r>
          </w:p>
        </w:tc>
        <w:tc>
          <w:tcPr>
            <w:tcW w:w="850" w:type="dxa"/>
            <w:tcBorders>
              <w:top w:val="single" w:sz="4" w:space="0" w:color="auto"/>
            </w:tcBorders>
            <w:shd w:val="clear" w:color="auto" w:fill="auto"/>
            <w:noWrap/>
            <w:vAlign w:val="center"/>
            <w:hideMark/>
          </w:tcPr>
          <w:p w14:paraId="38275122" w14:textId="1196CF0C"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97%</w:t>
            </w:r>
          </w:p>
        </w:tc>
      </w:tr>
      <w:tr w:rsidR="00CB2603" w:rsidRPr="00080E2D" w14:paraId="42FA4806" w14:textId="77777777" w:rsidTr="00CB2603">
        <w:trPr>
          <w:trHeight w:val="300"/>
        </w:trPr>
        <w:tc>
          <w:tcPr>
            <w:tcW w:w="575" w:type="dxa"/>
            <w:shd w:val="clear" w:color="auto" w:fill="auto"/>
            <w:noWrap/>
            <w:vAlign w:val="center"/>
            <w:hideMark/>
          </w:tcPr>
          <w:p w14:paraId="26A6B2AF"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1.1</w:t>
            </w:r>
          </w:p>
        </w:tc>
        <w:tc>
          <w:tcPr>
            <w:tcW w:w="3175" w:type="dxa"/>
            <w:shd w:val="clear" w:color="auto" w:fill="auto"/>
            <w:vAlign w:val="center"/>
            <w:hideMark/>
          </w:tcPr>
          <w:p w14:paraId="64219C98"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20-02-03 - ostali otpad koji nije biorazgradiv</w:t>
            </w:r>
          </w:p>
        </w:tc>
        <w:tc>
          <w:tcPr>
            <w:tcW w:w="1034" w:type="dxa"/>
            <w:shd w:val="clear" w:color="auto" w:fill="auto"/>
            <w:vAlign w:val="center"/>
            <w:hideMark/>
          </w:tcPr>
          <w:p w14:paraId="788155D2" w14:textId="27564B15"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63</w:t>
            </w:r>
          </w:p>
        </w:tc>
        <w:tc>
          <w:tcPr>
            <w:tcW w:w="1032" w:type="dxa"/>
            <w:shd w:val="clear" w:color="auto" w:fill="auto"/>
            <w:noWrap/>
            <w:vAlign w:val="center"/>
            <w:hideMark/>
          </w:tcPr>
          <w:p w14:paraId="14C65AFE" w14:textId="57AFAF67"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sz w:val="18"/>
                <w:szCs w:val="18"/>
              </w:rPr>
              <w:t>56</w:t>
            </w:r>
          </w:p>
        </w:tc>
        <w:tc>
          <w:tcPr>
            <w:tcW w:w="1034" w:type="dxa"/>
            <w:shd w:val="clear" w:color="auto" w:fill="auto"/>
            <w:noWrap/>
            <w:vAlign w:val="center"/>
            <w:hideMark/>
          </w:tcPr>
          <w:p w14:paraId="189D85F0" w14:textId="44FD85A8"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65</w:t>
            </w:r>
          </w:p>
        </w:tc>
        <w:tc>
          <w:tcPr>
            <w:tcW w:w="850" w:type="dxa"/>
            <w:shd w:val="clear" w:color="auto" w:fill="auto"/>
            <w:noWrap/>
            <w:vAlign w:val="center"/>
            <w:hideMark/>
          </w:tcPr>
          <w:p w14:paraId="6E27FC7C" w14:textId="4BF38E4E"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0,08%</w:t>
            </w:r>
          </w:p>
        </w:tc>
        <w:tc>
          <w:tcPr>
            <w:tcW w:w="850" w:type="dxa"/>
            <w:shd w:val="clear" w:color="auto" w:fill="auto"/>
            <w:noWrap/>
            <w:vAlign w:val="center"/>
            <w:hideMark/>
          </w:tcPr>
          <w:p w14:paraId="0F0E1903" w14:textId="2FBFB3CF"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103%</w:t>
            </w:r>
          </w:p>
        </w:tc>
        <w:tc>
          <w:tcPr>
            <w:tcW w:w="850" w:type="dxa"/>
            <w:shd w:val="clear" w:color="auto" w:fill="auto"/>
            <w:noWrap/>
            <w:vAlign w:val="center"/>
            <w:hideMark/>
          </w:tcPr>
          <w:p w14:paraId="2AE23439" w14:textId="0D24F1EE"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116%</w:t>
            </w:r>
          </w:p>
        </w:tc>
      </w:tr>
      <w:tr w:rsidR="00CB2603" w:rsidRPr="00080E2D" w14:paraId="356B2994" w14:textId="77777777" w:rsidTr="00CB2603">
        <w:trPr>
          <w:trHeight w:val="300"/>
        </w:trPr>
        <w:tc>
          <w:tcPr>
            <w:tcW w:w="575" w:type="dxa"/>
            <w:shd w:val="clear" w:color="auto" w:fill="auto"/>
            <w:noWrap/>
            <w:vAlign w:val="center"/>
            <w:hideMark/>
          </w:tcPr>
          <w:p w14:paraId="16A9D570"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1.2</w:t>
            </w:r>
          </w:p>
        </w:tc>
        <w:tc>
          <w:tcPr>
            <w:tcW w:w="3175" w:type="dxa"/>
            <w:shd w:val="clear" w:color="auto" w:fill="auto"/>
            <w:vAlign w:val="center"/>
            <w:hideMark/>
          </w:tcPr>
          <w:p w14:paraId="0C6DF991"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20-03-01 - miješani komunalni otpad</w:t>
            </w:r>
          </w:p>
        </w:tc>
        <w:tc>
          <w:tcPr>
            <w:tcW w:w="1034" w:type="dxa"/>
            <w:shd w:val="clear" w:color="auto" w:fill="auto"/>
            <w:vAlign w:val="center"/>
            <w:hideMark/>
          </w:tcPr>
          <w:p w14:paraId="720BD4EA" w14:textId="2FF5629B"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80.337</w:t>
            </w:r>
          </w:p>
        </w:tc>
        <w:tc>
          <w:tcPr>
            <w:tcW w:w="1032" w:type="dxa"/>
            <w:shd w:val="clear" w:color="auto" w:fill="auto"/>
            <w:noWrap/>
            <w:vAlign w:val="center"/>
            <w:hideMark/>
          </w:tcPr>
          <w:p w14:paraId="4AF3F969" w14:textId="3E2A3C02"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sz w:val="18"/>
                <w:szCs w:val="18"/>
              </w:rPr>
              <w:t>86.506</w:t>
            </w:r>
          </w:p>
        </w:tc>
        <w:tc>
          <w:tcPr>
            <w:tcW w:w="1034" w:type="dxa"/>
            <w:shd w:val="clear" w:color="auto" w:fill="auto"/>
            <w:noWrap/>
            <w:vAlign w:val="center"/>
            <w:hideMark/>
          </w:tcPr>
          <w:p w14:paraId="0CB41A46" w14:textId="221F8C14"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83.423</w:t>
            </w:r>
          </w:p>
        </w:tc>
        <w:tc>
          <w:tcPr>
            <w:tcW w:w="850" w:type="dxa"/>
            <w:shd w:val="clear" w:color="auto" w:fill="auto"/>
            <w:noWrap/>
            <w:vAlign w:val="center"/>
            <w:hideMark/>
          </w:tcPr>
          <w:p w14:paraId="74609CD5" w14:textId="7EBA8B4A"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98,05%</w:t>
            </w:r>
          </w:p>
        </w:tc>
        <w:tc>
          <w:tcPr>
            <w:tcW w:w="850" w:type="dxa"/>
            <w:shd w:val="clear" w:color="auto" w:fill="auto"/>
            <w:noWrap/>
            <w:vAlign w:val="center"/>
            <w:hideMark/>
          </w:tcPr>
          <w:p w14:paraId="396D9A6E" w14:textId="131F6C9A"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104%</w:t>
            </w:r>
          </w:p>
        </w:tc>
        <w:tc>
          <w:tcPr>
            <w:tcW w:w="850" w:type="dxa"/>
            <w:shd w:val="clear" w:color="auto" w:fill="auto"/>
            <w:noWrap/>
            <w:vAlign w:val="center"/>
            <w:hideMark/>
          </w:tcPr>
          <w:p w14:paraId="3CCA3BF6" w14:textId="1033A1BD"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96%</w:t>
            </w:r>
          </w:p>
        </w:tc>
      </w:tr>
      <w:tr w:rsidR="00CB2603" w:rsidRPr="00080E2D" w14:paraId="3EF2E642" w14:textId="77777777" w:rsidTr="00CB2603">
        <w:trPr>
          <w:trHeight w:val="300"/>
        </w:trPr>
        <w:tc>
          <w:tcPr>
            <w:tcW w:w="575" w:type="dxa"/>
            <w:shd w:val="clear" w:color="auto" w:fill="auto"/>
            <w:noWrap/>
            <w:vAlign w:val="center"/>
            <w:hideMark/>
          </w:tcPr>
          <w:p w14:paraId="6B26EB1B"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1.3</w:t>
            </w:r>
          </w:p>
        </w:tc>
        <w:tc>
          <w:tcPr>
            <w:tcW w:w="3175" w:type="dxa"/>
            <w:shd w:val="clear" w:color="auto" w:fill="auto"/>
            <w:vAlign w:val="center"/>
            <w:hideMark/>
          </w:tcPr>
          <w:p w14:paraId="4F164A91"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20-03-03 - ostaci od čišćenja ulica</w:t>
            </w:r>
          </w:p>
        </w:tc>
        <w:tc>
          <w:tcPr>
            <w:tcW w:w="1034" w:type="dxa"/>
            <w:shd w:val="clear" w:color="auto" w:fill="auto"/>
            <w:vAlign w:val="center"/>
            <w:hideMark/>
          </w:tcPr>
          <w:p w14:paraId="25377BE9" w14:textId="4DA35E1C"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665</w:t>
            </w:r>
          </w:p>
        </w:tc>
        <w:tc>
          <w:tcPr>
            <w:tcW w:w="1032" w:type="dxa"/>
            <w:shd w:val="clear" w:color="auto" w:fill="auto"/>
            <w:noWrap/>
            <w:vAlign w:val="center"/>
            <w:hideMark/>
          </w:tcPr>
          <w:p w14:paraId="5C996E50" w14:textId="2AC5B95E"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sz w:val="18"/>
                <w:szCs w:val="18"/>
              </w:rPr>
              <w:t>571</w:t>
            </w:r>
          </w:p>
        </w:tc>
        <w:tc>
          <w:tcPr>
            <w:tcW w:w="1034" w:type="dxa"/>
            <w:shd w:val="clear" w:color="auto" w:fill="auto"/>
            <w:noWrap/>
            <w:vAlign w:val="center"/>
            <w:hideMark/>
          </w:tcPr>
          <w:p w14:paraId="0529D6A5" w14:textId="081DDD09"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672</w:t>
            </w:r>
          </w:p>
        </w:tc>
        <w:tc>
          <w:tcPr>
            <w:tcW w:w="850" w:type="dxa"/>
            <w:shd w:val="clear" w:color="auto" w:fill="auto"/>
            <w:noWrap/>
            <w:vAlign w:val="center"/>
            <w:hideMark/>
          </w:tcPr>
          <w:p w14:paraId="311C3AC7" w14:textId="7153FE23"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0,79%</w:t>
            </w:r>
          </w:p>
        </w:tc>
        <w:tc>
          <w:tcPr>
            <w:tcW w:w="850" w:type="dxa"/>
            <w:shd w:val="clear" w:color="auto" w:fill="auto"/>
            <w:noWrap/>
            <w:vAlign w:val="center"/>
            <w:hideMark/>
          </w:tcPr>
          <w:p w14:paraId="2307BF09" w14:textId="0623DD4E"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101%</w:t>
            </w:r>
          </w:p>
        </w:tc>
        <w:tc>
          <w:tcPr>
            <w:tcW w:w="850" w:type="dxa"/>
            <w:shd w:val="clear" w:color="auto" w:fill="auto"/>
            <w:noWrap/>
            <w:vAlign w:val="center"/>
            <w:hideMark/>
          </w:tcPr>
          <w:p w14:paraId="7B386E78" w14:textId="3ECC931A"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118%</w:t>
            </w:r>
          </w:p>
        </w:tc>
      </w:tr>
      <w:tr w:rsidR="00CB2603" w:rsidRPr="00080E2D" w14:paraId="593769DE" w14:textId="77777777" w:rsidTr="00CB2603">
        <w:trPr>
          <w:trHeight w:val="313"/>
        </w:trPr>
        <w:tc>
          <w:tcPr>
            <w:tcW w:w="575" w:type="dxa"/>
            <w:shd w:val="clear" w:color="auto" w:fill="auto"/>
            <w:noWrap/>
            <w:vAlign w:val="center"/>
            <w:hideMark/>
          </w:tcPr>
          <w:p w14:paraId="077844C7" w14:textId="77777777"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1.4</w:t>
            </w:r>
          </w:p>
        </w:tc>
        <w:tc>
          <w:tcPr>
            <w:tcW w:w="3175" w:type="dxa"/>
            <w:shd w:val="clear" w:color="auto" w:fill="auto"/>
            <w:vAlign w:val="center"/>
            <w:hideMark/>
          </w:tcPr>
          <w:p w14:paraId="2BF32EC1" w14:textId="37501F10"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 xml:space="preserve">20-03-07 </w:t>
            </w:r>
            <w:r>
              <w:rPr>
                <w:rFonts w:eastAsia="Times New Roman" w:cstheme="minorHAnsi"/>
                <w:sz w:val="18"/>
                <w:szCs w:val="18"/>
                <w:lang w:eastAsia="hr-HR"/>
              </w:rPr>
              <w:t>–</w:t>
            </w:r>
            <w:r w:rsidRPr="00080E2D">
              <w:rPr>
                <w:rFonts w:eastAsia="Times New Roman" w:cstheme="minorHAnsi"/>
                <w:sz w:val="18"/>
                <w:szCs w:val="18"/>
                <w:lang w:eastAsia="hr-HR"/>
              </w:rPr>
              <w:t xml:space="preserve"> </w:t>
            </w:r>
            <w:r>
              <w:rPr>
                <w:rFonts w:eastAsia="Times New Roman" w:cstheme="minorHAnsi"/>
                <w:sz w:val="18"/>
                <w:szCs w:val="18"/>
                <w:lang w:eastAsia="hr-HR"/>
              </w:rPr>
              <w:t>drobljeni otpad</w:t>
            </w:r>
          </w:p>
        </w:tc>
        <w:tc>
          <w:tcPr>
            <w:tcW w:w="1034" w:type="dxa"/>
            <w:shd w:val="clear" w:color="auto" w:fill="auto"/>
            <w:vAlign w:val="center"/>
            <w:hideMark/>
          </w:tcPr>
          <w:p w14:paraId="2B557F40" w14:textId="5498C732"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1.492</w:t>
            </w:r>
          </w:p>
        </w:tc>
        <w:tc>
          <w:tcPr>
            <w:tcW w:w="1032" w:type="dxa"/>
            <w:shd w:val="clear" w:color="auto" w:fill="auto"/>
            <w:noWrap/>
            <w:vAlign w:val="center"/>
            <w:hideMark/>
          </w:tcPr>
          <w:p w14:paraId="09FF8BA0" w14:textId="2632311B"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sz w:val="18"/>
                <w:szCs w:val="18"/>
              </w:rPr>
              <w:t>703</w:t>
            </w:r>
          </w:p>
        </w:tc>
        <w:tc>
          <w:tcPr>
            <w:tcW w:w="1034" w:type="dxa"/>
            <w:shd w:val="clear" w:color="auto" w:fill="auto"/>
            <w:noWrap/>
            <w:vAlign w:val="center"/>
            <w:hideMark/>
          </w:tcPr>
          <w:p w14:paraId="2B9C36A5" w14:textId="0B2D2F61"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703</w:t>
            </w:r>
          </w:p>
        </w:tc>
        <w:tc>
          <w:tcPr>
            <w:tcW w:w="850" w:type="dxa"/>
            <w:shd w:val="clear" w:color="auto" w:fill="auto"/>
            <w:noWrap/>
            <w:vAlign w:val="center"/>
            <w:hideMark/>
          </w:tcPr>
          <w:p w14:paraId="22E9104A" w14:textId="24046DFD"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0,83%</w:t>
            </w:r>
          </w:p>
        </w:tc>
        <w:tc>
          <w:tcPr>
            <w:tcW w:w="850" w:type="dxa"/>
            <w:shd w:val="clear" w:color="auto" w:fill="auto"/>
            <w:noWrap/>
            <w:vAlign w:val="center"/>
            <w:hideMark/>
          </w:tcPr>
          <w:p w14:paraId="6222B123" w14:textId="6DA5731B"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47%</w:t>
            </w:r>
          </w:p>
        </w:tc>
        <w:tc>
          <w:tcPr>
            <w:tcW w:w="850" w:type="dxa"/>
            <w:shd w:val="clear" w:color="auto" w:fill="auto"/>
            <w:noWrap/>
            <w:vAlign w:val="center"/>
            <w:hideMark/>
          </w:tcPr>
          <w:p w14:paraId="67F265C7" w14:textId="01C96C5C"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100%</w:t>
            </w:r>
          </w:p>
        </w:tc>
      </w:tr>
      <w:tr w:rsidR="00CB2603" w:rsidRPr="00080E2D" w14:paraId="595EC719" w14:textId="77777777" w:rsidTr="00CB2603">
        <w:trPr>
          <w:trHeight w:val="313"/>
        </w:trPr>
        <w:tc>
          <w:tcPr>
            <w:tcW w:w="575" w:type="dxa"/>
            <w:shd w:val="clear" w:color="auto" w:fill="auto"/>
            <w:noWrap/>
            <w:vAlign w:val="center"/>
            <w:hideMark/>
          </w:tcPr>
          <w:p w14:paraId="3DE55D0A" w14:textId="77777777" w:rsidR="00CB2603" w:rsidRPr="00080E2D" w:rsidRDefault="00CB2603" w:rsidP="00CB2603">
            <w:pPr>
              <w:spacing w:after="0" w:line="240" w:lineRule="auto"/>
              <w:rPr>
                <w:rFonts w:eastAsia="Times New Roman" w:cstheme="minorHAnsi"/>
                <w:b/>
                <w:bCs/>
                <w:sz w:val="18"/>
                <w:szCs w:val="18"/>
                <w:lang w:eastAsia="hr-HR"/>
              </w:rPr>
            </w:pPr>
            <w:r w:rsidRPr="00080E2D">
              <w:rPr>
                <w:rFonts w:eastAsia="Times New Roman" w:cstheme="minorHAnsi"/>
                <w:b/>
                <w:bCs/>
                <w:sz w:val="18"/>
                <w:szCs w:val="18"/>
                <w:lang w:eastAsia="hr-HR"/>
              </w:rPr>
              <w:t>2.</w:t>
            </w:r>
          </w:p>
        </w:tc>
        <w:tc>
          <w:tcPr>
            <w:tcW w:w="3175" w:type="dxa"/>
            <w:shd w:val="clear" w:color="auto" w:fill="auto"/>
            <w:vAlign w:val="center"/>
            <w:hideMark/>
          </w:tcPr>
          <w:p w14:paraId="232F17FC" w14:textId="77777777" w:rsidR="00CB2603" w:rsidRPr="00080E2D" w:rsidRDefault="00CB2603" w:rsidP="00CB2603">
            <w:pPr>
              <w:spacing w:after="0" w:line="240" w:lineRule="auto"/>
              <w:rPr>
                <w:rFonts w:eastAsia="Times New Roman" w:cstheme="minorHAnsi"/>
                <w:b/>
                <w:bCs/>
                <w:sz w:val="18"/>
                <w:szCs w:val="18"/>
                <w:lang w:eastAsia="hr-HR"/>
              </w:rPr>
            </w:pPr>
            <w:r w:rsidRPr="00080E2D">
              <w:rPr>
                <w:rFonts w:eastAsia="Times New Roman" w:cstheme="minorHAnsi"/>
                <w:b/>
                <w:bCs/>
                <w:sz w:val="18"/>
                <w:szCs w:val="18"/>
                <w:lang w:eastAsia="hr-HR"/>
              </w:rPr>
              <w:t>Proizvodni otpad</w:t>
            </w:r>
          </w:p>
        </w:tc>
        <w:tc>
          <w:tcPr>
            <w:tcW w:w="1034" w:type="dxa"/>
            <w:shd w:val="clear" w:color="auto" w:fill="auto"/>
            <w:noWrap/>
            <w:vAlign w:val="center"/>
            <w:hideMark/>
          </w:tcPr>
          <w:p w14:paraId="60B7DFBC" w14:textId="32B76A6E" w:rsidR="00CB2603" w:rsidRPr="00CB2603" w:rsidRDefault="00CB2603" w:rsidP="00CB2603">
            <w:pPr>
              <w:spacing w:after="0" w:line="240" w:lineRule="auto"/>
              <w:jc w:val="center"/>
              <w:rPr>
                <w:rFonts w:eastAsia="Times New Roman" w:cstheme="minorHAnsi"/>
                <w:b/>
                <w:bCs/>
                <w:color w:val="000000"/>
                <w:sz w:val="18"/>
                <w:szCs w:val="18"/>
                <w:lang w:eastAsia="hr-HR"/>
              </w:rPr>
            </w:pPr>
            <w:r w:rsidRPr="00CB2603">
              <w:rPr>
                <w:rFonts w:ascii="Calibri" w:hAnsi="Calibri" w:cs="Calibri"/>
                <w:b/>
                <w:bCs/>
                <w:color w:val="000000"/>
                <w:sz w:val="18"/>
                <w:szCs w:val="18"/>
              </w:rPr>
              <w:t>702</w:t>
            </w:r>
          </w:p>
        </w:tc>
        <w:tc>
          <w:tcPr>
            <w:tcW w:w="1032" w:type="dxa"/>
            <w:shd w:val="clear" w:color="auto" w:fill="auto"/>
            <w:noWrap/>
            <w:vAlign w:val="center"/>
            <w:hideMark/>
          </w:tcPr>
          <w:p w14:paraId="090F0A30" w14:textId="1D460CB8" w:rsidR="00CB2603" w:rsidRPr="00CB2603" w:rsidRDefault="00CB2603" w:rsidP="00CB2603">
            <w:pPr>
              <w:spacing w:after="0" w:line="240" w:lineRule="auto"/>
              <w:jc w:val="center"/>
              <w:rPr>
                <w:rFonts w:eastAsia="Times New Roman" w:cstheme="minorHAnsi"/>
                <w:b/>
                <w:bCs/>
                <w:color w:val="000000"/>
                <w:sz w:val="18"/>
                <w:szCs w:val="18"/>
                <w:lang w:eastAsia="hr-HR"/>
              </w:rPr>
            </w:pPr>
            <w:r w:rsidRPr="00CB2603">
              <w:rPr>
                <w:rFonts w:ascii="Calibri" w:hAnsi="Calibri" w:cs="Calibri"/>
                <w:b/>
                <w:bCs/>
                <w:sz w:val="18"/>
                <w:szCs w:val="18"/>
              </w:rPr>
              <w:t>252</w:t>
            </w:r>
          </w:p>
        </w:tc>
        <w:tc>
          <w:tcPr>
            <w:tcW w:w="1034" w:type="dxa"/>
            <w:shd w:val="clear" w:color="auto" w:fill="auto"/>
            <w:noWrap/>
            <w:vAlign w:val="center"/>
            <w:hideMark/>
          </w:tcPr>
          <w:p w14:paraId="21069394" w14:textId="1EEABC8F"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218</w:t>
            </w:r>
          </w:p>
        </w:tc>
        <w:tc>
          <w:tcPr>
            <w:tcW w:w="850" w:type="dxa"/>
            <w:shd w:val="clear" w:color="auto" w:fill="auto"/>
            <w:noWrap/>
            <w:vAlign w:val="center"/>
            <w:hideMark/>
          </w:tcPr>
          <w:p w14:paraId="14585AD4" w14:textId="5F1861A0"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0,26%</w:t>
            </w:r>
          </w:p>
        </w:tc>
        <w:tc>
          <w:tcPr>
            <w:tcW w:w="850" w:type="dxa"/>
            <w:shd w:val="clear" w:color="auto" w:fill="auto"/>
            <w:noWrap/>
            <w:vAlign w:val="center"/>
            <w:hideMark/>
          </w:tcPr>
          <w:p w14:paraId="1CA12420" w14:textId="0FCDBB9D"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31%</w:t>
            </w:r>
          </w:p>
        </w:tc>
        <w:tc>
          <w:tcPr>
            <w:tcW w:w="850" w:type="dxa"/>
            <w:shd w:val="clear" w:color="auto" w:fill="auto"/>
            <w:noWrap/>
            <w:vAlign w:val="center"/>
            <w:hideMark/>
          </w:tcPr>
          <w:p w14:paraId="6CF3A070" w14:textId="2B5F1707" w:rsidR="00CB2603" w:rsidRPr="00CB2603" w:rsidRDefault="00CB2603" w:rsidP="00CB2603">
            <w:pPr>
              <w:spacing w:after="0" w:line="240" w:lineRule="auto"/>
              <w:jc w:val="center"/>
              <w:rPr>
                <w:rFonts w:eastAsia="Times New Roman" w:cstheme="minorHAnsi"/>
                <w:b/>
                <w:bCs/>
                <w:sz w:val="18"/>
                <w:szCs w:val="18"/>
                <w:lang w:eastAsia="hr-HR"/>
              </w:rPr>
            </w:pPr>
            <w:r w:rsidRPr="00CB2603">
              <w:rPr>
                <w:rFonts w:ascii="Calibri" w:hAnsi="Calibri" w:cs="Calibri"/>
                <w:b/>
                <w:bCs/>
                <w:sz w:val="18"/>
                <w:szCs w:val="18"/>
              </w:rPr>
              <w:t>87%</w:t>
            </w:r>
          </w:p>
        </w:tc>
      </w:tr>
      <w:tr w:rsidR="00CB2603" w:rsidRPr="00080E2D" w14:paraId="4CDD0560" w14:textId="77777777" w:rsidTr="00CB2603">
        <w:trPr>
          <w:trHeight w:val="300"/>
        </w:trPr>
        <w:tc>
          <w:tcPr>
            <w:tcW w:w="575" w:type="dxa"/>
            <w:shd w:val="clear" w:color="auto" w:fill="auto"/>
            <w:noWrap/>
            <w:vAlign w:val="center"/>
            <w:hideMark/>
          </w:tcPr>
          <w:p w14:paraId="2408DED4" w14:textId="7E12181F"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2.</w:t>
            </w:r>
            <w:r>
              <w:rPr>
                <w:rFonts w:eastAsia="Times New Roman" w:cstheme="minorHAnsi"/>
                <w:sz w:val="18"/>
                <w:szCs w:val="18"/>
                <w:lang w:eastAsia="hr-HR"/>
              </w:rPr>
              <w:t>1</w:t>
            </w:r>
          </w:p>
        </w:tc>
        <w:tc>
          <w:tcPr>
            <w:tcW w:w="3175" w:type="dxa"/>
            <w:shd w:val="clear" w:color="auto" w:fill="auto"/>
            <w:vAlign w:val="center"/>
            <w:hideMark/>
          </w:tcPr>
          <w:p w14:paraId="03592F34" w14:textId="3939AF41"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16-11-06 - obloge i vatrostalni otpad</w:t>
            </w:r>
          </w:p>
        </w:tc>
        <w:tc>
          <w:tcPr>
            <w:tcW w:w="1034" w:type="dxa"/>
            <w:shd w:val="clear" w:color="auto" w:fill="auto"/>
            <w:vAlign w:val="center"/>
            <w:hideMark/>
          </w:tcPr>
          <w:p w14:paraId="0F749C9C" w14:textId="62AA506B"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168</w:t>
            </w:r>
          </w:p>
        </w:tc>
        <w:tc>
          <w:tcPr>
            <w:tcW w:w="1032" w:type="dxa"/>
            <w:shd w:val="clear" w:color="auto" w:fill="auto"/>
            <w:noWrap/>
            <w:vAlign w:val="center"/>
            <w:hideMark/>
          </w:tcPr>
          <w:p w14:paraId="07A8C16D" w14:textId="245F71C1"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sz w:val="18"/>
                <w:szCs w:val="18"/>
              </w:rPr>
              <w:t>226</w:t>
            </w:r>
          </w:p>
        </w:tc>
        <w:tc>
          <w:tcPr>
            <w:tcW w:w="1034" w:type="dxa"/>
            <w:shd w:val="clear" w:color="auto" w:fill="auto"/>
            <w:noWrap/>
            <w:vAlign w:val="center"/>
            <w:hideMark/>
          </w:tcPr>
          <w:p w14:paraId="70112146" w14:textId="7F10024B"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192</w:t>
            </w:r>
          </w:p>
        </w:tc>
        <w:tc>
          <w:tcPr>
            <w:tcW w:w="850" w:type="dxa"/>
            <w:shd w:val="clear" w:color="auto" w:fill="auto"/>
            <w:noWrap/>
            <w:vAlign w:val="center"/>
            <w:hideMark/>
          </w:tcPr>
          <w:p w14:paraId="5C3680DA" w14:textId="7B6E59D1"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0,23%</w:t>
            </w:r>
          </w:p>
        </w:tc>
        <w:tc>
          <w:tcPr>
            <w:tcW w:w="850" w:type="dxa"/>
            <w:shd w:val="clear" w:color="auto" w:fill="auto"/>
            <w:noWrap/>
            <w:vAlign w:val="center"/>
            <w:hideMark/>
          </w:tcPr>
          <w:p w14:paraId="31F9FFF1" w14:textId="6660E745"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114%</w:t>
            </w:r>
          </w:p>
        </w:tc>
        <w:tc>
          <w:tcPr>
            <w:tcW w:w="850" w:type="dxa"/>
            <w:shd w:val="clear" w:color="auto" w:fill="auto"/>
            <w:noWrap/>
            <w:vAlign w:val="center"/>
            <w:hideMark/>
          </w:tcPr>
          <w:p w14:paraId="5EDC84BC" w14:textId="299BA21C"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85%</w:t>
            </w:r>
          </w:p>
        </w:tc>
      </w:tr>
      <w:tr w:rsidR="00CB2603" w:rsidRPr="00080E2D" w14:paraId="12140F15" w14:textId="77777777" w:rsidTr="00CB2603">
        <w:trPr>
          <w:trHeight w:val="300"/>
        </w:trPr>
        <w:tc>
          <w:tcPr>
            <w:tcW w:w="575" w:type="dxa"/>
            <w:tcBorders>
              <w:bottom w:val="single" w:sz="4" w:space="0" w:color="auto"/>
            </w:tcBorders>
            <w:shd w:val="clear" w:color="auto" w:fill="auto"/>
            <w:noWrap/>
            <w:vAlign w:val="center"/>
            <w:hideMark/>
          </w:tcPr>
          <w:p w14:paraId="56240EFD" w14:textId="4D06E604"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2.</w:t>
            </w:r>
            <w:r>
              <w:rPr>
                <w:rFonts w:eastAsia="Times New Roman" w:cstheme="minorHAnsi"/>
                <w:sz w:val="18"/>
                <w:szCs w:val="18"/>
                <w:lang w:eastAsia="hr-HR"/>
              </w:rPr>
              <w:t>2</w:t>
            </w:r>
          </w:p>
        </w:tc>
        <w:tc>
          <w:tcPr>
            <w:tcW w:w="3175" w:type="dxa"/>
            <w:tcBorders>
              <w:bottom w:val="single" w:sz="4" w:space="0" w:color="auto"/>
            </w:tcBorders>
            <w:shd w:val="clear" w:color="auto" w:fill="auto"/>
            <w:vAlign w:val="center"/>
            <w:hideMark/>
          </w:tcPr>
          <w:p w14:paraId="405FD4F4" w14:textId="77C111D0"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17-09-04 - građevinski otpad</w:t>
            </w:r>
          </w:p>
        </w:tc>
        <w:tc>
          <w:tcPr>
            <w:tcW w:w="1034" w:type="dxa"/>
            <w:tcBorders>
              <w:bottom w:val="single" w:sz="4" w:space="0" w:color="auto"/>
            </w:tcBorders>
            <w:shd w:val="clear" w:color="auto" w:fill="auto"/>
            <w:vAlign w:val="center"/>
            <w:hideMark/>
          </w:tcPr>
          <w:p w14:paraId="377974B3" w14:textId="2075B7F9"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534</w:t>
            </w:r>
          </w:p>
        </w:tc>
        <w:tc>
          <w:tcPr>
            <w:tcW w:w="1032" w:type="dxa"/>
            <w:tcBorders>
              <w:bottom w:val="single" w:sz="4" w:space="0" w:color="auto"/>
            </w:tcBorders>
            <w:shd w:val="clear" w:color="auto" w:fill="auto"/>
            <w:noWrap/>
            <w:vAlign w:val="center"/>
            <w:hideMark/>
          </w:tcPr>
          <w:p w14:paraId="497ECB9F" w14:textId="58BF6CB1"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sz w:val="18"/>
                <w:szCs w:val="18"/>
              </w:rPr>
              <w:t>26</w:t>
            </w:r>
          </w:p>
        </w:tc>
        <w:tc>
          <w:tcPr>
            <w:tcW w:w="1034" w:type="dxa"/>
            <w:tcBorders>
              <w:bottom w:val="single" w:sz="4" w:space="0" w:color="auto"/>
            </w:tcBorders>
            <w:shd w:val="clear" w:color="auto" w:fill="auto"/>
            <w:noWrap/>
            <w:vAlign w:val="center"/>
            <w:hideMark/>
          </w:tcPr>
          <w:p w14:paraId="20566F60" w14:textId="6509C9DC"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26</w:t>
            </w:r>
          </w:p>
        </w:tc>
        <w:tc>
          <w:tcPr>
            <w:tcW w:w="850" w:type="dxa"/>
            <w:tcBorders>
              <w:bottom w:val="single" w:sz="4" w:space="0" w:color="auto"/>
            </w:tcBorders>
            <w:shd w:val="clear" w:color="auto" w:fill="auto"/>
            <w:noWrap/>
            <w:vAlign w:val="center"/>
            <w:hideMark/>
          </w:tcPr>
          <w:p w14:paraId="2EFB7CD5" w14:textId="55771CE8"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0,03%</w:t>
            </w:r>
          </w:p>
        </w:tc>
        <w:tc>
          <w:tcPr>
            <w:tcW w:w="850" w:type="dxa"/>
            <w:tcBorders>
              <w:bottom w:val="single" w:sz="4" w:space="0" w:color="auto"/>
            </w:tcBorders>
            <w:shd w:val="clear" w:color="auto" w:fill="auto"/>
            <w:noWrap/>
            <w:vAlign w:val="center"/>
            <w:hideMark/>
          </w:tcPr>
          <w:p w14:paraId="00F0D1BF" w14:textId="65AAEB97"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5%</w:t>
            </w:r>
          </w:p>
        </w:tc>
        <w:tc>
          <w:tcPr>
            <w:tcW w:w="850" w:type="dxa"/>
            <w:tcBorders>
              <w:bottom w:val="single" w:sz="4" w:space="0" w:color="auto"/>
            </w:tcBorders>
            <w:shd w:val="clear" w:color="auto" w:fill="auto"/>
            <w:noWrap/>
            <w:vAlign w:val="center"/>
            <w:hideMark/>
          </w:tcPr>
          <w:p w14:paraId="31AB421D" w14:textId="165EEABB"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sz w:val="18"/>
                <w:szCs w:val="18"/>
              </w:rPr>
              <w:t>100%</w:t>
            </w:r>
          </w:p>
        </w:tc>
      </w:tr>
      <w:tr w:rsidR="00CB2603" w:rsidRPr="00080E2D" w14:paraId="500E9FBB" w14:textId="77777777" w:rsidTr="00CB2603">
        <w:trPr>
          <w:trHeight w:val="313"/>
        </w:trPr>
        <w:tc>
          <w:tcPr>
            <w:tcW w:w="575" w:type="dxa"/>
            <w:tcBorders>
              <w:top w:val="single" w:sz="4" w:space="0" w:color="auto"/>
              <w:bottom w:val="single" w:sz="4" w:space="0" w:color="auto"/>
            </w:tcBorders>
            <w:shd w:val="clear" w:color="auto" w:fill="auto"/>
            <w:noWrap/>
            <w:vAlign w:val="center"/>
            <w:hideMark/>
          </w:tcPr>
          <w:p w14:paraId="26934E9E" w14:textId="0AB951C0" w:rsidR="00CB2603" w:rsidRPr="00080E2D" w:rsidRDefault="00CB2603" w:rsidP="00CB2603">
            <w:pPr>
              <w:spacing w:after="0" w:line="240" w:lineRule="auto"/>
              <w:rPr>
                <w:rFonts w:eastAsia="Times New Roman" w:cstheme="minorHAnsi"/>
                <w:sz w:val="18"/>
                <w:szCs w:val="18"/>
                <w:lang w:eastAsia="hr-HR"/>
              </w:rPr>
            </w:pPr>
          </w:p>
        </w:tc>
        <w:tc>
          <w:tcPr>
            <w:tcW w:w="3175" w:type="dxa"/>
            <w:tcBorders>
              <w:top w:val="single" w:sz="4" w:space="0" w:color="auto"/>
              <w:bottom w:val="single" w:sz="4" w:space="0" w:color="auto"/>
            </w:tcBorders>
            <w:shd w:val="clear" w:color="auto" w:fill="auto"/>
            <w:vAlign w:val="center"/>
            <w:hideMark/>
          </w:tcPr>
          <w:p w14:paraId="7C3BC525" w14:textId="4DCBA0D6" w:rsidR="00CB2603" w:rsidRPr="00080E2D" w:rsidRDefault="00CB2603" w:rsidP="00CB2603">
            <w:pPr>
              <w:spacing w:after="0" w:line="240" w:lineRule="auto"/>
              <w:rPr>
                <w:rFonts w:eastAsia="Times New Roman" w:cstheme="minorHAnsi"/>
                <w:sz w:val="18"/>
                <w:szCs w:val="18"/>
                <w:lang w:eastAsia="hr-HR"/>
              </w:rPr>
            </w:pPr>
            <w:r w:rsidRPr="00080E2D">
              <w:rPr>
                <w:rFonts w:eastAsia="Times New Roman" w:cstheme="minorHAnsi"/>
                <w:b/>
                <w:bCs/>
                <w:sz w:val="18"/>
                <w:szCs w:val="18"/>
                <w:lang w:eastAsia="hr-HR"/>
              </w:rPr>
              <w:t>UKUPNO (1+2):</w:t>
            </w:r>
          </w:p>
        </w:tc>
        <w:tc>
          <w:tcPr>
            <w:tcW w:w="1034" w:type="dxa"/>
            <w:tcBorders>
              <w:top w:val="single" w:sz="4" w:space="0" w:color="auto"/>
              <w:bottom w:val="single" w:sz="4" w:space="0" w:color="auto"/>
            </w:tcBorders>
            <w:shd w:val="clear" w:color="auto" w:fill="auto"/>
            <w:noWrap/>
            <w:vAlign w:val="center"/>
            <w:hideMark/>
          </w:tcPr>
          <w:p w14:paraId="1C07186A" w14:textId="0431F67A"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b/>
                <w:bCs/>
                <w:color w:val="000000"/>
                <w:sz w:val="18"/>
                <w:szCs w:val="18"/>
              </w:rPr>
              <w:t>83.259</w:t>
            </w:r>
          </w:p>
        </w:tc>
        <w:tc>
          <w:tcPr>
            <w:tcW w:w="1032" w:type="dxa"/>
            <w:tcBorders>
              <w:top w:val="single" w:sz="4" w:space="0" w:color="auto"/>
              <w:bottom w:val="single" w:sz="4" w:space="0" w:color="auto"/>
            </w:tcBorders>
            <w:shd w:val="clear" w:color="auto" w:fill="auto"/>
            <w:noWrap/>
            <w:vAlign w:val="center"/>
            <w:hideMark/>
          </w:tcPr>
          <w:p w14:paraId="57404F08" w14:textId="45BAA1F7" w:rsidR="00CB2603" w:rsidRPr="00CB2603" w:rsidRDefault="00CB2603" w:rsidP="00CB2603">
            <w:pPr>
              <w:spacing w:after="0" w:line="240" w:lineRule="auto"/>
              <w:jc w:val="center"/>
              <w:rPr>
                <w:rFonts w:eastAsia="Times New Roman" w:cstheme="minorHAnsi"/>
                <w:color w:val="000000"/>
                <w:sz w:val="18"/>
                <w:szCs w:val="18"/>
                <w:lang w:eastAsia="hr-HR"/>
              </w:rPr>
            </w:pPr>
            <w:r w:rsidRPr="00CB2603">
              <w:rPr>
                <w:rFonts w:ascii="Calibri" w:hAnsi="Calibri" w:cs="Calibri"/>
                <w:b/>
                <w:bCs/>
                <w:sz w:val="18"/>
                <w:szCs w:val="18"/>
              </w:rPr>
              <w:t>88.089</w:t>
            </w:r>
          </w:p>
        </w:tc>
        <w:tc>
          <w:tcPr>
            <w:tcW w:w="1034" w:type="dxa"/>
            <w:tcBorders>
              <w:top w:val="single" w:sz="4" w:space="0" w:color="auto"/>
              <w:bottom w:val="single" w:sz="4" w:space="0" w:color="auto"/>
            </w:tcBorders>
            <w:shd w:val="clear" w:color="auto" w:fill="auto"/>
            <w:noWrap/>
            <w:vAlign w:val="center"/>
            <w:hideMark/>
          </w:tcPr>
          <w:p w14:paraId="5924CC68" w14:textId="083D1E31" w:rsidR="00CB2603" w:rsidRPr="00CB2603" w:rsidRDefault="00CB2603" w:rsidP="00CB2603">
            <w:pPr>
              <w:spacing w:after="0" w:line="240" w:lineRule="auto"/>
              <w:jc w:val="center"/>
              <w:rPr>
                <w:rFonts w:eastAsia="Times New Roman" w:cstheme="minorHAnsi"/>
                <w:sz w:val="18"/>
                <w:szCs w:val="18"/>
                <w:lang w:eastAsia="hr-HR"/>
              </w:rPr>
            </w:pPr>
            <w:r w:rsidRPr="00CB2603">
              <w:rPr>
                <w:rFonts w:ascii="Calibri" w:hAnsi="Calibri" w:cs="Calibri"/>
                <w:b/>
                <w:bCs/>
                <w:sz w:val="18"/>
                <w:szCs w:val="18"/>
              </w:rPr>
              <w:t>85.081</w:t>
            </w:r>
          </w:p>
        </w:tc>
        <w:tc>
          <w:tcPr>
            <w:tcW w:w="850" w:type="dxa"/>
            <w:tcBorders>
              <w:top w:val="single" w:sz="4" w:space="0" w:color="auto"/>
              <w:bottom w:val="single" w:sz="4" w:space="0" w:color="auto"/>
            </w:tcBorders>
            <w:shd w:val="clear" w:color="auto" w:fill="auto"/>
            <w:noWrap/>
            <w:vAlign w:val="center"/>
            <w:hideMark/>
          </w:tcPr>
          <w:p w14:paraId="73C29E33" w14:textId="60A70489" w:rsidR="00CB2603" w:rsidRPr="00080E2D" w:rsidRDefault="00CB2603" w:rsidP="00CB2603">
            <w:pPr>
              <w:spacing w:after="0" w:line="240" w:lineRule="auto"/>
              <w:jc w:val="center"/>
              <w:rPr>
                <w:rFonts w:eastAsia="Times New Roman" w:cstheme="minorHAnsi"/>
                <w:sz w:val="18"/>
                <w:szCs w:val="18"/>
                <w:lang w:eastAsia="hr-HR"/>
              </w:rPr>
            </w:pPr>
            <w:r w:rsidRPr="00080E2D">
              <w:rPr>
                <w:rFonts w:eastAsia="Times New Roman" w:cstheme="minorHAnsi"/>
                <w:b/>
                <w:bCs/>
                <w:sz w:val="18"/>
                <w:szCs w:val="18"/>
                <w:lang w:eastAsia="hr-HR"/>
              </w:rPr>
              <w:t>100%</w:t>
            </w:r>
          </w:p>
        </w:tc>
        <w:tc>
          <w:tcPr>
            <w:tcW w:w="850" w:type="dxa"/>
            <w:tcBorders>
              <w:top w:val="single" w:sz="4" w:space="0" w:color="auto"/>
              <w:bottom w:val="single" w:sz="4" w:space="0" w:color="auto"/>
            </w:tcBorders>
            <w:shd w:val="clear" w:color="auto" w:fill="auto"/>
            <w:noWrap/>
            <w:vAlign w:val="center"/>
            <w:hideMark/>
          </w:tcPr>
          <w:p w14:paraId="0C3C045D" w14:textId="2E570EB2" w:rsidR="00CB2603" w:rsidRPr="00080E2D" w:rsidRDefault="00CB2603" w:rsidP="00CB2603">
            <w:pPr>
              <w:spacing w:after="0" w:line="240" w:lineRule="auto"/>
              <w:jc w:val="center"/>
              <w:rPr>
                <w:rFonts w:eastAsia="Times New Roman" w:cstheme="minorHAnsi"/>
                <w:sz w:val="18"/>
                <w:szCs w:val="18"/>
                <w:lang w:eastAsia="hr-HR"/>
              </w:rPr>
            </w:pPr>
            <w:r>
              <w:rPr>
                <w:rFonts w:ascii="Calibri" w:hAnsi="Calibri" w:cs="Calibri"/>
                <w:b/>
                <w:bCs/>
                <w:sz w:val="16"/>
                <w:szCs w:val="16"/>
              </w:rPr>
              <w:t>102%</w:t>
            </w:r>
          </w:p>
        </w:tc>
        <w:tc>
          <w:tcPr>
            <w:tcW w:w="850" w:type="dxa"/>
            <w:tcBorders>
              <w:top w:val="single" w:sz="4" w:space="0" w:color="auto"/>
              <w:bottom w:val="single" w:sz="4" w:space="0" w:color="auto"/>
            </w:tcBorders>
            <w:shd w:val="clear" w:color="auto" w:fill="auto"/>
            <w:noWrap/>
            <w:vAlign w:val="center"/>
            <w:hideMark/>
          </w:tcPr>
          <w:p w14:paraId="758024BF" w14:textId="70CAAA20" w:rsidR="00CB2603" w:rsidRPr="00080E2D" w:rsidRDefault="00CB2603" w:rsidP="00CB2603">
            <w:pPr>
              <w:spacing w:after="0" w:line="240" w:lineRule="auto"/>
              <w:jc w:val="center"/>
              <w:rPr>
                <w:rFonts w:eastAsia="Times New Roman" w:cstheme="minorHAnsi"/>
                <w:sz w:val="18"/>
                <w:szCs w:val="18"/>
                <w:lang w:eastAsia="hr-HR"/>
              </w:rPr>
            </w:pPr>
            <w:r>
              <w:rPr>
                <w:rFonts w:ascii="Calibri" w:hAnsi="Calibri" w:cs="Calibri"/>
                <w:b/>
                <w:bCs/>
                <w:sz w:val="16"/>
                <w:szCs w:val="16"/>
              </w:rPr>
              <w:t>97%</w:t>
            </w:r>
          </w:p>
        </w:tc>
      </w:tr>
      <w:tr w:rsidR="00CB2603" w:rsidRPr="00080E2D" w14:paraId="33C60D0B" w14:textId="77777777" w:rsidTr="00CB2603">
        <w:trPr>
          <w:trHeight w:val="313"/>
        </w:trPr>
        <w:tc>
          <w:tcPr>
            <w:tcW w:w="575" w:type="dxa"/>
            <w:tcBorders>
              <w:top w:val="single" w:sz="4" w:space="0" w:color="auto"/>
            </w:tcBorders>
            <w:shd w:val="clear" w:color="auto" w:fill="auto"/>
            <w:noWrap/>
            <w:vAlign w:val="center"/>
          </w:tcPr>
          <w:p w14:paraId="2ECA5778" w14:textId="13E2C7B1" w:rsidR="00CB2603" w:rsidRPr="00080E2D" w:rsidRDefault="00CB2603" w:rsidP="00100C18">
            <w:pPr>
              <w:spacing w:after="0" w:line="240" w:lineRule="auto"/>
              <w:rPr>
                <w:rFonts w:eastAsia="Times New Roman" w:cstheme="minorHAnsi"/>
                <w:sz w:val="18"/>
                <w:szCs w:val="18"/>
                <w:lang w:eastAsia="hr-HR"/>
              </w:rPr>
            </w:pPr>
          </w:p>
        </w:tc>
        <w:tc>
          <w:tcPr>
            <w:tcW w:w="3175" w:type="dxa"/>
            <w:tcBorders>
              <w:top w:val="single" w:sz="4" w:space="0" w:color="auto"/>
            </w:tcBorders>
            <w:shd w:val="clear" w:color="auto" w:fill="auto"/>
            <w:vAlign w:val="center"/>
          </w:tcPr>
          <w:p w14:paraId="238A54A3" w14:textId="255C9ED6" w:rsidR="00CB2603" w:rsidRPr="00080E2D" w:rsidRDefault="00CB2603" w:rsidP="00100C18">
            <w:pPr>
              <w:spacing w:after="0" w:line="240" w:lineRule="auto"/>
              <w:rPr>
                <w:rFonts w:eastAsia="Times New Roman" w:cstheme="minorHAnsi"/>
                <w:sz w:val="18"/>
                <w:szCs w:val="18"/>
                <w:lang w:eastAsia="hr-HR"/>
              </w:rPr>
            </w:pPr>
          </w:p>
        </w:tc>
        <w:tc>
          <w:tcPr>
            <w:tcW w:w="1034" w:type="dxa"/>
            <w:tcBorders>
              <w:top w:val="single" w:sz="4" w:space="0" w:color="auto"/>
            </w:tcBorders>
            <w:shd w:val="clear" w:color="auto" w:fill="auto"/>
            <w:noWrap/>
            <w:vAlign w:val="center"/>
          </w:tcPr>
          <w:p w14:paraId="0CDDB3FB" w14:textId="6D462DFD" w:rsidR="00CB2603" w:rsidRPr="00080E2D" w:rsidRDefault="00CB2603" w:rsidP="00100C18">
            <w:pPr>
              <w:spacing w:after="0" w:line="240" w:lineRule="auto"/>
              <w:jc w:val="center"/>
              <w:rPr>
                <w:rFonts w:eastAsia="Times New Roman" w:cstheme="minorHAnsi"/>
                <w:color w:val="000000"/>
                <w:sz w:val="18"/>
                <w:szCs w:val="18"/>
                <w:lang w:eastAsia="hr-HR"/>
              </w:rPr>
            </w:pPr>
          </w:p>
        </w:tc>
        <w:tc>
          <w:tcPr>
            <w:tcW w:w="1032" w:type="dxa"/>
            <w:tcBorders>
              <w:top w:val="single" w:sz="4" w:space="0" w:color="auto"/>
            </w:tcBorders>
            <w:shd w:val="clear" w:color="auto" w:fill="auto"/>
            <w:noWrap/>
            <w:vAlign w:val="center"/>
          </w:tcPr>
          <w:p w14:paraId="304E5197" w14:textId="385F303B" w:rsidR="00CB2603" w:rsidRPr="00080E2D" w:rsidRDefault="00CB2603" w:rsidP="00100C18">
            <w:pPr>
              <w:spacing w:after="0" w:line="240" w:lineRule="auto"/>
              <w:jc w:val="center"/>
              <w:rPr>
                <w:rFonts w:eastAsia="Times New Roman" w:cstheme="minorHAnsi"/>
                <w:color w:val="000000"/>
                <w:sz w:val="18"/>
                <w:szCs w:val="18"/>
                <w:lang w:eastAsia="hr-HR"/>
              </w:rPr>
            </w:pPr>
          </w:p>
        </w:tc>
        <w:tc>
          <w:tcPr>
            <w:tcW w:w="1034" w:type="dxa"/>
            <w:tcBorders>
              <w:top w:val="single" w:sz="4" w:space="0" w:color="auto"/>
            </w:tcBorders>
            <w:shd w:val="clear" w:color="auto" w:fill="auto"/>
            <w:noWrap/>
            <w:vAlign w:val="center"/>
          </w:tcPr>
          <w:p w14:paraId="479CEA8B" w14:textId="36CA21DF" w:rsidR="00CB2603" w:rsidRPr="00080E2D" w:rsidRDefault="00CB2603" w:rsidP="00100C18">
            <w:pPr>
              <w:spacing w:after="0" w:line="240" w:lineRule="auto"/>
              <w:jc w:val="center"/>
              <w:rPr>
                <w:rFonts w:eastAsia="Times New Roman" w:cstheme="minorHAnsi"/>
                <w:sz w:val="18"/>
                <w:szCs w:val="18"/>
                <w:lang w:eastAsia="hr-HR"/>
              </w:rPr>
            </w:pPr>
          </w:p>
        </w:tc>
        <w:tc>
          <w:tcPr>
            <w:tcW w:w="850" w:type="dxa"/>
            <w:tcBorders>
              <w:top w:val="single" w:sz="4" w:space="0" w:color="auto"/>
            </w:tcBorders>
            <w:shd w:val="clear" w:color="auto" w:fill="auto"/>
            <w:noWrap/>
            <w:vAlign w:val="center"/>
          </w:tcPr>
          <w:p w14:paraId="69DEA46B" w14:textId="03824B12" w:rsidR="00CB2603" w:rsidRPr="00080E2D" w:rsidRDefault="00CB2603" w:rsidP="00100C18">
            <w:pPr>
              <w:spacing w:after="0" w:line="240" w:lineRule="auto"/>
              <w:jc w:val="center"/>
              <w:rPr>
                <w:rFonts w:eastAsia="Times New Roman" w:cstheme="minorHAnsi"/>
                <w:sz w:val="18"/>
                <w:szCs w:val="18"/>
                <w:lang w:eastAsia="hr-HR"/>
              </w:rPr>
            </w:pPr>
          </w:p>
        </w:tc>
        <w:tc>
          <w:tcPr>
            <w:tcW w:w="850" w:type="dxa"/>
            <w:tcBorders>
              <w:top w:val="single" w:sz="4" w:space="0" w:color="auto"/>
            </w:tcBorders>
            <w:shd w:val="clear" w:color="auto" w:fill="auto"/>
            <w:noWrap/>
            <w:vAlign w:val="center"/>
          </w:tcPr>
          <w:p w14:paraId="1D56997B" w14:textId="3886A9F6" w:rsidR="00CB2603" w:rsidRPr="00080E2D" w:rsidRDefault="00CB2603" w:rsidP="00100C18">
            <w:pPr>
              <w:spacing w:after="0" w:line="240" w:lineRule="auto"/>
              <w:jc w:val="center"/>
              <w:rPr>
                <w:rFonts w:eastAsia="Times New Roman" w:cstheme="minorHAnsi"/>
                <w:sz w:val="18"/>
                <w:szCs w:val="18"/>
                <w:lang w:eastAsia="hr-HR"/>
              </w:rPr>
            </w:pPr>
          </w:p>
        </w:tc>
        <w:tc>
          <w:tcPr>
            <w:tcW w:w="850" w:type="dxa"/>
            <w:tcBorders>
              <w:top w:val="single" w:sz="4" w:space="0" w:color="auto"/>
            </w:tcBorders>
            <w:shd w:val="clear" w:color="auto" w:fill="auto"/>
            <w:noWrap/>
            <w:vAlign w:val="center"/>
          </w:tcPr>
          <w:p w14:paraId="1E4AB9C9" w14:textId="21331397" w:rsidR="00CB2603" w:rsidRPr="00080E2D" w:rsidRDefault="00CB2603" w:rsidP="00100C18">
            <w:pPr>
              <w:spacing w:after="0" w:line="240" w:lineRule="auto"/>
              <w:jc w:val="center"/>
              <w:rPr>
                <w:rFonts w:eastAsia="Times New Roman" w:cstheme="minorHAnsi"/>
                <w:sz w:val="18"/>
                <w:szCs w:val="18"/>
                <w:lang w:eastAsia="hr-HR"/>
              </w:rPr>
            </w:pPr>
          </w:p>
        </w:tc>
      </w:tr>
      <w:tr w:rsidR="00FB6870" w:rsidRPr="00080E2D" w14:paraId="0F3D8D92" w14:textId="77777777" w:rsidTr="00CB2603">
        <w:trPr>
          <w:trHeight w:val="313"/>
        </w:trPr>
        <w:tc>
          <w:tcPr>
            <w:tcW w:w="575" w:type="dxa"/>
            <w:shd w:val="clear" w:color="auto" w:fill="auto"/>
            <w:noWrap/>
            <w:vAlign w:val="center"/>
          </w:tcPr>
          <w:p w14:paraId="5E869EA6" w14:textId="3F835DCC" w:rsidR="00FB6870" w:rsidRPr="00080E2D" w:rsidRDefault="00FB6870" w:rsidP="00FB6870">
            <w:pPr>
              <w:spacing w:after="0" w:line="240" w:lineRule="auto"/>
              <w:rPr>
                <w:rFonts w:eastAsia="Times New Roman" w:cstheme="minorHAnsi"/>
                <w:sz w:val="18"/>
                <w:szCs w:val="18"/>
                <w:lang w:eastAsia="hr-HR"/>
              </w:rPr>
            </w:pPr>
            <w:r w:rsidRPr="00080E2D">
              <w:rPr>
                <w:rFonts w:eastAsia="Times New Roman" w:cstheme="minorHAnsi"/>
                <w:b/>
                <w:bCs/>
                <w:sz w:val="18"/>
                <w:szCs w:val="18"/>
                <w:lang w:eastAsia="hr-HR"/>
              </w:rPr>
              <w:t>3.</w:t>
            </w:r>
          </w:p>
        </w:tc>
        <w:tc>
          <w:tcPr>
            <w:tcW w:w="3175" w:type="dxa"/>
            <w:shd w:val="clear" w:color="auto" w:fill="auto"/>
            <w:vAlign w:val="center"/>
          </w:tcPr>
          <w:p w14:paraId="6D812F6D" w14:textId="2DB24210" w:rsidR="00FB6870" w:rsidRPr="00080E2D" w:rsidRDefault="00FB6870" w:rsidP="00FB6870">
            <w:pPr>
              <w:spacing w:after="0" w:line="240" w:lineRule="auto"/>
              <w:rPr>
                <w:rFonts w:eastAsia="Times New Roman" w:cstheme="minorHAnsi"/>
                <w:b/>
                <w:bCs/>
                <w:sz w:val="18"/>
                <w:szCs w:val="18"/>
                <w:lang w:eastAsia="hr-HR"/>
              </w:rPr>
            </w:pPr>
            <w:r w:rsidRPr="00080E2D">
              <w:rPr>
                <w:rFonts w:eastAsia="Times New Roman" w:cstheme="minorHAnsi"/>
                <w:b/>
                <w:bCs/>
                <w:sz w:val="18"/>
                <w:szCs w:val="18"/>
                <w:lang w:eastAsia="hr-HR"/>
              </w:rPr>
              <w:t>Sekundarne sirovine</w:t>
            </w:r>
          </w:p>
        </w:tc>
        <w:tc>
          <w:tcPr>
            <w:tcW w:w="1034" w:type="dxa"/>
            <w:shd w:val="clear" w:color="auto" w:fill="auto"/>
            <w:noWrap/>
            <w:vAlign w:val="center"/>
          </w:tcPr>
          <w:p w14:paraId="100562BC" w14:textId="67ADBDBF" w:rsidR="00FB6870" w:rsidRPr="00FB6870" w:rsidRDefault="00FB6870" w:rsidP="00FB6870">
            <w:pPr>
              <w:spacing w:after="0" w:line="240" w:lineRule="auto"/>
              <w:jc w:val="center"/>
              <w:rPr>
                <w:rFonts w:eastAsia="Times New Roman" w:cstheme="minorHAnsi"/>
                <w:b/>
                <w:bCs/>
                <w:color w:val="000000"/>
                <w:sz w:val="18"/>
                <w:szCs w:val="18"/>
                <w:lang w:eastAsia="hr-HR"/>
              </w:rPr>
            </w:pPr>
            <w:r w:rsidRPr="00FB6870">
              <w:rPr>
                <w:rFonts w:ascii="Calibri" w:hAnsi="Calibri" w:cs="Calibri"/>
                <w:b/>
                <w:bCs/>
                <w:color w:val="000000"/>
                <w:sz w:val="18"/>
                <w:szCs w:val="18"/>
              </w:rPr>
              <w:t>387</w:t>
            </w:r>
          </w:p>
        </w:tc>
        <w:tc>
          <w:tcPr>
            <w:tcW w:w="1032" w:type="dxa"/>
            <w:shd w:val="clear" w:color="auto" w:fill="auto"/>
            <w:noWrap/>
            <w:vAlign w:val="center"/>
          </w:tcPr>
          <w:p w14:paraId="39A97CC5" w14:textId="51A70A61" w:rsidR="00FB6870" w:rsidRPr="00FB6870" w:rsidRDefault="00FB6870" w:rsidP="00FB6870">
            <w:pPr>
              <w:spacing w:after="0" w:line="240" w:lineRule="auto"/>
              <w:jc w:val="center"/>
              <w:rPr>
                <w:rFonts w:eastAsia="Times New Roman" w:cstheme="minorHAnsi"/>
                <w:b/>
                <w:bCs/>
                <w:color w:val="000000"/>
                <w:sz w:val="18"/>
                <w:szCs w:val="18"/>
                <w:lang w:eastAsia="hr-HR"/>
              </w:rPr>
            </w:pPr>
            <w:r w:rsidRPr="00FB6870">
              <w:rPr>
                <w:rFonts w:ascii="Calibri" w:hAnsi="Calibri" w:cs="Calibri"/>
                <w:b/>
                <w:bCs/>
                <w:sz w:val="18"/>
                <w:szCs w:val="18"/>
              </w:rPr>
              <w:t>257</w:t>
            </w:r>
          </w:p>
        </w:tc>
        <w:tc>
          <w:tcPr>
            <w:tcW w:w="1034" w:type="dxa"/>
            <w:shd w:val="clear" w:color="auto" w:fill="auto"/>
            <w:noWrap/>
            <w:vAlign w:val="center"/>
          </w:tcPr>
          <w:p w14:paraId="36246D6E" w14:textId="67B6B386" w:rsidR="00FB6870" w:rsidRPr="00FB6870" w:rsidRDefault="00FB6870" w:rsidP="00FB6870">
            <w:pPr>
              <w:spacing w:after="0" w:line="240" w:lineRule="auto"/>
              <w:jc w:val="center"/>
              <w:rPr>
                <w:rFonts w:eastAsia="Times New Roman" w:cstheme="minorHAnsi"/>
                <w:b/>
                <w:bCs/>
                <w:sz w:val="18"/>
                <w:szCs w:val="18"/>
                <w:lang w:eastAsia="hr-HR"/>
              </w:rPr>
            </w:pPr>
            <w:r w:rsidRPr="00FB6870">
              <w:rPr>
                <w:rFonts w:ascii="Calibri" w:hAnsi="Calibri" w:cs="Calibri"/>
                <w:b/>
                <w:bCs/>
                <w:sz w:val="18"/>
                <w:szCs w:val="18"/>
              </w:rPr>
              <w:t>204</w:t>
            </w:r>
          </w:p>
        </w:tc>
        <w:tc>
          <w:tcPr>
            <w:tcW w:w="850" w:type="dxa"/>
            <w:shd w:val="clear" w:color="auto" w:fill="auto"/>
            <w:noWrap/>
            <w:vAlign w:val="center"/>
          </w:tcPr>
          <w:p w14:paraId="2E86E2F6" w14:textId="52FE96E6" w:rsidR="00FB6870" w:rsidRPr="00FB6870" w:rsidRDefault="00FB6870" w:rsidP="00FB6870">
            <w:pPr>
              <w:spacing w:after="0" w:line="240" w:lineRule="auto"/>
              <w:jc w:val="center"/>
              <w:rPr>
                <w:rFonts w:eastAsia="Times New Roman" w:cstheme="minorHAnsi"/>
                <w:b/>
                <w:bCs/>
                <w:sz w:val="18"/>
                <w:szCs w:val="18"/>
                <w:lang w:eastAsia="hr-HR"/>
              </w:rPr>
            </w:pPr>
            <w:r w:rsidRPr="00FB6870">
              <w:rPr>
                <w:rFonts w:ascii="Calibri" w:hAnsi="Calibri" w:cs="Calibri"/>
                <w:b/>
                <w:bCs/>
                <w:sz w:val="18"/>
                <w:szCs w:val="18"/>
              </w:rPr>
              <w:t>0,24%</w:t>
            </w:r>
          </w:p>
        </w:tc>
        <w:tc>
          <w:tcPr>
            <w:tcW w:w="850" w:type="dxa"/>
            <w:shd w:val="clear" w:color="auto" w:fill="auto"/>
            <w:noWrap/>
            <w:vAlign w:val="center"/>
          </w:tcPr>
          <w:p w14:paraId="07BDD495" w14:textId="45A321FE" w:rsidR="00FB6870" w:rsidRPr="00080E2D" w:rsidRDefault="00FB6870" w:rsidP="00FB6870">
            <w:pPr>
              <w:spacing w:after="0" w:line="240" w:lineRule="auto"/>
              <w:jc w:val="center"/>
              <w:rPr>
                <w:rFonts w:eastAsia="Times New Roman" w:cstheme="minorHAnsi"/>
                <w:b/>
                <w:bCs/>
                <w:sz w:val="18"/>
                <w:szCs w:val="18"/>
                <w:lang w:eastAsia="hr-HR"/>
              </w:rPr>
            </w:pPr>
            <w:r>
              <w:rPr>
                <w:rFonts w:ascii="Calibri" w:hAnsi="Calibri" w:cs="Calibri"/>
                <w:b/>
                <w:bCs/>
                <w:sz w:val="16"/>
                <w:szCs w:val="16"/>
              </w:rPr>
              <w:t>53%</w:t>
            </w:r>
          </w:p>
        </w:tc>
        <w:tc>
          <w:tcPr>
            <w:tcW w:w="850" w:type="dxa"/>
            <w:shd w:val="clear" w:color="auto" w:fill="auto"/>
            <w:noWrap/>
            <w:vAlign w:val="center"/>
          </w:tcPr>
          <w:p w14:paraId="18910A1C" w14:textId="479B6B40" w:rsidR="00FB6870" w:rsidRPr="00080E2D" w:rsidRDefault="00FB6870" w:rsidP="00FB6870">
            <w:pPr>
              <w:spacing w:after="0" w:line="240" w:lineRule="auto"/>
              <w:jc w:val="center"/>
              <w:rPr>
                <w:rFonts w:eastAsia="Times New Roman" w:cstheme="minorHAnsi"/>
                <w:b/>
                <w:bCs/>
                <w:sz w:val="18"/>
                <w:szCs w:val="18"/>
                <w:lang w:eastAsia="hr-HR"/>
              </w:rPr>
            </w:pPr>
            <w:r>
              <w:rPr>
                <w:rFonts w:ascii="Calibri" w:hAnsi="Calibri" w:cs="Calibri"/>
                <w:b/>
                <w:bCs/>
                <w:sz w:val="16"/>
                <w:szCs w:val="16"/>
              </w:rPr>
              <w:t>80%</w:t>
            </w:r>
          </w:p>
        </w:tc>
      </w:tr>
      <w:tr w:rsidR="00FB6870" w:rsidRPr="00080E2D" w14:paraId="1D2A1F39" w14:textId="77777777" w:rsidTr="00CB2603">
        <w:trPr>
          <w:trHeight w:val="313"/>
        </w:trPr>
        <w:tc>
          <w:tcPr>
            <w:tcW w:w="575" w:type="dxa"/>
            <w:shd w:val="clear" w:color="auto" w:fill="auto"/>
            <w:noWrap/>
            <w:vAlign w:val="center"/>
            <w:hideMark/>
          </w:tcPr>
          <w:p w14:paraId="5C12BBF2" w14:textId="04C72FDF" w:rsidR="00FB6870" w:rsidRPr="00080E2D" w:rsidRDefault="00FB6870" w:rsidP="00FB6870">
            <w:pPr>
              <w:spacing w:after="0" w:line="240" w:lineRule="auto"/>
              <w:rPr>
                <w:rFonts w:eastAsia="Times New Roman" w:cstheme="minorHAnsi"/>
                <w:b/>
                <w:bCs/>
                <w:sz w:val="18"/>
                <w:szCs w:val="18"/>
                <w:lang w:eastAsia="hr-HR"/>
              </w:rPr>
            </w:pPr>
            <w:r w:rsidRPr="00080E2D">
              <w:rPr>
                <w:rFonts w:eastAsia="Times New Roman" w:cstheme="minorHAnsi"/>
                <w:sz w:val="18"/>
                <w:szCs w:val="18"/>
                <w:lang w:eastAsia="hr-HR"/>
              </w:rPr>
              <w:t>3.1</w:t>
            </w:r>
          </w:p>
        </w:tc>
        <w:tc>
          <w:tcPr>
            <w:tcW w:w="3175" w:type="dxa"/>
            <w:shd w:val="clear" w:color="auto" w:fill="auto"/>
            <w:vAlign w:val="center"/>
            <w:hideMark/>
          </w:tcPr>
          <w:p w14:paraId="55C12C26" w14:textId="345F8395" w:rsidR="00FB6870" w:rsidRPr="00080E2D" w:rsidRDefault="00FB6870" w:rsidP="00FB6870">
            <w:pPr>
              <w:spacing w:after="0" w:line="240" w:lineRule="auto"/>
              <w:rPr>
                <w:rFonts w:eastAsia="Times New Roman" w:cstheme="minorHAnsi"/>
                <w:b/>
                <w:bCs/>
                <w:sz w:val="18"/>
                <w:szCs w:val="18"/>
                <w:lang w:eastAsia="hr-HR"/>
              </w:rPr>
            </w:pPr>
            <w:r w:rsidRPr="00080E2D">
              <w:rPr>
                <w:rFonts w:eastAsia="Times New Roman" w:cstheme="minorHAnsi"/>
                <w:color w:val="000000"/>
                <w:sz w:val="18"/>
                <w:szCs w:val="18"/>
                <w:lang w:eastAsia="hr-HR"/>
              </w:rPr>
              <w:t xml:space="preserve">17-04-05 željezo i čelik  </w:t>
            </w:r>
          </w:p>
        </w:tc>
        <w:tc>
          <w:tcPr>
            <w:tcW w:w="1034" w:type="dxa"/>
            <w:shd w:val="clear" w:color="auto" w:fill="auto"/>
            <w:noWrap/>
            <w:vAlign w:val="center"/>
            <w:hideMark/>
          </w:tcPr>
          <w:p w14:paraId="6EC78398" w14:textId="3A74596A" w:rsidR="00FB6870" w:rsidRPr="00FB6870" w:rsidRDefault="00FB6870" w:rsidP="00FB6870">
            <w:pPr>
              <w:spacing w:after="0" w:line="240" w:lineRule="auto"/>
              <w:jc w:val="center"/>
              <w:rPr>
                <w:rFonts w:eastAsia="Times New Roman" w:cstheme="minorHAnsi"/>
                <w:b/>
                <w:bCs/>
                <w:color w:val="000000"/>
                <w:sz w:val="18"/>
                <w:szCs w:val="18"/>
                <w:lang w:eastAsia="hr-HR"/>
              </w:rPr>
            </w:pPr>
            <w:r w:rsidRPr="00FB6870">
              <w:rPr>
                <w:rFonts w:ascii="Calibri" w:hAnsi="Calibri" w:cs="Calibri"/>
                <w:sz w:val="18"/>
                <w:szCs w:val="18"/>
              </w:rPr>
              <w:t>33</w:t>
            </w:r>
          </w:p>
        </w:tc>
        <w:tc>
          <w:tcPr>
            <w:tcW w:w="1032" w:type="dxa"/>
            <w:shd w:val="clear" w:color="auto" w:fill="auto"/>
            <w:noWrap/>
            <w:vAlign w:val="center"/>
            <w:hideMark/>
          </w:tcPr>
          <w:p w14:paraId="77105D98" w14:textId="6B2DCD3E" w:rsidR="00FB6870" w:rsidRPr="00FB6870" w:rsidRDefault="00FB6870" w:rsidP="00FB6870">
            <w:pPr>
              <w:spacing w:after="0" w:line="240" w:lineRule="auto"/>
              <w:jc w:val="center"/>
              <w:rPr>
                <w:rFonts w:eastAsia="Times New Roman" w:cstheme="minorHAnsi"/>
                <w:b/>
                <w:bCs/>
                <w:color w:val="000000"/>
                <w:sz w:val="18"/>
                <w:szCs w:val="18"/>
                <w:lang w:eastAsia="hr-HR"/>
              </w:rPr>
            </w:pPr>
            <w:r w:rsidRPr="00FB6870">
              <w:rPr>
                <w:rFonts w:ascii="Calibri" w:hAnsi="Calibri" w:cs="Calibri"/>
                <w:sz w:val="18"/>
                <w:szCs w:val="18"/>
              </w:rPr>
              <w:t>30</w:t>
            </w:r>
          </w:p>
        </w:tc>
        <w:tc>
          <w:tcPr>
            <w:tcW w:w="1034" w:type="dxa"/>
            <w:shd w:val="clear" w:color="auto" w:fill="auto"/>
            <w:noWrap/>
            <w:vAlign w:val="center"/>
            <w:hideMark/>
          </w:tcPr>
          <w:p w14:paraId="49E38854" w14:textId="28EBE695" w:rsidR="00FB6870" w:rsidRPr="00FB6870" w:rsidRDefault="00FB6870" w:rsidP="00FB6870">
            <w:pPr>
              <w:spacing w:after="0" w:line="240" w:lineRule="auto"/>
              <w:jc w:val="center"/>
              <w:rPr>
                <w:rFonts w:eastAsia="Times New Roman" w:cstheme="minorHAnsi"/>
                <w:b/>
                <w:bCs/>
                <w:sz w:val="18"/>
                <w:szCs w:val="18"/>
                <w:lang w:eastAsia="hr-HR"/>
              </w:rPr>
            </w:pPr>
            <w:r w:rsidRPr="00FB6870">
              <w:rPr>
                <w:rFonts w:ascii="Calibri" w:hAnsi="Calibri" w:cs="Calibri"/>
                <w:sz w:val="18"/>
                <w:szCs w:val="18"/>
              </w:rPr>
              <w:t>8</w:t>
            </w:r>
          </w:p>
        </w:tc>
        <w:tc>
          <w:tcPr>
            <w:tcW w:w="850" w:type="dxa"/>
            <w:shd w:val="clear" w:color="auto" w:fill="auto"/>
            <w:noWrap/>
            <w:vAlign w:val="center"/>
            <w:hideMark/>
          </w:tcPr>
          <w:p w14:paraId="38F1DEF3" w14:textId="0D977D77" w:rsidR="00FB6870" w:rsidRPr="00FB6870" w:rsidRDefault="00FB6870" w:rsidP="00FB6870">
            <w:pPr>
              <w:spacing w:after="0" w:line="240" w:lineRule="auto"/>
              <w:jc w:val="center"/>
              <w:rPr>
                <w:rFonts w:eastAsia="Times New Roman" w:cstheme="minorHAnsi"/>
                <w:b/>
                <w:bCs/>
                <w:sz w:val="18"/>
                <w:szCs w:val="18"/>
                <w:lang w:eastAsia="hr-HR"/>
              </w:rPr>
            </w:pPr>
            <w:r w:rsidRPr="00FB6870">
              <w:rPr>
                <w:rFonts w:ascii="Calibri" w:hAnsi="Calibri" w:cs="Calibri"/>
                <w:sz w:val="18"/>
                <w:szCs w:val="18"/>
              </w:rPr>
              <w:t>0,01%</w:t>
            </w:r>
          </w:p>
        </w:tc>
        <w:tc>
          <w:tcPr>
            <w:tcW w:w="850" w:type="dxa"/>
            <w:shd w:val="clear" w:color="auto" w:fill="auto"/>
            <w:noWrap/>
            <w:vAlign w:val="center"/>
            <w:hideMark/>
          </w:tcPr>
          <w:p w14:paraId="3202E15A" w14:textId="116286C8" w:rsidR="00FB6870" w:rsidRPr="00080E2D" w:rsidRDefault="00FB6870" w:rsidP="00FB6870">
            <w:pPr>
              <w:spacing w:after="0" w:line="240" w:lineRule="auto"/>
              <w:jc w:val="center"/>
              <w:rPr>
                <w:rFonts w:eastAsia="Times New Roman" w:cstheme="minorHAnsi"/>
                <w:b/>
                <w:bCs/>
                <w:sz w:val="18"/>
                <w:szCs w:val="18"/>
                <w:lang w:eastAsia="hr-HR"/>
              </w:rPr>
            </w:pPr>
            <w:r>
              <w:rPr>
                <w:rFonts w:ascii="Calibri" w:hAnsi="Calibri" w:cs="Calibri"/>
                <w:sz w:val="16"/>
                <w:szCs w:val="16"/>
              </w:rPr>
              <w:t>26%</w:t>
            </w:r>
          </w:p>
        </w:tc>
        <w:tc>
          <w:tcPr>
            <w:tcW w:w="850" w:type="dxa"/>
            <w:shd w:val="clear" w:color="auto" w:fill="auto"/>
            <w:noWrap/>
            <w:vAlign w:val="center"/>
            <w:hideMark/>
          </w:tcPr>
          <w:p w14:paraId="338C01B4" w14:textId="2FA256A6" w:rsidR="00FB6870" w:rsidRPr="00080E2D" w:rsidRDefault="00FB6870" w:rsidP="00FB6870">
            <w:pPr>
              <w:spacing w:after="0" w:line="240" w:lineRule="auto"/>
              <w:jc w:val="center"/>
              <w:rPr>
                <w:rFonts w:eastAsia="Times New Roman" w:cstheme="minorHAnsi"/>
                <w:b/>
                <w:bCs/>
                <w:sz w:val="18"/>
                <w:szCs w:val="18"/>
                <w:lang w:eastAsia="hr-HR"/>
              </w:rPr>
            </w:pPr>
            <w:r>
              <w:rPr>
                <w:rFonts w:ascii="Calibri" w:hAnsi="Calibri" w:cs="Calibri"/>
                <w:sz w:val="16"/>
                <w:szCs w:val="16"/>
              </w:rPr>
              <w:t>28%</w:t>
            </w:r>
          </w:p>
        </w:tc>
      </w:tr>
      <w:tr w:rsidR="00FB6870" w:rsidRPr="00080E2D" w14:paraId="11A8C89E" w14:textId="77777777" w:rsidTr="00CB2603">
        <w:trPr>
          <w:trHeight w:val="300"/>
        </w:trPr>
        <w:tc>
          <w:tcPr>
            <w:tcW w:w="575" w:type="dxa"/>
            <w:shd w:val="clear" w:color="auto" w:fill="auto"/>
            <w:noWrap/>
            <w:vAlign w:val="center"/>
            <w:hideMark/>
          </w:tcPr>
          <w:p w14:paraId="73FC9676" w14:textId="4F37DEF1" w:rsidR="00FB6870" w:rsidRPr="00080E2D" w:rsidRDefault="00FB6870" w:rsidP="00FB6870">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3.2</w:t>
            </w:r>
          </w:p>
        </w:tc>
        <w:tc>
          <w:tcPr>
            <w:tcW w:w="3175" w:type="dxa"/>
            <w:shd w:val="clear" w:color="auto" w:fill="auto"/>
            <w:vAlign w:val="center"/>
            <w:hideMark/>
          </w:tcPr>
          <w:p w14:paraId="3C251505" w14:textId="52C908B7" w:rsidR="00FB6870" w:rsidRPr="00080E2D" w:rsidRDefault="00FB6870" w:rsidP="00FB6870">
            <w:pPr>
              <w:spacing w:after="0" w:line="240" w:lineRule="auto"/>
              <w:rPr>
                <w:rFonts w:eastAsia="Times New Roman" w:cstheme="minorHAnsi"/>
                <w:color w:val="000000"/>
                <w:sz w:val="18"/>
                <w:szCs w:val="18"/>
                <w:lang w:eastAsia="hr-HR"/>
              </w:rPr>
            </w:pPr>
            <w:r w:rsidRPr="00080E2D">
              <w:rPr>
                <w:rFonts w:eastAsia="Times New Roman" w:cstheme="minorHAnsi"/>
                <w:color w:val="000000"/>
                <w:sz w:val="18"/>
                <w:szCs w:val="18"/>
                <w:lang w:eastAsia="hr-HR"/>
              </w:rPr>
              <w:t>19-12-02 željezne kovine</w:t>
            </w:r>
          </w:p>
        </w:tc>
        <w:tc>
          <w:tcPr>
            <w:tcW w:w="1034" w:type="dxa"/>
            <w:shd w:val="clear" w:color="auto" w:fill="auto"/>
            <w:noWrap/>
            <w:vAlign w:val="center"/>
            <w:hideMark/>
          </w:tcPr>
          <w:p w14:paraId="75A426DF" w14:textId="0FB078AE" w:rsidR="00FB6870" w:rsidRPr="00FB6870" w:rsidRDefault="00FB6870" w:rsidP="00FB6870">
            <w:pPr>
              <w:spacing w:after="0" w:line="240" w:lineRule="auto"/>
              <w:jc w:val="center"/>
              <w:rPr>
                <w:rFonts w:eastAsia="Times New Roman" w:cstheme="minorHAnsi"/>
                <w:color w:val="000000"/>
                <w:sz w:val="18"/>
                <w:szCs w:val="18"/>
                <w:lang w:eastAsia="hr-HR"/>
              </w:rPr>
            </w:pPr>
            <w:r w:rsidRPr="00FB6870">
              <w:rPr>
                <w:rFonts w:ascii="Calibri" w:hAnsi="Calibri" w:cs="Calibri"/>
                <w:sz w:val="18"/>
                <w:szCs w:val="18"/>
              </w:rPr>
              <w:t>112</w:t>
            </w:r>
          </w:p>
        </w:tc>
        <w:tc>
          <w:tcPr>
            <w:tcW w:w="1032" w:type="dxa"/>
            <w:shd w:val="clear" w:color="auto" w:fill="auto"/>
            <w:noWrap/>
            <w:vAlign w:val="center"/>
            <w:hideMark/>
          </w:tcPr>
          <w:p w14:paraId="357432D9" w14:textId="5C7F4F55" w:rsidR="00FB6870" w:rsidRPr="00FB6870" w:rsidRDefault="00FB6870" w:rsidP="00FB6870">
            <w:pPr>
              <w:spacing w:after="0" w:line="240" w:lineRule="auto"/>
              <w:jc w:val="center"/>
              <w:rPr>
                <w:rFonts w:eastAsia="Times New Roman" w:cstheme="minorHAnsi"/>
                <w:color w:val="000000"/>
                <w:sz w:val="18"/>
                <w:szCs w:val="18"/>
                <w:lang w:eastAsia="hr-HR"/>
              </w:rPr>
            </w:pPr>
            <w:r w:rsidRPr="00FB6870">
              <w:rPr>
                <w:rFonts w:ascii="Calibri" w:hAnsi="Calibri" w:cs="Calibri"/>
                <w:sz w:val="18"/>
                <w:szCs w:val="18"/>
              </w:rPr>
              <w:t>62</w:t>
            </w:r>
          </w:p>
        </w:tc>
        <w:tc>
          <w:tcPr>
            <w:tcW w:w="1034" w:type="dxa"/>
            <w:shd w:val="clear" w:color="auto" w:fill="auto"/>
            <w:noWrap/>
            <w:vAlign w:val="center"/>
            <w:hideMark/>
          </w:tcPr>
          <w:p w14:paraId="45CF6FCB" w14:textId="4EA6AFA7" w:rsidR="00FB6870" w:rsidRPr="00FB6870" w:rsidRDefault="00FB6870" w:rsidP="00FB6870">
            <w:pPr>
              <w:spacing w:after="0" w:line="240" w:lineRule="auto"/>
              <w:jc w:val="center"/>
              <w:rPr>
                <w:rFonts w:eastAsia="Times New Roman" w:cstheme="minorHAnsi"/>
                <w:sz w:val="18"/>
                <w:szCs w:val="18"/>
                <w:lang w:eastAsia="hr-HR"/>
              </w:rPr>
            </w:pPr>
            <w:r w:rsidRPr="00FB6870">
              <w:rPr>
                <w:rFonts w:ascii="Calibri" w:hAnsi="Calibri" w:cs="Calibri"/>
                <w:sz w:val="18"/>
                <w:szCs w:val="18"/>
              </w:rPr>
              <w:t>62</w:t>
            </w:r>
          </w:p>
        </w:tc>
        <w:tc>
          <w:tcPr>
            <w:tcW w:w="850" w:type="dxa"/>
            <w:shd w:val="clear" w:color="auto" w:fill="auto"/>
            <w:noWrap/>
            <w:vAlign w:val="center"/>
            <w:hideMark/>
          </w:tcPr>
          <w:p w14:paraId="4200AB18" w14:textId="44B7B245" w:rsidR="00FB6870" w:rsidRPr="00FB6870" w:rsidRDefault="00FB6870" w:rsidP="00FB6870">
            <w:pPr>
              <w:spacing w:after="0" w:line="240" w:lineRule="auto"/>
              <w:jc w:val="center"/>
              <w:rPr>
                <w:rFonts w:eastAsia="Times New Roman" w:cstheme="minorHAnsi"/>
                <w:sz w:val="18"/>
                <w:szCs w:val="18"/>
                <w:lang w:eastAsia="hr-HR"/>
              </w:rPr>
            </w:pPr>
            <w:r w:rsidRPr="00FB6870">
              <w:rPr>
                <w:rFonts w:ascii="Calibri" w:hAnsi="Calibri" w:cs="Calibri"/>
                <w:sz w:val="18"/>
                <w:szCs w:val="18"/>
              </w:rPr>
              <w:t>0,07%</w:t>
            </w:r>
          </w:p>
        </w:tc>
        <w:tc>
          <w:tcPr>
            <w:tcW w:w="850" w:type="dxa"/>
            <w:shd w:val="clear" w:color="auto" w:fill="auto"/>
            <w:noWrap/>
            <w:vAlign w:val="center"/>
            <w:hideMark/>
          </w:tcPr>
          <w:p w14:paraId="2EB08439" w14:textId="7B0318DC" w:rsidR="00FB6870" w:rsidRPr="00080E2D" w:rsidRDefault="00FB6870" w:rsidP="00FB6870">
            <w:pPr>
              <w:spacing w:after="0" w:line="240" w:lineRule="auto"/>
              <w:jc w:val="center"/>
              <w:rPr>
                <w:rFonts w:eastAsia="Times New Roman" w:cstheme="minorHAnsi"/>
                <w:sz w:val="18"/>
                <w:szCs w:val="18"/>
                <w:lang w:eastAsia="hr-HR"/>
              </w:rPr>
            </w:pPr>
            <w:r>
              <w:rPr>
                <w:rFonts w:ascii="Calibri" w:hAnsi="Calibri" w:cs="Calibri"/>
                <w:sz w:val="16"/>
                <w:szCs w:val="16"/>
              </w:rPr>
              <w:t>55%</w:t>
            </w:r>
          </w:p>
        </w:tc>
        <w:tc>
          <w:tcPr>
            <w:tcW w:w="850" w:type="dxa"/>
            <w:shd w:val="clear" w:color="auto" w:fill="auto"/>
            <w:noWrap/>
            <w:vAlign w:val="center"/>
            <w:hideMark/>
          </w:tcPr>
          <w:p w14:paraId="44CD43A4" w14:textId="1452FD86" w:rsidR="00FB6870" w:rsidRPr="00080E2D" w:rsidRDefault="00FB6870" w:rsidP="00FB6870">
            <w:pPr>
              <w:spacing w:after="0" w:line="240" w:lineRule="auto"/>
              <w:jc w:val="center"/>
              <w:rPr>
                <w:rFonts w:eastAsia="Times New Roman" w:cstheme="minorHAnsi"/>
                <w:sz w:val="18"/>
                <w:szCs w:val="18"/>
                <w:lang w:eastAsia="hr-HR"/>
              </w:rPr>
            </w:pPr>
            <w:r>
              <w:rPr>
                <w:rFonts w:ascii="Calibri" w:hAnsi="Calibri" w:cs="Calibri"/>
                <w:sz w:val="16"/>
                <w:szCs w:val="16"/>
              </w:rPr>
              <w:t>100%</w:t>
            </w:r>
          </w:p>
        </w:tc>
      </w:tr>
      <w:tr w:rsidR="00FB6870" w:rsidRPr="00080E2D" w14:paraId="6E137F8B" w14:textId="77777777" w:rsidTr="00CB2603">
        <w:trPr>
          <w:trHeight w:val="300"/>
        </w:trPr>
        <w:tc>
          <w:tcPr>
            <w:tcW w:w="575" w:type="dxa"/>
            <w:shd w:val="clear" w:color="auto" w:fill="auto"/>
            <w:noWrap/>
            <w:vAlign w:val="center"/>
            <w:hideMark/>
          </w:tcPr>
          <w:p w14:paraId="1325074E" w14:textId="178C6A8E" w:rsidR="00FB6870" w:rsidRPr="00080E2D" w:rsidRDefault="00FB6870" w:rsidP="00FB6870">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3.3</w:t>
            </w:r>
          </w:p>
        </w:tc>
        <w:tc>
          <w:tcPr>
            <w:tcW w:w="3175" w:type="dxa"/>
            <w:shd w:val="clear" w:color="auto" w:fill="auto"/>
            <w:vAlign w:val="center"/>
            <w:hideMark/>
          </w:tcPr>
          <w:p w14:paraId="0E95EDC4" w14:textId="41836575" w:rsidR="00FB6870" w:rsidRPr="00080E2D" w:rsidRDefault="00FB6870" w:rsidP="00FB6870">
            <w:pPr>
              <w:spacing w:after="0" w:line="240" w:lineRule="auto"/>
              <w:rPr>
                <w:rFonts w:eastAsia="Times New Roman" w:cstheme="minorHAnsi"/>
                <w:color w:val="000000"/>
                <w:sz w:val="18"/>
                <w:szCs w:val="18"/>
                <w:lang w:eastAsia="hr-HR"/>
              </w:rPr>
            </w:pPr>
            <w:r w:rsidRPr="00080E2D">
              <w:rPr>
                <w:rFonts w:eastAsia="Times New Roman" w:cstheme="minorHAnsi"/>
                <w:color w:val="000000"/>
                <w:sz w:val="18"/>
                <w:szCs w:val="18"/>
                <w:lang w:eastAsia="hr-HR"/>
              </w:rPr>
              <w:t>19-12-03 obojeni metali</w:t>
            </w:r>
          </w:p>
        </w:tc>
        <w:tc>
          <w:tcPr>
            <w:tcW w:w="1034" w:type="dxa"/>
            <w:shd w:val="clear" w:color="auto" w:fill="auto"/>
            <w:noWrap/>
            <w:vAlign w:val="center"/>
            <w:hideMark/>
          </w:tcPr>
          <w:p w14:paraId="28CF350C" w14:textId="7726E00D" w:rsidR="00FB6870" w:rsidRPr="00FB6870" w:rsidRDefault="00FB6870" w:rsidP="00FB6870">
            <w:pPr>
              <w:spacing w:after="0" w:line="240" w:lineRule="auto"/>
              <w:jc w:val="center"/>
              <w:rPr>
                <w:rFonts w:eastAsia="Times New Roman" w:cstheme="minorHAnsi"/>
                <w:color w:val="000000"/>
                <w:sz w:val="18"/>
                <w:szCs w:val="18"/>
                <w:lang w:eastAsia="hr-HR"/>
              </w:rPr>
            </w:pPr>
            <w:r w:rsidRPr="00FB6870">
              <w:rPr>
                <w:rFonts w:ascii="Calibri" w:hAnsi="Calibri" w:cs="Calibri"/>
                <w:sz w:val="18"/>
                <w:szCs w:val="18"/>
              </w:rPr>
              <w:t>76</w:t>
            </w:r>
          </w:p>
        </w:tc>
        <w:tc>
          <w:tcPr>
            <w:tcW w:w="1032" w:type="dxa"/>
            <w:shd w:val="clear" w:color="auto" w:fill="auto"/>
            <w:noWrap/>
            <w:vAlign w:val="center"/>
            <w:hideMark/>
          </w:tcPr>
          <w:p w14:paraId="3032D3B8" w14:textId="08EE9A28" w:rsidR="00FB6870" w:rsidRPr="00FB6870" w:rsidRDefault="00FB6870" w:rsidP="00FB6870">
            <w:pPr>
              <w:spacing w:after="0" w:line="240" w:lineRule="auto"/>
              <w:jc w:val="center"/>
              <w:rPr>
                <w:rFonts w:eastAsia="Times New Roman" w:cstheme="minorHAnsi"/>
                <w:color w:val="000000"/>
                <w:sz w:val="18"/>
                <w:szCs w:val="18"/>
                <w:lang w:eastAsia="hr-HR"/>
              </w:rPr>
            </w:pPr>
            <w:r w:rsidRPr="00FB6870">
              <w:rPr>
                <w:rFonts w:ascii="Calibri" w:hAnsi="Calibri" w:cs="Calibri"/>
                <w:sz w:val="18"/>
                <w:szCs w:val="18"/>
              </w:rPr>
              <w:t>165</w:t>
            </w:r>
          </w:p>
        </w:tc>
        <w:tc>
          <w:tcPr>
            <w:tcW w:w="1034" w:type="dxa"/>
            <w:shd w:val="clear" w:color="auto" w:fill="auto"/>
            <w:noWrap/>
            <w:vAlign w:val="center"/>
            <w:hideMark/>
          </w:tcPr>
          <w:p w14:paraId="28F102D3" w14:textId="4AD9350B" w:rsidR="00FB6870" w:rsidRPr="00FB6870" w:rsidRDefault="00FB6870" w:rsidP="00FB6870">
            <w:pPr>
              <w:spacing w:after="0" w:line="240" w:lineRule="auto"/>
              <w:jc w:val="center"/>
              <w:rPr>
                <w:rFonts w:eastAsia="Times New Roman" w:cstheme="minorHAnsi"/>
                <w:sz w:val="18"/>
                <w:szCs w:val="18"/>
                <w:lang w:eastAsia="hr-HR"/>
              </w:rPr>
            </w:pPr>
            <w:r w:rsidRPr="00FB6870">
              <w:rPr>
                <w:rFonts w:ascii="Calibri" w:hAnsi="Calibri" w:cs="Calibri"/>
                <w:sz w:val="18"/>
                <w:szCs w:val="18"/>
              </w:rPr>
              <w:t>134</w:t>
            </w:r>
          </w:p>
        </w:tc>
        <w:tc>
          <w:tcPr>
            <w:tcW w:w="850" w:type="dxa"/>
            <w:shd w:val="clear" w:color="auto" w:fill="auto"/>
            <w:noWrap/>
            <w:vAlign w:val="center"/>
            <w:hideMark/>
          </w:tcPr>
          <w:p w14:paraId="41062F58" w14:textId="43BFCF32" w:rsidR="00FB6870" w:rsidRPr="00FB6870" w:rsidRDefault="00FB6870" w:rsidP="00FB6870">
            <w:pPr>
              <w:spacing w:after="0" w:line="240" w:lineRule="auto"/>
              <w:jc w:val="center"/>
              <w:rPr>
                <w:rFonts w:eastAsia="Times New Roman" w:cstheme="minorHAnsi"/>
                <w:sz w:val="18"/>
                <w:szCs w:val="18"/>
                <w:lang w:eastAsia="hr-HR"/>
              </w:rPr>
            </w:pPr>
            <w:r w:rsidRPr="00FB6870">
              <w:rPr>
                <w:rFonts w:ascii="Calibri" w:hAnsi="Calibri" w:cs="Calibri"/>
                <w:sz w:val="18"/>
                <w:szCs w:val="18"/>
              </w:rPr>
              <w:t>0,16%</w:t>
            </w:r>
          </w:p>
        </w:tc>
        <w:tc>
          <w:tcPr>
            <w:tcW w:w="850" w:type="dxa"/>
            <w:shd w:val="clear" w:color="auto" w:fill="auto"/>
            <w:noWrap/>
            <w:vAlign w:val="center"/>
            <w:hideMark/>
          </w:tcPr>
          <w:p w14:paraId="255322E1" w14:textId="51FEAD4C" w:rsidR="00FB6870" w:rsidRPr="00080E2D" w:rsidRDefault="00FB6870" w:rsidP="00FB6870">
            <w:pPr>
              <w:spacing w:after="0" w:line="240" w:lineRule="auto"/>
              <w:jc w:val="center"/>
              <w:rPr>
                <w:rFonts w:eastAsia="Times New Roman" w:cstheme="minorHAnsi"/>
                <w:sz w:val="18"/>
                <w:szCs w:val="18"/>
                <w:lang w:eastAsia="hr-HR"/>
              </w:rPr>
            </w:pPr>
            <w:r>
              <w:rPr>
                <w:rFonts w:ascii="Calibri" w:hAnsi="Calibri" w:cs="Calibri"/>
                <w:sz w:val="16"/>
                <w:szCs w:val="16"/>
              </w:rPr>
              <w:t>176%</w:t>
            </w:r>
          </w:p>
        </w:tc>
        <w:tc>
          <w:tcPr>
            <w:tcW w:w="850" w:type="dxa"/>
            <w:shd w:val="clear" w:color="auto" w:fill="auto"/>
            <w:noWrap/>
            <w:vAlign w:val="center"/>
            <w:hideMark/>
          </w:tcPr>
          <w:p w14:paraId="016DD866" w14:textId="045E7A53" w:rsidR="00FB6870" w:rsidRPr="00080E2D" w:rsidRDefault="00FB6870" w:rsidP="00FB6870">
            <w:pPr>
              <w:spacing w:after="0" w:line="240" w:lineRule="auto"/>
              <w:jc w:val="center"/>
              <w:rPr>
                <w:rFonts w:eastAsia="Times New Roman" w:cstheme="minorHAnsi"/>
                <w:sz w:val="18"/>
                <w:szCs w:val="18"/>
                <w:lang w:eastAsia="hr-HR"/>
              </w:rPr>
            </w:pPr>
            <w:r>
              <w:rPr>
                <w:rFonts w:ascii="Calibri" w:hAnsi="Calibri" w:cs="Calibri"/>
                <w:sz w:val="16"/>
                <w:szCs w:val="16"/>
              </w:rPr>
              <w:t>81%</w:t>
            </w:r>
          </w:p>
        </w:tc>
      </w:tr>
      <w:tr w:rsidR="00FB6870" w:rsidRPr="00080E2D" w14:paraId="23F40674" w14:textId="77777777" w:rsidTr="00CB2603">
        <w:trPr>
          <w:trHeight w:val="300"/>
        </w:trPr>
        <w:tc>
          <w:tcPr>
            <w:tcW w:w="575" w:type="dxa"/>
            <w:shd w:val="clear" w:color="auto" w:fill="auto"/>
            <w:noWrap/>
            <w:vAlign w:val="center"/>
            <w:hideMark/>
          </w:tcPr>
          <w:p w14:paraId="7D10E411" w14:textId="2769A959" w:rsidR="00FB6870" w:rsidRPr="00080E2D" w:rsidRDefault="00FB6870" w:rsidP="00FB6870">
            <w:pPr>
              <w:spacing w:after="0" w:line="240" w:lineRule="auto"/>
              <w:rPr>
                <w:rFonts w:eastAsia="Times New Roman" w:cstheme="minorHAnsi"/>
                <w:sz w:val="18"/>
                <w:szCs w:val="18"/>
                <w:lang w:eastAsia="hr-HR"/>
              </w:rPr>
            </w:pPr>
            <w:r w:rsidRPr="00080E2D">
              <w:rPr>
                <w:rFonts w:eastAsia="Times New Roman" w:cstheme="minorHAnsi"/>
                <w:sz w:val="18"/>
                <w:szCs w:val="18"/>
                <w:lang w:eastAsia="hr-HR"/>
              </w:rPr>
              <w:t>3.4</w:t>
            </w:r>
          </w:p>
        </w:tc>
        <w:tc>
          <w:tcPr>
            <w:tcW w:w="3175" w:type="dxa"/>
            <w:shd w:val="clear" w:color="auto" w:fill="auto"/>
            <w:vAlign w:val="center"/>
            <w:hideMark/>
          </w:tcPr>
          <w:p w14:paraId="0C0A4D33" w14:textId="5C1F07F5" w:rsidR="00FB6870" w:rsidRPr="00080E2D" w:rsidRDefault="00FB6870" w:rsidP="00FB6870">
            <w:pPr>
              <w:spacing w:after="0" w:line="240" w:lineRule="auto"/>
              <w:rPr>
                <w:rFonts w:eastAsia="Times New Roman" w:cstheme="minorHAnsi"/>
                <w:color w:val="000000"/>
                <w:sz w:val="18"/>
                <w:szCs w:val="18"/>
                <w:lang w:eastAsia="hr-HR"/>
              </w:rPr>
            </w:pPr>
            <w:r w:rsidRPr="00080E2D">
              <w:rPr>
                <w:rFonts w:eastAsia="Times New Roman" w:cstheme="minorHAnsi"/>
                <w:color w:val="000000"/>
                <w:sz w:val="18"/>
                <w:szCs w:val="18"/>
                <w:lang w:eastAsia="hr-HR"/>
              </w:rPr>
              <w:t>19-12-12 mix željezo</w:t>
            </w:r>
          </w:p>
        </w:tc>
        <w:tc>
          <w:tcPr>
            <w:tcW w:w="1034" w:type="dxa"/>
            <w:shd w:val="clear" w:color="auto" w:fill="auto"/>
            <w:noWrap/>
            <w:vAlign w:val="center"/>
            <w:hideMark/>
          </w:tcPr>
          <w:p w14:paraId="02405C19" w14:textId="3FAF1DAB" w:rsidR="00FB6870" w:rsidRPr="00FB6870" w:rsidRDefault="00FB6870" w:rsidP="00FB6870">
            <w:pPr>
              <w:spacing w:after="0" w:line="240" w:lineRule="auto"/>
              <w:jc w:val="center"/>
              <w:rPr>
                <w:rFonts w:eastAsia="Times New Roman" w:cstheme="minorHAnsi"/>
                <w:color w:val="000000"/>
                <w:sz w:val="18"/>
                <w:szCs w:val="18"/>
                <w:lang w:eastAsia="hr-HR"/>
              </w:rPr>
            </w:pPr>
            <w:r w:rsidRPr="00FB6870">
              <w:rPr>
                <w:rFonts w:ascii="Calibri" w:hAnsi="Calibri" w:cs="Calibri"/>
                <w:sz w:val="18"/>
                <w:szCs w:val="18"/>
              </w:rPr>
              <w:t>166</w:t>
            </w:r>
          </w:p>
        </w:tc>
        <w:tc>
          <w:tcPr>
            <w:tcW w:w="1032" w:type="dxa"/>
            <w:shd w:val="clear" w:color="auto" w:fill="auto"/>
            <w:noWrap/>
            <w:vAlign w:val="center"/>
            <w:hideMark/>
          </w:tcPr>
          <w:p w14:paraId="7A19D1E4" w14:textId="18DA969F" w:rsidR="00FB6870" w:rsidRPr="00FB6870" w:rsidRDefault="00FB6870" w:rsidP="00FB6870">
            <w:pPr>
              <w:spacing w:after="0" w:line="240" w:lineRule="auto"/>
              <w:jc w:val="center"/>
              <w:rPr>
                <w:rFonts w:eastAsia="Times New Roman" w:cstheme="minorHAnsi"/>
                <w:color w:val="000000"/>
                <w:sz w:val="18"/>
                <w:szCs w:val="18"/>
                <w:lang w:eastAsia="hr-HR"/>
              </w:rPr>
            </w:pPr>
            <w:r w:rsidRPr="00FB6870">
              <w:rPr>
                <w:rFonts w:ascii="Calibri" w:hAnsi="Calibri" w:cs="Calibri"/>
                <w:sz w:val="18"/>
                <w:szCs w:val="18"/>
              </w:rPr>
              <w:t>0</w:t>
            </w:r>
          </w:p>
        </w:tc>
        <w:tc>
          <w:tcPr>
            <w:tcW w:w="1034" w:type="dxa"/>
            <w:shd w:val="clear" w:color="auto" w:fill="auto"/>
            <w:noWrap/>
            <w:vAlign w:val="center"/>
            <w:hideMark/>
          </w:tcPr>
          <w:p w14:paraId="4B961B7B" w14:textId="334C951E" w:rsidR="00FB6870" w:rsidRPr="00FB6870" w:rsidRDefault="00FB6870" w:rsidP="00FB6870">
            <w:pPr>
              <w:spacing w:after="0" w:line="240" w:lineRule="auto"/>
              <w:jc w:val="center"/>
              <w:rPr>
                <w:rFonts w:eastAsia="Times New Roman" w:cstheme="minorHAnsi"/>
                <w:sz w:val="18"/>
                <w:szCs w:val="18"/>
                <w:lang w:eastAsia="hr-HR"/>
              </w:rPr>
            </w:pPr>
            <w:r w:rsidRPr="00FB6870">
              <w:rPr>
                <w:rFonts w:ascii="Calibri" w:hAnsi="Calibri" w:cs="Calibri"/>
                <w:sz w:val="18"/>
                <w:szCs w:val="18"/>
              </w:rPr>
              <w:t>0</w:t>
            </w:r>
          </w:p>
        </w:tc>
        <w:tc>
          <w:tcPr>
            <w:tcW w:w="850" w:type="dxa"/>
            <w:shd w:val="clear" w:color="auto" w:fill="auto"/>
            <w:noWrap/>
            <w:vAlign w:val="center"/>
            <w:hideMark/>
          </w:tcPr>
          <w:p w14:paraId="58A90DA2" w14:textId="5E2EB1E4" w:rsidR="00FB6870" w:rsidRPr="00080E2D" w:rsidRDefault="00FB6870" w:rsidP="00FB6870">
            <w:pPr>
              <w:spacing w:after="0" w:line="240" w:lineRule="auto"/>
              <w:jc w:val="center"/>
              <w:rPr>
                <w:rFonts w:eastAsia="Times New Roman" w:cstheme="minorHAnsi"/>
                <w:sz w:val="18"/>
                <w:szCs w:val="18"/>
                <w:lang w:eastAsia="hr-HR"/>
              </w:rPr>
            </w:pPr>
            <w:r w:rsidRPr="00080E2D">
              <w:rPr>
                <w:rFonts w:eastAsia="Times New Roman" w:cstheme="minorHAnsi"/>
                <w:sz w:val="18"/>
                <w:szCs w:val="18"/>
                <w:lang w:eastAsia="hr-HR"/>
              </w:rPr>
              <w:t>0,20%</w:t>
            </w:r>
          </w:p>
        </w:tc>
        <w:tc>
          <w:tcPr>
            <w:tcW w:w="850" w:type="dxa"/>
            <w:shd w:val="clear" w:color="auto" w:fill="auto"/>
            <w:noWrap/>
            <w:vAlign w:val="center"/>
            <w:hideMark/>
          </w:tcPr>
          <w:p w14:paraId="687CD26C" w14:textId="64AF7C87" w:rsidR="00FB6870" w:rsidRPr="00080E2D" w:rsidRDefault="00FB6870" w:rsidP="00FB6870">
            <w:pPr>
              <w:spacing w:after="0" w:line="240" w:lineRule="auto"/>
              <w:jc w:val="center"/>
              <w:rPr>
                <w:rFonts w:eastAsia="Times New Roman" w:cstheme="minorHAnsi"/>
                <w:sz w:val="18"/>
                <w:szCs w:val="18"/>
                <w:lang w:eastAsia="hr-HR"/>
              </w:rPr>
            </w:pPr>
            <w:r>
              <w:rPr>
                <w:rFonts w:ascii="Calibri" w:hAnsi="Calibri" w:cs="Calibri"/>
                <w:sz w:val="16"/>
                <w:szCs w:val="16"/>
              </w:rPr>
              <w:t>0%</w:t>
            </w:r>
          </w:p>
        </w:tc>
        <w:tc>
          <w:tcPr>
            <w:tcW w:w="850" w:type="dxa"/>
            <w:shd w:val="clear" w:color="auto" w:fill="auto"/>
            <w:noWrap/>
            <w:vAlign w:val="center"/>
            <w:hideMark/>
          </w:tcPr>
          <w:p w14:paraId="17A15985" w14:textId="3374BB80" w:rsidR="00FB6870" w:rsidRPr="00080E2D" w:rsidRDefault="00FB6870" w:rsidP="00FB6870">
            <w:pPr>
              <w:spacing w:after="0" w:line="240" w:lineRule="auto"/>
              <w:jc w:val="center"/>
              <w:rPr>
                <w:rFonts w:eastAsia="Times New Roman" w:cstheme="minorHAnsi"/>
                <w:sz w:val="18"/>
                <w:szCs w:val="18"/>
                <w:lang w:eastAsia="hr-HR"/>
              </w:rPr>
            </w:pPr>
            <w:r>
              <w:rPr>
                <w:rFonts w:ascii="Calibri" w:hAnsi="Calibri" w:cs="Calibri"/>
                <w:sz w:val="16"/>
                <w:szCs w:val="16"/>
              </w:rPr>
              <w:t>0%</w:t>
            </w:r>
          </w:p>
        </w:tc>
      </w:tr>
      <w:tr w:rsidR="00CB2603" w:rsidRPr="00080E2D" w14:paraId="43314D28" w14:textId="77777777" w:rsidTr="00CB2603">
        <w:trPr>
          <w:trHeight w:val="313"/>
        </w:trPr>
        <w:tc>
          <w:tcPr>
            <w:tcW w:w="575" w:type="dxa"/>
            <w:shd w:val="clear" w:color="auto" w:fill="auto"/>
            <w:noWrap/>
            <w:vAlign w:val="center"/>
          </w:tcPr>
          <w:p w14:paraId="63A86063" w14:textId="4DD1F948" w:rsidR="00CB2603" w:rsidRPr="00080E2D" w:rsidRDefault="00CB2603" w:rsidP="00100C18">
            <w:pPr>
              <w:spacing w:after="0" w:line="240" w:lineRule="auto"/>
              <w:rPr>
                <w:rFonts w:eastAsia="Times New Roman" w:cstheme="minorHAnsi"/>
                <w:sz w:val="18"/>
                <w:szCs w:val="18"/>
                <w:lang w:eastAsia="hr-HR"/>
              </w:rPr>
            </w:pPr>
          </w:p>
        </w:tc>
        <w:tc>
          <w:tcPr>
            <w:tcW w:w="3175" w:type="dxa"/>
            <w:shd w:val="clear" w:color="auto" w:fill="auto"/>
            <w:vAlign w:val="center"/>
          </w:tcPr>
          <w:p w14:paraId="4D86A469" w14:textId="42DDB0BC" w:rsidR="00CB2603" w:rsidRPr="00080E2D" w:rsidRDefault="00CB2603" w:rsidP="00100C18">
            <w:pPr>
              <w:spacing w:after="0" w:line="240" w:lineRule="auto"/>
              <w:rPr>
                <w:rFonts w:eastAsia="Times New Roman" w:cstheme="minorHAnsi"/>
                <w:color w:val="000000"/>
                <w:sz w:val="18"/>
                <w:szCs w:val="18"/>
                <w:lang w:eastAsia="hr-HR"/>
              </w:rPr>
            </w:pPr>
          </w:p>
        </w:tc>
        <w:tc>
          <w:tcPr>
            <w:tcW w:w="1034" w:type="dxa"/>
            <w:shd w:val="clear" w:color="auto" w:fill="auto"/>
            <w:noWrap/>
            <w:vAlign w:val="center"/>
          </w:tcPr>
          <w:p w14:paraId="415E1FF2" w14:textId="4063771F" w:rsidR="00CB2603" w:rsidRPr="00080E2D" w:rsidRDefault="00CB2603" w:rsidP="00100C18">
            <w:pPr>
              <w:spacing w:after="0" w:line="240" w:lineRule="auto"/>
              <w:jc w:val="center"/>
              <w:rPr>
                <w:rFonts w:eastAsia="Times New Roman" w:cstheme="minorHAnsi"/>
                <w:color w:val="000000"/>
                <w:sz w:val="18"/>
                <w:szCs w:val="18"/>
                <w:lang w:eastAsia="hr-HR"/>
              </w:rPr>
            </w:pPr>
          </w:p>
        </w:tc>
        <w:tc>
          <w:tcPr>
            <w:tcW w:w="1032" w:type="dxa"/>
            <w:shd w:val="clear" w:color="auto" w:fill="auto"/>
            <w:noWrap/>
            <w:vAlign w:val="center"/>
          </w:tcPr>
          <w:p w14:paraId="52FC4B8C" w14:textId="63549EF8" w:rsidR="00CB2603" w:rsidRPr="00080E2D" w:rsidRDefault="00CB2603" w:rsidP="00100C18">
            <w:pPr>
              <w:spacing w:after="0" w:line="240" w:lineRule="auto"/>
              <w:jc w:val="center"/>
              <w:rPr>
                <w:rFonts w:eastAsia="Times New Roman" w:cstheme="minorHAnsi"/>
                <w:color w:val="000000"/>
                <w:sz w:val="18"/>
                <w:szCs w:val="18"/>
                <w:lang w:eastAsia="hr-HR"/>
              </w:rPr>
            </w:pPr>
          </w:p>
        </w:tc>
        <w:tc>
          <w:tcPr>
            <w:tcW w:w="1034" w:type="dxa"/>
            <w:shd w:val="clear" w:color="auto" w:fill="auto"/>
            <w:noWrap/>
            <w:vAlign w:val="center"/>
          </w:tcPr>
          <w:p w14:paraId="33EB2263" w14:textId="3C8F5FA2" w:rsidR="00CB2603" w:rsidRPr="00080E2D" w:rsidRDefault="00CB2603" w:rsidP="00100C18">
            <w:pPr>
              <w:spacing w:after="0" w:line="240" w:lineRule="auto"/>
              <w:jc w:val="center"/>
              <w:rPr>
                <w:rFonts w:eastAsia="Times New Roman" w:cstheme="minorHAnsi"/>
                <w:sz w:val="18"/>
                <w:szCs w:val="18"/>
                <w:lang w:eastAsia="hr-HR"/>
              </w:rPr>
            </w:pPr>
          </w:p>
        </w:tc>
        <w:tc>
          <w:tcPr>
            <w:tcW w:w="850" w:type="dxa"/>
            <w:shd w:val="clear" w:color="auto" w:fill="auto"/>
            <w:noWrap/>
            <w:vAlign w:val="center"/>
          </w:tcPr>
          <w:p w14:paraId="5E92F25A" w14:textId="4E12A6A1" w:rsidR="00CB2603" w:rsidRPr="00080E2D" w:rsidRDefault="00CB2603" w:rsidP="00100C18">
            <w:pPr>
              <w:spacing w:after="0" w:line="240" w:lineRule="auto"/>
              <w:jc w:val="center"/>
              <w:rPr>
                <w:rFonts w:eastAsia="Times New Roman" w:cstheme="minorHAnsi"/>
                <w:sz w:val="18"/>
                <w:szCs w:val="18"/>
                <w:lang w:eastAsia="hr-HR"/>
              </w:rPr>
            </w:pPr>
          </w:p>
        </w:tc>
        <w:tc>
          <w:tcPr>
            <w:tcW w:w="850" w:type="dxa"/>
            <w:shd w:val="clear" w:color="auto" w:fill="auto"/>
            <w:noWrap/>
            <w:vAlign w:val="center"/>
          </w:tcPr>
          <w:p w14:paraId="46683DFD" w14:textId="02B0A766" w:rsidR="00CB2603" w:rsidRPr="00080E2D" w:rsidRDefault="00CB2603" w:rsidP="00100C18">
            <w:pPr>
              <w:spacing w:after="0" w:line="240" w:lineRule="auto"/>
              <w:jc w:val="center"/>
              <w:rPr>
                <w:rFonts w:eastAsia="Times New Roman" w:cstheme="minorHAnsi"/>
                <w:sz w:val="18"/>
                <w:szCs w:val="18"/>
                <w:lang w:eastAsia="hr-HR"/>
              </w:rPr>
            </w:pPr>
          </w:p>
        </w:tc>
        <w:tc>
          <w:tcPr>
            <w:tcW w:w="850" w:type="dxa"/>
            <w:shd w:val="clear" w:color="auto" w:fill="auto"/>
            <w:noWrap/>
            <w:vAlign w:val="center"/>
          </w:tcPr>
          <w:p w14:paraId="281EDDD7" w14:textId="7BBFA883" w:rsidR="00CB2603" w:rsidRPr="00080E2D" w:rsidRDefault="00CB2603" w:rsidP="00100C18">
            <w:pPr>
              <w:spacing w:after="0" w:line="240" w:lineRule="auto"/>
              <w:jc w:val="center"/>
              <w:rPr>
                <w:rFonts w:eastAsia="Times New Roman" w:cstheme="minorHAnsi"/>
                <w:sz w:val="18"/>
                <w:szCs w:val="18"/>
                <w:lang w:eastAsia="hr-HR"/>
              </w:rPr>
            </w:pPr>
          </w:p>
        </w:tc>
      </w:tr>
      <w:bookmarkEnd w:id="54"/>
    </w:tbl>
    <w:p w14:paraId="1986C90E" w14:textId="77777777" w:rsidR="00087FDF" w:rsidRPr="00840E6B" w:rsidRDefault="00087FDF" w:rsidP="00087FDF">
      <w:pPr>
        <w:rPr>
          <w:sz w:val="20"/>
          <w:szCs w:val="20"/>
        </w:rPr>
      </w:pPr>
    </w:p>
    <w:p w14:paraId="2633B08E" w14:textId="4C8BDB53" w:rsidR="0017565D" w:rsidRDefault="0017565D" w:rsidP="000B2B6C">
      <w:pPr>
        <w:rPr>
          <w:rFonts w:ascii="Calibri" w:hAnsi="Calibri" w:cs="Calibri"/>
          <w:color w:val="000000"/>
        </w:rPr>
      </w:pPr>
    </w:p>
    <w:p w14:paraId="513CC206" w14:textId="22EC35AD" w:rsidR="00F4175F" w:rsidRPr="001C59D5" w:rsidRDefault="00B112D4" w:rsidP="000B2B6C">
      <w:pPr>
        <w:rPr>
          <w:rFonts w:ascii="Calibri" w:hAnsi="Calibri" w:cs="Calibri"/>
          <w:color w:val="000000"/>
        </w:rPr>
      </w:pPr>
      <w:r>
        <w:rPr>
          <w:rFonts w:ascii="Calibri" w:hAnsi="Calibri" w:cs="Calibri"/>
          <w:color w:val="000000"/>
        </w:rPr>
        <w:br w:type="page"/>
      </w:r>
    </w:p>
    <w:p w14:paraId="432097BD" w14:textId="4BE5942F" w:rsidR="00C32385" w:rsidRPr="005773BD" w:rsidRDefault="0017565D" w:rsidP="00840E6B">
      <w:pPr>
        <w:autoSpaceDE w:val="0"/>
        <w:autoSpaceDN w:val="0"/>
        <w:adjustRightInd w:val="0"/>
        <w:spacing w:before="240" w:after="240" w:line="360" w:lineRule="auto"/>
        <w:jc w:val="both"/>
        <w:rPr>
          <w:rFonts w:ascii="Calibri" w:hAnsi="Calibri" w:cs="Calibri"/>
        </w:rPr>
      </w:pPr>
      <w:r w:rsidRPr="00CB1550">
        <w:rPr>
          <w:rFonts w:ascii="Calibri" w:hAnsi="Calibri" w:cs="Calibri"/>
        </w:rPr>
        <w:lastRenderedPageBreak/>
        <w:t xml:space="preserve">Ukupne količine </w:t>
      </w:r>
      <w:r w:rsidRPr="00CB1550">
        <w:rPr>
          <w:rFonts w:ascii="Calibri" w:hAnsi="Calibri" w:cs="Calibri"/>
          <w:b/>
          <w:bCs/>
        </w:rPr>
        <w:t>komunalnog otpada</w:t>
      </w:r>
      <w:r w:rsidRPr="00CB1550">
        <w:rPr>
          <w:rFonts w:ascii="Calibri" w:hAnsi="Calibri" w:cs="Calibri"/>
        </w:rPr>
        <w:t xml:space="preserve"> iznose </w:t>
      </w:r>
      <w:r w:rsidR="005A446B" w:rsidRPr="00CB1550">
        <w:rPr>
          <w:rFonts w:ascii="Calibri" w:hAnsi="Calibri" w:cs="Calibri"/>
        </w:rPr>
        <w:t>8</w:t>
      </w:r>
      <w:r w:rsidR="00D32BE3">
        <w:rPr>
          <w:rFonts w:ascii="Calibri" w:hAnsi="Calibri" w:cs="Calibri"/>
        </w:rPr>
        <w:t>4.863</w:t>
      </w:r>
      <w:r w:rsidRPr="00CB1550">
        <w:rPr>
          <w:rFonts w:ascii="Calibri" w:hAnsi="Calibri" w:cs="Calibri"/>
        </w:rPr>
        <w:t xml:space="preserve"> ton</w:t>
      </w:r>
      <w:r w:rsidR="005A446B" w:rsidRPr="00CB1550">
        <w:rPr>
          <w:rFonts w:ascii="Calibri" w:hAnsi="Calibri" w:cs="Calibri"/>
        </w:rPr>
        <w:tab/>
      </w:r>
      <w:r w:rsidR="00D12799">
        <w:rPr>
          <w:rFonts w:ascii="Calibri" w:hAnsi="Calibri" w:cs="Calibri"/>
        </w:rPr>
        <w:t xml:space="preserve">e, </w:t>
      </w:r>
      <w:r w:rsidR="00D12799" w:rsidRPr="00D12799">
        <w:rPr>
          <w:rFonts w:ascii="Calibri" w:hAnsi="Calibri" w:cs="Calibri"/>
        </w:rPr>
        <w:t>što predstavlja porast od</w:t>
      </w:r>
      <w:r w:rsidR="00D12799" w:rsidRPr="00D12799">
        <w:rPr>
          <w:rFonts w:ascii="Calibri" w:hAnsi="Calibri" w:cs="Calibri"/>
          <w:b/>
          <w:bCs/>
        </w:rPr>
        <w:t xml:space="preserve"> </w:t>
      </w:r>
      <w:r w:rsidR="004F04C2">
        <w:rPr>
          <w:rFonts w:ascii="Calibri" w:hAnsi="Calibri" w:cs="Calibri"/>
        </w:rPr>
        <w:t>3</w:t>
      </w:r>
      <w:r w:rsidRPr="00CB1550">
        <w:rPr>
          <w:rFonts w:ascii="Calibri" w:hAnsi="Calibri" w:cs="Calibri"/>
        </w:rPr>
        <w:t xml:space="preserve">% u odnosu na </w:t>
      </w:r>
      <w:r w:rsidR="00C32385" w:rsidRPr="00CB1550">
        <w:rPr>
          <w:rFonts w:ascii="Calibri" w:hAnsi="Calibri" w:cs="Calibri"/>
        </w:rPr>
        <w:t>202</w:t>
      </w:r>
      <w:r w:rsidR="00D32BE3">
        <w:rPr>
          <w:rFonts w:ascii="Calibri" w:hAnsi="Calibri" w:cs="Calibri"/>
        </w:rPr>
        <w:t>3</w:t>
      </w:r>
      <w:r w:rsidR="00C32385" w:rsidRPr="00CB1550">
        <w:rPr>
          <w:rFonts w:ascii="Calibri" w:hAnsi="Calibri" w:cs="Calibri"/>
        </w:rPr>
        <w:t>. godinu</w:t>
      </w:r>
      <w:r w:rsidRPr="00CB1550">
        <w:rPr>
          <w:rFonts w:ascii="Calibri" w:hAnsi="Calibri" w:cs="Calibri"/>
        </w:rPr>
        <w:t xml:space="preserve">, </w:t>
      </w:r>
      <w:r w:rsidR="00D12799" w:rsidRPr="00D12799">
        <w:rPr>
          <w:rFonts w:ascii="Calibri" w:hAnsi="Calibri" w:cs="Calibri"/>
        </w:rPr>
        <w:t>ali smanjenje od 3% u odnosu na</w:t>
      </w:r>
      <w:r w:rsidR="00D12799">
        <w:rPr>
          <w:rFonts w:ascii="Calibri" w:hAnsi="Calibri" w:cs="Calibri"/>
        </w:rPr>
        <w:t xml:space="preserve"> </w:t>
      </w:r>
      <w:r w:rsidR="00C32385" w:rsidRPr="005773BD">
        <w:rPr>
          <w:rFonts w:ascii="Calibri" w:hAnsi="Calibri" w:cs="Calibri"/>
        </w:rPr>
        <w:t>rebalans plana</w:t>
      </w:r>
      <w:r w:rsidR="00D12799">
        <w:rPr>
          <w:rFonts w:ascii="Calibri" w:hAnsi="Calibri" w:cs="Calibri"/>
        </w:rPr>
        <w:t>.</w:t>
      </w:r>
    </w:p>
    <w:p w14:paraId="7EA0CEC3" w14:textId="447B4485" w:rsidR="0017565D" w:rsidRPr="00CB1550" w:rsidRDefault="0017565D" w:rsidP="00840E6B">
      <w:pPr>
        <w:spacing w:before="240" w:after="0" w:line="360" w:lineRule="auto"/>
        <w:jc w:val="both"/>
        <w:rPr>
          <w:rFonts w:ascii="Calibri" w:hAnsi="Calibri" w:cs="Calibri"/>
        </w:rPr>
      </w:pPr>
      <w:r w:rsidRPr="00CB1550">
        <w:rPr>
          <w:rFonts w:ascii="Calibri" w:hAnsi="Calibri" w:cs="Calibri"/>
          <w:b/>
          <w:bCs/>
        </w:rPr>
        <w:t>Miješani komunalni otpad</w:t>
      </w:r>
      <w:r w:rsidRPr="00CB1550">
        <w:rPr>
          <w:rFonts w:ascii="Calibri" w:hAnsi="Calibri" w:cs="Calibri"/>
        </w:rPr>
        <w:t xml:space="preserve"> najveća je stavka</w:t>
      </w:r>
      <w:r w:rsidR="00BE1C6F">
        <w:rPr>
          <w:rFonts w:ascii="Calibri" w:hAnsi="Calibri" w:cs="Calibri"/>
        </w:rPr>
        <w:t xml:space="preserve"> </w:t>
      </w:r>
      <w:r w:rsidR="00BE1C6F" w:rsidRPr="00BE1C6F">
        <w:rPr>
          <w:rFonts w:ascii="Calibri" w:hAnsi="Calibri" w:cs="Calibri"/>
        </w:rPr>
        <w:t xml:space="preserve">te sudjeluje s 98% udjela u ukupnim količinama otpada. </w:t>
      </w:r>
      <w:r w:rsidR="00D24B12">
        <w:rPr>
          <w:rFonts w:ascii="Calibri" w:hAnsi="Calibri" w:cs="Calibri"/>
        </w:rPr>
        <w:t xml:space="preserve"> </w:t>
      </w:r>
      <w:r w:rsidRPr="00CB1550">
        <w:rPr>
          <w:rFonts w:ascii="Calibri" w:hAnsi="Calibri" w:cs="Calibri"/>
        </w:rPr>
        <w:t>U 20</w:t>
      </w:r>
      <w:r w:rsidR="00314A6B" w:rsidRPr="00CB1550">
        <w:rPr>
          <w:rFonts w:ascii="Calibri" w:hAnsi="Calibri" w:cs="Calibri"/>
        </w:rPr>
        <w:t>2</w:t>
      </w:r>
      <w:r w:rsidR="00554B30">
        <w:rPr>
          <w:rFonts w:ascii="Calibri" w:hAnsi="Calibri" w:cs="Calibri"/>
        </w:rPr>
        <w:t>4</w:t>
      </w:r>
      <w:r w:rsidRPr="00CB1550">
        <w:rPr>
          <w:rFonts w:ascii="Calibri" w:hAnsi="Calibri" w:cs="Calibri"/>
        </w:rPr>
        <w:t xml:space="preserve">. godini je prikupljeno </w:t>
      </w:r>
      <w:r w:rsidR="000333AC" w:rsidRPr="000333AC">
        <w:rPr>
          <w:rFonts w:ascii="Calibri" w:hAnsi="Calibri" w:cs="Calibri"/>
        </w:rPr>
        <w:t>8</w:t>
      </w:r>
      <w:r w:rsidR="00554B30">
        <w:rPr>
          <w:rFonts w:ascii="Calibri" w:hAnsi="Calibri" w:cs="Calibri"/>
        </w:rPr>
        <w:t>3.423</w:t>
      </w:r>
      <w:r w:rsidR="00D12FE0">
        <w:rPr>
          <w:rFonts w:ascii="Calibri" w:hAnsi="Calibri" w:cs="Calibri"/>
        </w:rPr>
        <w:t xml:space="preserve"> </w:t>
      </w:r>
      <w:r w:rsidRPr="00CB1550">
        <w:rPr>
          <w:rFonts w:ascii="Calibri" w:hAnsi="Calibri" w:cs="Calibri"/>
        </w:rPr>
        <w:t xml:space="preserve">tona miješanog komunalnog otpada, što je </w:t>
      </w:r>
      <w:r w:rsidR="000333AC">
        <w:rPr>
          <w:rFonts w:ascii="Calibri" w:hAnsi="Calibri" w:cs="Calibri"/>
        </w:rPr>
        <w:t xml:space="preserve">za </w:t>
      </w:r>
      <w:r w:rsidR="00554B30">
        <w:rPr>
          <w:rFonts w:ascii="Calibri" w:hAnsi="Calibri" w:cs="Calibri"/>
        </w:rPr>
        <w:t>4</w:t>
      </w:r>
      <w:r w:rsidR="000333AC">
        <w:rPr>
          <w:rFonts w:ascii="Calibri" w:hAnsi="Calibri" w:cs="Calibri"/>
        </w:rPr>
        <w:t>%</w:t>
      </w:r>
      <w:r w:rsidR="00554B30">
        <w:rPr>
          <w:rFonts w:ascii="Calibri" w:hAnsi="Calibri" w:cs="Calibri"/>
        </w:rPr>
        <w:t xml:space="preserve"> više</w:t>
      </w:r>
      <w:r w:rsidR="000333AC">
        <w:rPr>
          <w:rFonts w:ascii="Calibri" w:hAnsi="Calibri" w:cs="Calibri"/>
        </w:rPr>
        <w:t xml:space="preserve"> u odnosu na 202</w:t>
      </w:r>
      <w:r w:rsidR="00554B30">
        <w:rPr>
          <w:rFonts w:ascii="Calibri" w:hAnsi="Calibri" w:cs="Calibri"/>
        </w:rPr>
        <w:t>3</w:t>
      </w:r>
      <w:r w:rsidR="000333AC">
        <w:rPr>
          <w:rFonts w:ascii="Calibri" w:hAnsi="Calibri" w:cs="Calibri"/>
        </w:rPr>
        <w:t xml:space="preserve">. godinu i </w:t>
      </w:r>
      <w:r w:rsidR="00554B30">
        <w:rPr>
          <w:rFonts w:ascii="Calibri" w:hAnsi="Calibri" w:cs="Calibri"/>
        </w:rPr>
        <w:t>4</w:t>
      </w:r>
      <w:r w:rsidR="000333AC">
        <w:rPr>
          <w:rFonts w:ascii="Calibri" w:hAnsi="Calibri" w:cs="Calibri"/>
        </w:rPr>
        <w:t xml:space="preserve">% </w:t>
      </w:r>
      <w:r w:rsidR="00554B30">
        <w:rPr>
          <w:rFonts w:ascii="Calibri" w:hAnsi="Calibri" w:cs="Calibri"/>
        </w:rPr>
        <w:t>manje</w:t>
      </w:r>
      <w:r w:rsidR="000333AC">
        <w:rPr>
          <w:rFonts w:ascii="Calibri" w:hAnsi="Calibri" w:cs="Calibri"/>
        </w:rPr>
        <w:t xml:space="preserve"> u odnosu na rebalans plana.</w:t>
      </w:r>
    </w:p>
    <w:p w14:paraId="7A2901B4" w14:textId="00BD2D87" w:rsidR="0017565D" w:rsidRPr="007947F0" w:rsidRDefault="00D20351" w:rsidP="00840E6B">
      <w:pPr>
        <w:spacing w:before="240" w:after="0" w:line="360" w:lineRule="auto"/>
        <w:jc w:val="both"/>
        <w:rPr>
          <w:rFonts w:ascii="Calibri" w:hAnsi="Calibri" w:cs="Calibri"/>
        </w:rPr>
      </w:pPr>
      <w:r w:rsidRPr="007947F0">
        <w:rPr>
          <w:rFonts w:ascii="Calibri" w:hAnsi="Calibri" w:cs="Calibri"/>
        </w:rPr>
        <w:t xml:space="preserve">Količine </w:t>
      </w:r>
      <w:r w:rsidR="0017565D" w:rsidRPr="007947F0">
        <w:rPr>
          <w:rFonts w:ascii="Calibri" w:hAnsi="Calibri" w:cs="Calibri"/>
          <w:b/>
          <w:bCs/>
        </w:rPr>
        <w:t>drobljen</w:t>
      </w:r>
      <w:r w:rsidRPr="007947F0">
        <w:rPr>
          <w:rFonts w:ascii="Calibri" w:hAnsi="Calibri" w:cs="Calibri"/>
          <w:b/>
          <w:bCs/>
        </w:rPr>
        <w:t>og</w:t>
      </w:r>
      <w:r w:rsidR="0017565D" w:rsidRPr="007947F0">
        <w:rPr>
          <w:rFonts w:ascii="Calibri" w:hAnsi="Calibri" w:cs="Calibri"/>
          <w:b/>
          <w:bCs/>
        </w:rPr>
        <w:t xml:space="preserve"> komunaln</w:t>
      </w:r>
      <w:r w:rsidRPr="007947F0">
        <w:rPr>
          <w:rFonts w:ascii="Calibri" w:hAnsi="Calibri" w:cs="Calibri"/>
          <w:b/>
          <w:bCs/>
        </w:rPr>
        <w:t>og</w:t>
      </w:r>
      <w:r w:rsidR="0017565D" w:rsidRPr="007947F0">
        <w:rPr>
          <w:rFonts w:ascii="Calibri" w:hAnsi="Calibri" w:cs="Calibri"/>
          <w:b/>
          <w:bCs/>
        </w:rPr>
        <w:t xml:space="preserve"> otpad</w:t>
      </w:r>
      <w:r w:rsidRPr="007947F0">
        <w:rPr>
          <w:rFonts w:ascii="Calibri" w:hAnsi="Calibri" w:cs="Calibri"/>
          <w:b/>
          <w:bCs/>
        </w:rPr>
        <w:t xml:space="preserve">a </w:t>
      </w:r>
      <w:r w:rsidR="00554B30">
        <w:rPr>
          <w:rFonts w:ascii="Calibri" w:hAnsi="Calibri" w:cs="Calibri"/>
        </w:rPr>
        <w:t>manje</w:t>
      </w:r>
      <w:r w:rsidR="00AF034E">
        <w:rPr>
          <w:rFonts w:ascii="Calibri" w:hAnsi="Calibri" w:cs="Calibri"/>
        </w:rPr>
        <w:t xml:space="preserve"> s</w:t>
      </w:r>
      <w:r w:rsidRPr="007947F0">
        <w:rPr>
          <w:rFonts w:ascii="Calibri" w:hAnsi="Calibri" w:cs="Calibri"/>
        </w:rPr>
        <w:t>u odnosu na 202</w:t>
      </w:r>
      <w:r w:rsidR="00554B30">
        <w:rPr>
          <w:rFonts w:ascii="Calibri" w:hAnsi="Calibri" w:cs="Calibri"/>
        </w:rPr>
        <w:t>3</w:t>
      </w:r>
      <w:r w:rsidRPr="007947F0">
        <w:rPr>
          <w:rFonts w:ascii="Calibri" w:hAnsi="Calibri" w:cs="Calibri"/>
        </w:rPr>
        <w:t xml:space="preserve">. godinu </w:t>
      </w:r>
      <w:r w:rsidR="007947F0" w:rsidRPr="007947F0">
        <w:rPr>
          <w:rFonts w:ascii="Calibri" w:hAnsi="Calibri" w:cs="Calibri"/>
        </w:rPr>
        <w:t xml:space="preserve">za </w:t>
      </w:r>
      <w:r w:rsidR="00554B30">
        <w:rPr>
          <w:rFonts w:ascii="Calibri" w:hAnsi="Calibri" w:cs="Calibri"/>
        </w:rPr>
        <w:t>53</w:t>
      </w:r>
      <w:r w:rsidR="007947F0" w:rsidRPr="007947F0">
        <w:rPr>
          <w:rFonts w:ascii="Calibri" w:hAnsi="Calibri" w:cs="Calibri"/>
        </w:rPr>
        <w:t>%</w:t>
      </w:r>
      <w:r w:rsidR="00554B30">
        <w:rPr>
          <w:rFonts w:ascii="Calibri" w:hAnsi="Calibri" w:cs="Calibri"/>
        </w:rPr>
        <w:t xml:space="preserve"> što je utjecalo na smanjenje planiranih prihoda za 2024. godinu. </w:t>
      </w:r>
      <w:r w:rsidRPr="007947F0">
        <w:rPr>
          <w:rFonts w:ascii="Calibri" w:hAnsi="Calibri" w:cs="Calibri"/>
        </w:rPr>
        <w:t>U 202</w:t>
      </w:r>
      <w:r w:rsidR="00554B30">
        <w:rPr>
          <w:rFonts w:ascii="Calibri" w:hAnsi="Calibri" w:cs="Calibri"/>
        </w:rPr>
        <w:t>4</w:t>
      </w:r>
      <w:r w:rsidRPr="007947F0">
        <w:rPr>
          <w:rFonts w:ascii="Calibri" w:hAnsi="Calibri" w:cs="Calibri"/>
        </w:rPr>
        <w:t xml:space="preserve">. godini prikupljeno je </w:t>
      </w:r>
      <w:r w:rsidR="00554B30">
        <w:rPr>
          <w:rFonts w:ascii="Calibri" w:hAnsi="Calibri" w:cs="Calibri"/>
        </w:rPr>
        <w:t>703</w:t>
      </w:r>
      <w:r w:rsidR="00AF034E">
        <w:rPr>
          <w:rFonts w:ascii="Calibri" w:hAnsi="Calibri" w:cs="Calibri"/>
        </w:rPr>
        <w:t xml:space="preserve"> tone </w:t>
      </w:r>
      <w:r w:rsidR="007947F0" w:rsidRPr="007947F0">
        <w:rPr>
          <w:rFonts w:ascii="Calibri" w:hAnsi="Calibri" w:cs="Calibri"/>
        </w:rPr>
        <w:t>drobljenog komunalnog otpada</w:t>
      </w:r>
      <w:r w:rsidRPr="007947F0">
        <w:rPr>
          <w:rFonts w:ascii="Calibri" w:hAnsi="Calibri" w:cs="Calibri"/>
        </w:rPr>
        <w:t xml:space="preserve"> </w:t>
      </w:r>
      <w:r w:rsidR="007947F0">
        <w:rPr>
          <w:rFonts w:ascii="Calibri" w:hAnsi="Calibri" w:cs="Calibri"/>
        </w:rPr>
        <w:t>koji u</w:t>
      </w:r>
      <w:r w:rsidRPr="007947F0">
        <w:rPr>
          <w:rFonts w:ascii="Calibri" w:hAnsi="Calibri" w:cs="Calibri"/>
        </w:rPr>
        <w:t xml:space="preserve"> ukupnim količinama sudjeluj</w:t>
      </w:r>
      <w:r w:rsidR="007947F0">
        <w:rPr>
          <w:rFonts w:ascii="Calibri" w:hAnsi="Calibri" w:cs="Calibri"/>
        </w:rPr>
        <w:t xml:space="preserve">e </w:t>
      </w:r>
      <w:r w:rsidRPr="007947F0">
        <w:rPr>
          <w:rFonts w:ascii="Calibri" w:hAnsi="Calibri" w:cs="Calibri"/>
        </w:rPr>
        <w:t xml:space="preserve">s </w:t>
      </w:r>
      <w:r w:rsidR="00554B30">
        <w:rPr>
          <w:rFonts w:ascii="Calibri" w:hAnsi="Calibri" w:cs="Calibri"/>
        </w:rPr>
        <w:t>manje od 1</w:t>
      </w:r>
      <w:r w:rsidRPr="007947F0">
        <w:rPr>
          <w:rFonts w:ascii="Calibri" w:hAnsi="Calibri" w:cs="Calibri"/>
        </w:rPr>
        <w:t>%</w:t>
      </w:r>
      <w:r w:rsidR="008555A7">
        <w:rPr>
          <w:rFonts w:ascii="Calibri" w:hAnsi="Calibri" w:cs="Calibri"/>
        </w:rPr>
        <w:t xml:space="preserve"> udjela</w:t>
      </w:r>
      <w:r w:rsidRPr="007947F0">
        <w:rPr>
          <w:rFonts w:ascii="Calibri" w:hAnsi="Calibri" w:cs="Calibri"/>
        </w:rPr>
        <w:t xml:space="preserve">. </w:t>
      </w:r>
      <w:r w:rsidR="0017565D" w:rsidRPr="007947F0">
        <w:rPr>
          <w:rFonts w:ascii="Calibri" w:hAnsi="Calibri" w:cs="Calibri"/>
        </w:rPr>
        <w:t xml:space="preserve"> </w:t>
      </w:r>
    </w:p>
    <w:p w14:paraId="2C4A7D37" w14:textId="20B7A82A" w:rsidR="00A05685" w:rsidRPr="007947F0" w:rsidRDefault="0017565D" w:rsidP="00D20351">
      <w:pPr>
        <w:spacing w:before="240" w:after="0" w:line="360" w:lineRule="auto"/>
        <w:jc w:val="both"/>
        <w:rPr>
          <w:rFonts w:ascii="Calibri" w:hAnsi="Calibri" w:cs="Calibri"/>
        </w:rPr>
      </w:pPr>
      <w:r w:rsidRPr="007947F0">
        <w:rPr>
          <w:rFonts w:ascii="Calibri" w:hAnsi="Calibri" w:cs="Calibri"/>
        </w:rPr>
        <w:t xml:space="preserve">Ukupne količine </w:t>
      </w:r>
      <w:r w:rsidRPr="007947F0">
        <w:rPr>
          <w:rFonts w:ascii="Calibri" w:hAnsi="Calibri" w:cs="Calibri"/>
          <w:b/>
          <w:bCs/>
        </w:rPr>
        <w:t xml:space="preserve">proizvodnog otpada </w:t>
      </w:r>
      <w:r w:rsidRPr="007947F0">
        <w:rPr>
          <w:rFonts w:ascii="Calibri" w:hAnsi="Calibri" w:cs="Calibri"/>
        </w:rPr>
        <w:t xml:space="preserve">iznose </w:t>
      </w:r>
      <w:r w:rsidR="00554B30">
        <w:rPr>
          <w:rFonts w:ascii="Calibri" w:hAnsi="Calibri" w:cs="Calibri"/>
        </w:rPr>
        <w:t>218</w:t>
      </w:r>
      <w:r w:rsidRPr="007947F0">
        <w:rPr>
          <w:rFonts w:ascii="Calibri" w:hAnsi="Calibri" w:cs="Calibri"/>
        </w:rPr>
        <w:t xml:space="preserve"> ton</w:t>
      </w:r>
      <w:r w:rsidR="00554B30">
        <w:rPr>
          <w:rFonts w:ascii="Calibri" w:hAnsi="Calibri" w:cs="Calibri"/>
        </w:rPr>
        <w:t>a</w:t>
      </w:r>
      <w:r w:rsidRPr="007947F0">
        <w:rPr>
          <w:rFonts w:ascii="Calibri" w:hAnsi="Calibri" w:cs="Calibri"/>
        </w:rPr>
        <w:t xml:space="preserve"> i u ukupnim količinama sudjeluju </w:t>
      </w:r>
      <w:r w:rsidR="00554B30">
        <w:rPr>
          <w:rFonts w:ascii="Calibri" w:hAnsi="Calibri" w:cs="Calibri"/>
        </w:rPr>
        <w:t xml:space="preserve">također </w:t>
      </w:r>
      <w:r w:rsidRPr="007947F0">
        <w:rPr>
          <w:rFonts w:ascii="Calibri" w:hAnsi="Calibri" w:cs="Calibri"/>
        </w:rPr>
        <w:t xml:space="preserve">s </w:t>
      </w:r>
      <w:r w:rsidR="00D20351" w:rsidRPr="007947F0">
        <w:rPr>
          <w:rFonts w:ascii="Calibri" w:hAnsi="Calibri" w:cs="Calibri"/>
        </w:rPr>
        <w:t>manje od 1%</w:t>
      </w:r>
      <w:r w:rsidRPr="007947F0">
        <w:rPr>
          <w:rFonts w:ascii="Calibri" w:hAnsi="Calibri" w:cs="Calibri"/>
        </w:rPr>
        <w:t xml:space="preserve"> udjela. U odnosu na 20</w:t>
      </w:r>
      <w:r w:rsidR="00D20351" w:rsidRPr="007947F0">
        <w:rPr>
          <w:rFonts w:ascii="Calibri" w:hAnsi="Calibri" w:cs="Calibri"/>
        </w:rPr>
        <w:t>2</w:t>
      </w:r>
      <w:r w:rsidR="00554B30">
        <w:rPr>
          <w:rFonts w:ascii="Calibri" w:hAnsi="Calibri" w:cs="Calibri"/>
        </w:rPr>
        <w:t>3</w:t>
      </w:r>
      <w:r w:rsidRPr="007947F0">
        <w:rPr>
          <w:rFonts w:ascii="Calibri" w:hAnsi="Calibri" w:cs="Calibri"/>
        </w:rPr>
        <w:t>. godinu</w:t>
      </w:r>
      <w:r w:rsidR="00060878" w:rsidRPr="007947F0">
        <w:rPr>
          <w:rFonts w:ascii="Calibri" w:hAnsi="Calibri" w:cs="Calibri"/>
        </w:rPr>
        <w:t xml:space="preserve"> </w:t>
      </w:r>
      <w:r w:rsidR="00F57316" w:rsidRPr="007947F0">
        <w:rPr>
          <w:rFonts w:ascii="Calibri" w:hAnsi="Calibri" w:cs="Calibri"/>
        </w:rPr>
        <w:t>količine su</w:t>
      </w:r>
      <w:r w:rsidR="003437A7">
        <w:rPr>
          <w:rFonts w:ascii="Calibri" w:hAnsi="Calibri" w:cs="Calibri"/>
        </w:rPr>
        <w:t xml:space="preserve"> </w:t>
      </w:r>
      <w:r w:rsidR="00554B30">
        <w:rPr>
          <w:rFonts w:ascii="Calibri" w:hAnsi="Calibri" w:cs="Calibri"/>
        </w:rPr>
        <w:t xml:space="preserve">se manjile za 69%, dok su u odnosu na rebalans plana manje za 13%. </w:t>
      </w:r>
      <w:r w:rsidR="003437A7">
        <w:rPr>
          <w:rFonts w:ascii="Calibri" w:hAnsi="Calibri" w:cs="Calibri"/>
        </w:rPr>
        <w:t xml:space="preserve"> </w:t>
      </w:r>
    </w:p>
    <w:p w14:paraId="7B2632D6" w14:textId="34217AE2" w:rsidR="008E5179" w:rsidRPr="008E5179" w:rsidRDefault="008E5179" w:rsidP="008E5179">
      <w:pPr>
        <w:spacing w:before="240" w:after="0" w:line="360" w:lineRule="auto"/>
        <w:jc w:val="both"/>
        <w:rPr>
          <w:rFonts w:ascii="Calibri" w:hAnsi="Calibri" w:cs="Calibri"/>
        </w:rPr>
      </w:pPr>
      <w:r w:rsidRPr="008E5179">
        <w:rPr>
          <w:rFonts w:ascii="Calibri" w:hAnsi="Calibri" w:cs="Calibri"/>
        </w:rPr>
        <w:t xml:space="preserve">Količina prikupljenih i plasiranih </w:t>
      </w:r>
      <w:r w:rsidRPr="008E5179">
        <w:rPr>
          <w:rFonts w:ascii="Calibri" w:hAnsi="Calibri" w:cs="Calibri"/>
          <w:b/>
          <w:bCs/>
        </w:rPr>
        <w:t>sekundarnih sirovina</w:t>
      </w:r>
      <w:r w:rsidRPr="008E5179">
        <w:rPr>
          <w:rFonts w:ascii="Calibri" w:hAnsi="Calibri" w:cs="Calibri"/>
        </w:rPr>
        <w:t xml:space="preserve"> u 2024. godini iznosi 204 tone, što je 47% manje u odnosu na prethodnu godinu. U ukupnim količinama sudjeluju s 0,24% udjela. U odnosu na plan, ostvareno je 80% planiranih količina.</w:t>
      </w:r>
      <w:r>
        <w:rPr>
          <w:rFonts w:ascii="Calibri" w:hAnsi="Calibri" w:cs="Calibri"/>
        </w:rPr>
        <w:t xml:space="preserve">  </w:t>
      </w:r>
      <w:r w:rsidRPr="008E5179">
        <w:rPr>
          <w:rFonts w:ascii="Calibri" w:hAnsi="Calibri" w:cs="Calibri"/>
          <w:color w:val="000000"/>
        </w:rPr>
        <w:t>Iako je došlo do pada u količinama, zadržana je praksa plasmana korisnih sirovina čime Društvo aktivno doprinosi zaštiti okoliša, cirkularnoj ekonomiji i održivom razvoju te dodatno smanjuje opterećenje odlagališnih ploha.</w:t>
      </w:r>
    </w:p>
    <w:p w14:paraId="33ABDA9A" w14:textId="2E5E9255" w:rsidR="00060878" w:rsidRPr="003437A7" w:rsidRDefault="00060878" w:rsidP="00840E6B">
      <w:pPr>
        <w:spacing w:before="240" w:after="0"/>
        <w:rPr>
          <w:rFonts w:ascii="Calibri" w:hAnsi="Calibri" w:cs="Calibri"/>
          <w:b/>
          <w:bCs/>
          <w:color w:val="000000"/>
        </w:rPr>
      </w:pPr>
      <w:r w:rsidRPr="003437A7">
        <w:rPr>
          <w:rFonts w:ascii="Calibri" w:hAnsi="Calibri" w:cs="Calibri"/>
          <w:b/>
          <w:bCs/>
          <w:color w:val="000000"/>
        </w:rPr>
        <w:br w:type="page"/>
      </w:r>
    </w:p>
    <w:p w14:paraId="5EE6B35A" w14:textId="7753CE5E" w:rsidR="004C038D" w:rsidRPr="00A60E36" w:rsidRDefault="004C038D" w:rsidP="00344E76">
      <w:pPr>
        <w:pStyle w:val="Heading2"/>
      </w:pPr>
      <w:bookmarkStart w:id="55" w:name="_Toc200094285"/>
      <w:r w:rsidRPr="00A60E36">
        <w:lastRenderedPageBreak/>
        <w:t>3.2. Ostvareni rashodi u 20</w:t>
      </w:r>
      <w:r w:rsidR="006F52B4" w:rsidRPr="00A60E36">
        <w:t>2</w:t>
      </w:r>
      <w:r w:rsidR="000E6FDF">
        <w:t>4</w:t>
      </w:r>
      <w:r w:rsidRPr="00A60E36">
        <w:t>. godini prema analitičkoj strukturi</w:t>
      </w:r>
      <w:bookmarkEnd w:id="55"/>
      <w:r w:rsidR="00C038DA" w:rsidRPr="00A60E36">
        <w:t xml:space="preserve"> </w:t>
      </w:r>
    </w:p>
    <w:p w14:paraId="09911B86" w14:textId="1ED98C12" w:rsidR="002522C7" w:rsidRPr="001C59D5" w:rsidRDefault="002522C7" w:rsidP="002522C7"/>
    <w:p w14:paraId="7B58139F" w14:textId="77777777" w:rsidR="00753D36" w:rsidRPr="00753D36" w:rsidRDefault="0059297F" w:rsidP="00753D36">
      <w:pPr>
        <w:spacing w:before="240" w:line="360" w:lineRule="auto"/>
        <w:jc w:val="both"/>
      </w:pPr>
      <w:r w:rsidRPr="008268D1">
        <w:t xml:space="preserve">Ukupni rashodi sastoje se od </w:t>
      </w:r>
      <w:r w:rsidRPr="008268D1">
        <w:rPr>
          <w:b/>
          <w:bCs/>
        </w:rPr>
        <w:t>poslovnih rashoda</w:t>
      </w:r>
      <w:r w:rsidRPr="008268D1">
        <w:t xml:space="preserve"> te od </w:t>
      </w:r>
      <w:r w:rsidRPr="008268D1">
        <w:rPr>
          <w:b/>
          <w:bCs/>
        </w:rPr>
        <w:t>financijskih rashoda</w:t>
      </w:r>
      <w:r w:rsidRPr="008268D1">
        <w:t xml:space="preserve">. </w:t>
      </w:r>
      <w:r w:rsidR="00753D36" w:rsidRPr="00753D36">
        <w:t>Rebalansom su ukupni rashodi za 2024. godinu planirani u iznosu od 12.742.209 eura, dok su ostvareni u iznosu od 12.587.887 eura, što predstavlja smanjenje od 1% u odnosu na plan. U usporedbi s 2023. godinom, ukupni rashodi su veći za 2%.</w:t>
      </w:r>
    </w:p>
    <w:p w14:paraId="163CE7E3" w14:textId="769A032B" w:rsidR="001547DE" w:rsidRPr="00753D36" w:rsidRDefault="002566C4" w:rsidP="00753D36">
      <w:pPr>
        <w:spacing w:before="240" w:line="360" w:lineRule="auto"/>
        <w:jc w:val="both"/>
        <w:rPr>
          <w:rFonts w:cstheme="minorHAnsi"/>
        </w:rPr>
      </w:pPr>
      <w:bookmarkStart w:id="56" w:name="_Toc200366456"/>
      <w:r w:rsidRPr="00753D36">
        <w:rPr>
          <w:rFonts w:cstheme="minorHAnsi"/>
          <w:b/>
          <w:bCs/>
        </w:rPr>
        <w:t xml:space="preserve">Tablica </w:t>
      </w:r>
      <w:r w:rsidRPr="00753D36">
        <w:rPr>
          <w:rFonts w:cstheme="minorHAnsi"/>
          <w:b/>
          <w:bCs/>
        </w:rPr>
        <w:fldChar w:fldCharType="begin"/>
      </w:r>
      <w:r w:rsidRPr="00753D36">
        <w:rPr>
          <w:rFonts w:cstheme="minorHAnsi"/>
          <w:b/>
          <w:bCs/>
        </w:rPr>
        <w:instrText xml:space="preserve"> SEQ Tablica \* ARABIC </w:instrText>
      </w:r>
      <w:r w:rsidRPr="00753D36">
        <w:rPr>
          <w:rFonts w:cstheme="minorHAnsi"/>
          <w:b/>
          <w:bCs/>
        </w:rPr>
        <w:fldChar w:fldCharType="separate"/>
      </w:r>
      <w:r w:rsidR="00A1075A">
        <w:rPr>
          <w:rFonts w:cstheme="minorHAnsi"/>
          <w:b/>
          <w:bCs/>
          <w:noProof/>
        </w:rPr>
        <w:t>18</w:t>
      </w:r>
      <w:r w:rsidRPr="00753D36">
        <w:rPr>
          <w:rFonts w:cstheme="minorHAnsi"/>
          <w:b/>
          <w:bCs/>
        </w:rPr>
        <w:fldChar w:fldCharType="end"/>
      </w:r>
      <w:r w:rsidRPr="00753D36">
        <w:rPr>
          <w:rFonts w:cstheme="minorHAnsi"/>
          <w:b/>
          <w:bCs/>
        </w:rPr>
        <w:t>.</w:t>
      </w:r>
      <w:r w:rsidRPr="00840E6B">
        <w:rPr>
          <w:rFonts w:cstheme="minorHAnsi"/>
        </w:rPr>
        <w:t xml:space="preserve"> Struktura ostvarenih rashoda </w:t>
      </w:r>
      <w:r w:rsidRPr="00753D36">
        <w:rPr>
          <w:rFonts w:cstheme="minorHAnsi"/>
        </w:rPr>
        <w:t>u 202</w:t>
      </w:r>
      <w:r w:rsidR="000E6FDF" w:rsidRPr="00753D36">
        <w:rPr>
          <w:rFonts w:cstheme="minorHAnsi"/>
        </w:rPr>
        <w:t>4</w:t>
      </w:r>
      <w:r w:rsidRPr="00753D36">
        <w:rPr>
          <w:rFonts w:cstheme="minorHAnsi"/>
        </w:rPr>
        <w:t>. godini</w:t>
      </w:r>
      <w:bookmarkEnd w:id="56"/>
    </w:p>
    <w:tbl>
      <w:tblPr>
        <w:tblW w:w="91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2"/>
        <w:gridCol w:w="2630"/>
        <w:gridCol w:w="1454"/>
        <w:gridCol w:w="1454"/>
        <w:gridCol w:w="1454"/>
        <w:gridCol w:w="839"/>
        <w:gridCol w:w="839"/>
      </w:tblGrid>
      <w:tr w:rsidR="006936E8" w:rsidRPr="00264869" w14:paraId="171D7697" w14:textId="77777777" w:rsidTr="005266B1">
        <w:trPr>
          <w:trHeight w:val="598"/>
        </w:trPr>
        <w:tc>
          <w:tcPr>
            <w:tcW w:w="482" w:type="dxa"/>
            <w:tcBorders>
              <w:top w:val="single" w:sz="4" w:space="0" w:color="auto"/>
              <w:bottom w:val="single" w:sz="4" w:space="0" w:color="auto"/>
            </w:tcBorders>
            <w:shd w:val="clear" w:color="auto" w:fill="auto"/>
            <w:vAlign w:val="center"/>
            <w:hideMark/>
          </w:tcPr>
          <w:p w14:paraId="2A59B107" w14:textId="2F7272C5" w:rsidR="00EF42B6" w:rsidRPr="00264869" w:rsidRDefault="00EF42B6" w:rsidP="00EF42B6">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R. br.</w:t>
            </w:r>
          </w:p>
        </w:tc>
        <w:tc>
          <w:tcPr>
            <w:tcW w:w="2630" w:type="dxa"/>
            <w:tcBorders>
              <w:top w:val="single" w:sz="4" w:space="0" w:color="auto"/>
              <w:bottom w:val="single" w:sz="4" w:space="0" w:color="auto"/>
            </w:tcBorders>
            <w:shd w:val="clear" w:color="auto" w:fill="auto"/>
            <w:noWrap/>
            <w:vAlign w:val="center"/>
            <w:hideMark/>
          </w:tcPr>
          <w:p w14:paraId="4DE91ACE" w14:textId="77777777" w:rsidR="00EF42B6" w:rsidRPr="00264869" w:rsidRDefault="00EF42B6" w:rsidP="00EF42B6">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 xml:space="preserve">O p i s </w:t>
            </w:r>
          </w:p>
        </w:tc>
        <w:tc>
          <w:tcPr>
            <w:tcW w:w="1454" w:type="dxa"/>
            <w:tcBorders>
              <w:top w:val="single" w:sz="4" w:space="0" w:color="auto"/>
              <w:bottom w:val="single" w:sz="4" w:space="0" w:color="auto"/>
            </w:tcBorders>
            <w:shd w:val="clear" w:color="auto" w:fill="auto"/>
            <w:noWrap/>
            <w:vAlign w:val="center"/>
            <w:hideMark/>
          </w:tcPr>
          <w:p w14:paraId="02B632B2" w14:textId="39603E4E" w:rsidR="00EF42B6" w:rsidRPr="00264869" w:rsidRDefault="00EF42B6" w:rsidP="00EF42B6">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Ostvarenje 202</w:t>
            </w:r>
            <w:r w:rsidR="000E6FDF">
              <w:rPr>
                <w:rFonts w:eastAsia="Times New Roman" w:cstheme="minorHAnsi"/>
                <w:b/>
                <w:bCs/>
                <w:sz w:val="18"/>
                <w:szCs w:val="18"/>
                <w:lang w:eastAsia="hr-HR"/>
              </w:rPr>
              <w:t>3</w:t>
            </w:r>
          </w:p>
        </w:tc>
        <w:tc>
          <w:tcPr>
            <w:tcW w:w="1454" w:type="dxa"/>
            <w:tcBorders>
              <w:top w:val="single" w:sz="4" w:space="0" w:color="auto"/>
              <w:bottom w:val="single" w:sz="4" w:space="0" w:color="auto"/>
            </w:tcBorders>
            <w:shd w:val="clear" w:color="auto" w:fill="auto"/>
            <w:vAlign w:val="center"/>
            <w:hideMark/>
          </w:tcPr>
          <w:p w14:paraId="22C392AF" w14:textId="71B88E60" w:rsidR="00EF42B6" w:rsidRPr="00264869" w:rsidRDefault="00264869" w:rsidP="00EF42B6">
            <w:pPr>
              <w:spacing w:after="0" w:line="240" w:lineRule="auto"/>
              <w:jc w:val="center"/>
              <w:rPr>
                <w:rFonts w:eastAsia="Times New Roman" w:cstheme="minorHAnsi"/>
                <w:b/>
                <w:bCs/>
                <w:sz w:val="18"/>
                <w:szCs w:val="18"/>
                <w:lang w:eastAsia="hr-HR"/>
              </w:rPr>
            </w:pPr>
            <w:r>
              <w:rPr>
                <w:rFonts w:eastAsia="Times New Roman" w:cstheme="minorHAnsi"/>
                <w:b/>
                <w:bCs/>
                <w:sz w:val="18"/>
                <w:szCs w:val="18"/>
                <w:lang w:eastAsia="hr-HR"/>
              </w:rPr>
              <w:t>R</w:t>
            </w:r>
            <w:r w:rsidR="00EF42B6" w:rsidRPr="00264869">
              <w:rPr>
                <w:rFonts w:eastAsia="Times New Roman" w:cstheme="minorHAnsi"/>
                <w:b/>
                <w:bCs/>
                <w:sz w:val="18"/>
                <w:szCs w:val="18"/>
                <w:lang w:eastAsia="hr-HR"/>
              </w:rPr>
              <w:t>ebalans plana 202</w:t>
            </w:r>
            <w:r w:rsidR="000E6FDF">
              <w:rPr>
                <w:rFonts w:eastAsia="Times New Roman" w:cstheme="minorHAnsi"/>
                <w:b/>
                <w:bCs/>
                <w:sz w:val="18"/>
                <w:szCs w:val="18"/>
                <w:lang w:eastAsia="hr-HR"/>
              </w:rPr>
              <w:t>4</w:t>
            </w:r>
          </w:p>
        </w:tc>
        <w:tc>
          <w:tcPr>
            <w:tcW w:w="1454" w:type="dxa"/>
            <w:tcBorders>
              <w:top w:val="single" w:sz="4" w:space="0" w:color="auto"/>
              <w:bottom w:val="single" w:sz="4" w:space="0" w:color="auto"/>
            </w:tcBorders>
            <w:shd w:val="clear" w:color="auto" w:fill="auto"/>
            <w:noWrap/>
            <w:vAlign w:val="center"/>
            <w:hideMark/>
          </w:tcPr>
          <w:p w14:paraId="43DF0A02" w14:textId="7F5E7E02" w:rsidR="00EF42B6" w:rsidRPr="00264869" w:rsidRDefault="00EF42B6" w:rsidP="00EF42B6">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Ostvarenje 202</w:t>
            </w:r>
            <w:r w:rsidR="000E6FDF">
              <w:rPr>
                <w:rFonts w:eastAsia="Times New Roman" w:cstheme="minorHAnsi"/>
                <w:b/>
                <w:bCs/>
                <w:sz w:val="18"/>
                <w:szCs w:val="18"/>
                <w:lang w:eastAsia="hr-HR"/>
              </w:rPr>
              <w:t>4</w:t>
            </w:r>
          </w:p>
        </w:tc>
        <w:tc>
          <w:tcPr>
            <w:tcW w:w="839" w:type="dxa"/>
            <w:tcBorders>
              <w:top w:val="single" w:sz="4" w:space="0" w:color="auto"/>
              <w:bottom w:val="single" w:sz="4" w:space="0" w:color="auto"/>
            </w:tcBorders>
            <w:shd w:val="clear" w:color="auto" w:fill="auto"/>
            <w:vAlign w:val="center"/>
            <w:hideMark/>
          </w:tcPr>
          <w:p w14:paraId="5E8FD5AD" w14:textId="77777777" w:rsidR="00EF42B6" w:rsidRPr="00264869" w:rsidRDefault="00EF42B6" w:rsidP="00EF42B6">
            <w:pPr>
              <w:spacing w:after="0" w:line="240" w:lineRule="auto"/>
              <w:jc w:val="center"/>
              <w:rPr>
                <w:rFonts w:eastAsia="Times New Roman" w:cstheme="minorHAnsi"/>
                <w:b/>
                <w:bCs/>
                <w:color w:val="000000"/>
                <w:sz w:val="18"/>
                <w:szCs w:val="18"/>
                <w:lang w:eastAsia="hr-HR"/>
              </w:rPr>
            </w:pPr>
            <w:r w:rsidRPr="00264869">
              <w:rPr>
                <w:rFonts w:eastAsia="Times New Roman" w:cstheme="minorHAnsi"/>
                <w:b/>
                <w:bCs/>
                <w:color w:val="000000"/>
                <w:sz w:val="18"/>
                <w:szCs w:val="18"/>
                <w:lang w:eastAsia="hr-HR"/>
              </w:rPr>
              <w:t>index   (5/3)</w:t>
            </w:r>
          </w:p>
        </w:tc>
        <w:tc>
          <w:tcPr>
            <w:tcW w:w="839" w:type="dxa"/>
            <w:tcBorders>
              <w:top w:val="single" w:sz="4" w:space="0" w:color="auto"/>
              <w:bottom w:val="single" w:sz="4" w:space="0" w:color="auto"/>
            </w:tcBorders>
            <w:shd w:val="clear" w:color="auto" w:fill="auto"/>
            <w:vAlign w:val="center"/>
            <w:hideMark/>
          </w:tcPr>
          <w:p w14:paraId="4F053DB7" w14:textId="77777777" w:rsidR="00EF42B6" w:rsidRPr="00264869" w:rsidRDefault="00EF42B6" w:rsidP="00EF42B6">
            <w:pPr>
              <w:spacing w:after="0" w:line="240" w:lineRule="auto"/>
              <w:jc w:val="center"/>
              <w:rPr>
                <w:rFonts w:eastAsia="Times New Roman" w:cstheme="minorHAnsi"/>
                <w:b/>
                <w:bCs/>
                <w:color w:val="000000"/>
                <w:sz w:val="18"/>
                <w:szCs w:val="18"/>
                <w:lang w:eastAsia="hr-HR"/>
              </w:rPr>
            </w:pPr>
            <w:r w:rsidRPr="00264869">
              <w:rPr>
                <w:rFonts w:eastAsia="Times New Roman" w:cstheme="minorHAnsi"/>
                <w:b/>
                <w:bCs/>
                <w:color w:val="000000"/>
                <w:sz w:val="18"/>
                <w:szCs w:val="18"/>
                <w:lang w:eastAsia="hr-HR"/>
              </w:rPr>
              <w:t>indeks (5/4)</w:t>
            </w:r>
          </w:p>
        </w:tc>
      </w:tr>
      <w:tr w:rsidR="006936E8" w:rsidRPr="00264869" w14:paraId="2A300963" w14:textId="77777777" w:rsidTr="005266B1">
        <w:trPr>
          <w:trHeight w:val="114"/>
        </w:trPr>
        <w:tc>
          <w:tcPr>
            <w:tcW w:w="482" w:type="dxa"/>
            <w:tcBorders>
              <w:top w:val="single" w:sz="4" w:space="0" w:color="auto"/>
              <w:bottom w:val="single" w:sz="4" w:space="0" w:color="auto"/>
            </w:tcBorders>
            <w:shd w:val="clear" w:color="auto" w:fill="auto"/>
            <w:noWrap/>
            <w:vAlign w:val="bottom"/>
            <w:hideMark/>
          </w:tcPr>
          <w:p w14:paraId="605B41EA"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1</w:t>
            </w:r>
          </w:p>
        </w:tc>
        <w:tc>
          <w:tcPr>
            <w:tcW w:w="2630" w:type="dxa"/>
            <w:tcBorders>
              <w:top w:val="single" w:sz="4" w:space="0" w:color="auto"/>
              <w:bottom w:val="single" w:sz="4" w:space="0" w:color="auto"/>
            </w:tcBorders>
            <w:shd w:val="clear" w:color="auto" w:fill="auto"/>
            <w:noWrap/>
            <w:vAlign w:val="bottom"/>
            <w:hideMark/>
          </w:tcPr>
          <w:p w14:paraId="27FC9DA7"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2</w:t>
            </w:r>
          </w:p>
        </w:tc>
        <w:tc>
          <w:tcPr>
            <w:tcW w:w="1454" w:type="dxa"/>
            <w:tcBorders>
              <w:top w:val="single" w:sz="4" w:space="0" w:color="auto"/>
              <w:bottom w:val="single" w:sz="4" w:space="0" w:color="auto"/>
            </w:tcBorders>
            <w:shd w:val="clear" w:color="auto" w:fill="auto"/>
            <w:noWrap/>
            <w:vAlign w:val="bottom"/>
            <w:hideMark/>
          </w:tcPr>
          <w:p w14:paraId="2138DBDF"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3</w:t>
            </w:r>
          </w:p>
        </w:tc>
        <w:tc>
          <w:tcPr>
            <w:tcW w:w="1454" w:type="dxa"/>
            <w:tcBorders>
              <w:top w:val="single" w:sz="4" w:space="0" w:color="auto"/>
              <w:bottom w:val="single" w:sz="4" w:space="0" w:color="auto"/>
            </w:tcBorders>
            <w:shd w:val="clear" w:color="auto" w:fill="auto"/>
            <w:noWrap/>
            <w:vAlign w:val="bottom"/>
            <w:hideMark/>
          </w:tcPr>
          <w:p w14:paraId="1D57C970"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4</w:t>
            </w:r>
          </w:p>
        </w:tc>
        <w:tc>
          <w:tcPr>
            <w:tcW w:w="1454" w:type="dxa"/>
            <w:tcBorders>
              <w:top w:val="single" w:sz="4" w:space="0" w:color="auto"/>
              <w:bottom w:val="single" w:sz="4" w:space="0" w:color="auto"/>
            </w:tcBorders>
            <w:shd w:val="clear" w:color="auto" w:fill="auto"/>
            <w:noWrap/>
            <w:vAlign w:val="bottom"/>
            <w:hideMark/>
          </w:tcPr>
          <w:p w14:paraId="4BD795D8"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5</w:t>
            </w:r>
          </w:p>
        </w:tc>
        <w:tc>
          <w:tcPr>
            <w:tcW w:w="839" w:type="dxa"/>
            <w:tcBorders>
              <w:top w:val="single" w:sz="4" w:space="0" w:color="auto"/>
              <w:bottom w:val="single" w:sz="4" w:space="0" w:color="auto"/>
            </w:tcBorders>
            <w:shd w:val="clear" w:color="auto" w:fill="auto"/>
            <w:noWrap/>
            <w:vAlign w:val="bottom"/>
            <w:hideMark/>
          </w:tcPr>
          <w:p w14:paraId="289C563D"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6</w:t>
            </w:r>
          </w:p>
        </w:tc>
        <w:tc>
          <w:tcPr>
            <w:tcW w:w="839" w:type="dxa"/>
            <w:tcBorders>
              <w:top w:val="single" w:sz="4" w:space="0" w:color="auto"/>
              <w:bottom w:val="single" w:sz="4" w:space="0" w:color="auto"/>
            </w:tcBorders>
            <w:shd w:val="clear" w:color="auto" w:fill="auto"/>
            <w:noWrap/>
            <w:vAlign w:val="bottom"/>
            <w:hideMark/>
          </w:tcPr>
          <w:p w14:paraId="10A522AD" w14:textId="77777777" w:rsidR="00EF42B6" w:rsidRPr="00264869" w:rsidRDefault="00EF42B6" w:rsidP="00EF42B6">
            <w:pPr>
              <w:spacing w:after="0" w:line="240" w:lineRule="auto"/>
              <w:jc w:val="center"/>
              <w:rPr>
                <w:rFonts w:eastAsia="Times New Roman" w:cstheme="minorHAnsi"/>
                <w:i/>
                <w:iCs/>
                <w:color w:val="BFBFBF"/>
                <w:sz w:val="14"/>
                <w:szCs w:val="14"/>
                <w:lang w:eastAsia="hr-HR"/>
              </w:rPr>
            </w:pPr>
            <w:r w:rsidRPr="00264869">
              <w:rPr>
                <w:rFonts w:eastAsia="Times New Roman" w:cstheme="minorHAnsi"/>
                <w:i/>
                <w:iCs/>
                <w:color w:val="BFBFBF"/>
                <w:sz w:val="14"/>
                <w:szCs w:val="14"/>
                <w:lang w:eastAsia="hr-HR"/>
              </w:rPr>
              <w:t>7</w:t>
            </w:r>
          </w:p>
        </w:tc>
      </w:tr>
      <w:tr w:rsidR="000E6FDF" w:rsidRPr="00264869" w14:paraId="2638A7FD" w14:textId="77777777" w:rsidTr="005266B1">
        <w:trPr>
          <w:trHeight w:val="461"/>
        </w:trPr>
        <w:tc>
          <w:tcPr>
            <w:tcW w:w="482" w:type="dxa"/>
            <w:tcBorders>
              <w:top w:val="single" w:sz="4" w:space="0" w:color="auto"/>
            </w:tcBorders>
            <w:shd w:val="clear" w:color="auto" w:fill="auto"/>
            <w:noWrap/>
            <w:vAlign w:val="bottom"/>
            <w:hideMark/>
          </w:tcPr>
          <w:p w14:paraId="0FE4D9D5" w14:textId="77777777" w:rsidR="000E6FDF" w:rsidRPr="00A468E6" w:rsidRDefault="000E6FDF" w:rsidP="000E6FDF">
            <w:pPr>
              <w:spacing w:after="0" w:line="240" w:lineRule="auto"/>
              <w:rPr>
                <w:rFonts w:eastAsia="Times New Roman" w:cstheme="minorHAnsi"/>
                <w:b/>
                <w:bCs/>
                <w:sz w:val="18"/>
                <w:szCs w:val="18"/>
                <w:lang w:eastAsia="hr-HR"/>
              </w:rPr>
            </w:pPr>
            <w:r w:rsidRPr="00A468E6">
              <w:rPr>
                <w:rFonts w:eastAsia="Times New Roman" w:cstheme="minorHAnsi"/>
                <w:b/>
                <w:bCs/>
                <w:sz w:val="18"/>
                <w:szCs w:val="18"/>
                <w:lang w:eastAsia="hr-HR"/>
              </w:rPr>
              <w:t>I</w:t>
            </w:r>
          </w:p>
        </w:tc>
        <w:tc>
          <w:tcPr>
            <w:tcW w:w="2630" w:type="dxa"/>
            <w:tcBorders>
              <w:top w:val="single" w:sz="4" w:space="0" w:color="auto"/>
            </w:tcBorders>
            <w:shd w:val="clear" w:color="auto" w:fill="auto"/>
            <w:noWrap/>
            <w:vAlign w:val="bottom"/>
            <w:hideMark/>
          </w:tcPr>
          <w:p w14:paraId="59858310" w14:textId="3081A4E9" w:rsidR="000E6FDF" w:rsidRPr="00A468E6" w:rsidRDefault="000E6FDF" w:rsidP="000E6FDF">
            <w:pPr>
              <w:spacing w:after="0" w:line="240" w:lineRule="auto"/>
              <w:rPr>
                <w:rFonts w:eastAsia="Times New Roman" w:cstheme="minorHAnsi"/>
                <w:b/>
                <w:bCs/>
                <w:sz w:val="18"/>
                <w:szCs w:val="18"/>
                <w:lang w:eastAsia="hr-HR"/>
              </w:rPr>
            </w:pPr>
            <w:r w:rsidRPr="00A468E6">
              <w:rPr>
                <w:rFonts w:cstheme="minorHAnsi"/>
                <w:b/>
                <w:bCs/>
                <w:sz w:val="18"/>
                <w:szCs w:val="18"/>
              </w:rPr>
              <w:t>POSLOVNI RASHODI</w:t>
            </w:r>
          </w:p>
        </w:tc>
        <w:tc>
          <w:tcPr>
            <w:tcW w:w="1454" w:type="dxa"/>
            <w:tcBorders>
              <w:top w:val="single" w:sz="4" w:space="0" w:color="auto"/>
            </w:tcBorders>
            <w:shd w:val="clear" w:color="auto" w:fill="auto"/>
            <w:noWrap/>
            <w:vAlign w:val="bottom"/>
            <w:hideMark/>
          </w:tcPr>
          <w:p w14:paraId="7201EFF9" w14:textId="67E11B73"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12.165.137</w:t>
            </w:r>
          </w:p>
        </w:tc>
        <w:tc>
          <w:tcPr>
            <w:tcW w:w="1454" w:type="dxa"/>
            <w:tcBorders>
              <w:top w:val="single" w:sz="4" w:space="0" w:color="auto"/>
            </w:tcBorders>
            <w:shd w:val="clear" w:color="auto" w:fill="auto"/>
            <w:noWrap/>
            <w:vAlign w:val="bottom"/>
            <w:hideMark/>
          </w:tcPr>
          <w:p w14:paraId="4F602AA1" w14:textId="5674FE2D"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12.621.408</w:t>
            </w:r>
          </w:p>
        </w:tc>
        <w:tc>
          <w:tcPr>
            <w:tcW w:w="1454" w:type="dxa"/>
            <w:tcBorders>
              <w:top w:val="single" w:sz="4" w:space="0" w:color="auto"/>
            </w:tcBorders>
            <w:shd w:val="clear" w:color="auto" w:fill="auto"/>
            <w:noWrap/>
            <w:vAlign w:val="bottom"/>
            <w:hideMark/>
          </w:tcPr>
          <w:p w14:paraId="3750300A" w14:textId="1D71459F"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12.435.884</w:t>
            </w:r>
          </w:p>
        </w:tc>
        <w:tc>
          <w:tcPr>
            <w:tcW w:w="839" w:type="dxa"/>
            <w:tcBorders>
              <w:top w:val="single" w:sz="4" w:space="0" w:color="auto"/>
            </w:tcBorders>
            <w:shd w:val="clear" w:color="auto" w:fill="auto"/>
            <w:noWrap/>
            <w:vAlign w:val="bottom"/>
            <w:hideMark/>
          </w:tcPr>
          <w:p w14:paraId="1A4FC966" w14:textId="1CC68804" w:rsidR="000E6FDF" w:rsidRPr="000E6FDF" w:rsidRDefault="000E6FDF" w:rsidP="000E6FDF">
            <w:pPr>
              <w:spacing w:after="0" w:line="240" w:lineRule="auto"/>
              <w:jc w:val="center"/>
              <w:rPr>
                <w:rFonts w:eastAsia="Times New Roman" w:cstheme="minorHAnsi"/>
                <w:b/>
                <w:bCs/>
                <w:color w:val="000000"/>
                <w:sz w:val="18"/>
                <w:szCs w:val="18"/>
                <w:lang w:eastAsia="hr-HR"/>
              </w:rPr>
            </w:pPr>
            <w:r w:rsidRPr="000E6FDF">
              <w:rPr>
                <w:rFonts w:cstheme="minorHAnsi"/>
                <w:b/>
                <w:bCs/>
                <w:sz w:val="18"/>
                <w:szCs w:val="18"/>
              </w:rPr>
              <w:t>102%</w:t>
            </w:r>
          </w:p>
        </w:tc>
        <w:tc>
          <w:tcPr>
            <w:tcW w:w="839" w:type="dxa"/>
            <w:tcBorders>
              <w:top w:val="single" w:sz="4" w:space="0" w:color="auto"/>
            </w:tcBorders>
            <w:shd w:val="clear" w:color="auto" w:fill="auto"/>
            <w:noWrap/>
            <w:vAlign w:val="bottom"/>
            <w:hideMark/>
          </w:tcPr>
          <w:p w14:paraId="01EE18C3" w14:textId="0B78F5EB" w:rsidR="000E6FDF" w:rsidRPr="000E6FDF" w:rsidRDefault="000E6FDF" w:rsidP="000E6FDF">
            <w:pPr>
              <w:spacing w:after="0" w:line="240" w:lineRule="auto"/>
              <w:jc w:val="center"/>
              <w:rPr>
                <w:rFonts w:eastAsia="Times New Roman" w:cstheme="minorHAnsi"/>
                <w:b/>
                <w:bCs/>
                <w:color w:val="000000"/>
                <w:sz w:val="18"/>
                <w:szCs w:val="18"/>
                <w:lang w:eastAsia="hr-HR"/>
              </w:rPr>
            </w:pPr>
            <w:r w:rsidRPr="000E6FDF">
              <w:rPr>
                <w:rFonts w:cstheme="minorHAnsi"/>
                <w:b/>
                <w:bCs/>
                <w:sz w:val="18"/>
                <w:szCs w:val="18"/>
              </w:rPr>
              <w:t>99%</w:t>
            </w:r>
          </w:p>
        </w:tc>
      </w:tr>
      <w:tr w:rsidR="000E6FDF" w:rsidRPr="00264869" w14:paraId="51AEB2A8" w14:textId="77777777" w:rsidTr="005266B1">
        <w:trPr>
          <w:trHeight w:val="461"/>
        </w:trPr>
        <w:tc>
          <w:tcPr>
            <w:tcW w:w="482" w:type="dxa"/>
            <w:shd w:val="clear" w:color="auto" w:fill="auto"/>
            <w:noWrap/>
            <w:vAlign w:val="bottom"/>
            <w:hideMark/>
          </w:tcPr>
          <w:p w14:paraId="669162C3"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1.</w:t>
            </w:r>
          </w:p>
        </w:tc>
        <w:tc>
          <w:tcPr>
            <w:tcW w:w="2630" w:type="dxa"/>
            <w:shd w:val="clear" w:color="auto" w:fill="auto"/>
            <w:noWrap/>
            <w:vAlign w:val="bottom"/>
            <w:hideMark/>
          </w:tcPr>
          <w:p w14:paraId="7286B91D" w14:textId="1AF7F315" w:rsidR="000E6FDF" w:rsidRPr="006936E8" w:rsidRDefault="000E6FDF" w:rsidP="000E6FDF">
            <w:pPr>
              <w:spacing w:after="0" w:line="240" w:lineRule="auto"/>
              <w:rPr>
                <w:rFonts w:eastAsia="Times New Roman" w:cstheme="minorHAnsi"/>
                <w:sz w:val="18"/>
                <w:szCs w:val="18"/>
                <w:lang w:eastAsia="hr-HR"/>
              </w:rPr>
            </w:pPr>
            <w:r w:rsidRPr="006936E8">
              <w:rPr>
                <w:rFonts w:cstheme="minorHAnsi"/>
                <w:sz w:val="18"/>
                <w:szCs w:val="18"/>
              </w:rPr>
              <w:t xml:space="preserve">Materijalni troškovi </w:t>
            </w:r>
          </w:p>
        </w:tc>
        <w:tc>
          <w:tcPr>
            <w:tcW w:w="1454" w:type="dxa"/>
            <w:shd w:val="clear" w:color="auto" w:fill="auto"/>
            <w:noWrap/>
            <w:vAlign w:val="bottom"/>
            <w:hideMark/>
          </w:tcPr>
          <w:p w14:paraId="35788B6A" w14:textId="350D7445"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6.738.450</w:t>
            </w:r>
          </w:p>
        </w:tc>
        <w:tc>
          <w:tcPr>
            <w:tcW w:w="1454" w:type="dxa"/>
            <w:shd w:val="clear" w:color="auto" w:fill="auto"/>
            <w:noWrap/>
            <w:vAlign w:val="bottom"/>
            <w:hideMark/>
          </w:tcPr>
          <w:p w14:paraId="6C894157" w14:textId="0260E2F4"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7.096.347</w:t>
            </w:r>
          </w:p>
        </w:tc>
        <w:tc>
          <w:tcPr>
            <w:tcW w:w="1454" w:type="dxa"/>
            <w:shd w:val="clear" w:color="auto" w:fill="auto"/>
            <w:noWrap/>
            <w:vAlign w:val="bottom"/>
            <w:hideMark/>
          </w:tcPr>
          <w:p w14:paraId="689C8CA8" w14:textId="4F36D3DB"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6.887.784</w:t>
            </w:r>
          </w:p>
        </w:tc>
        <w:tc>
          <w:tcPr>
            <w:tcW w:w="839" w:type="dxa"/>
            <w:shd w:val="clear" w:color="auto" w:fill="auto"/>
            <w:noWrap/>
            <w:vAlign w:val="bottom"/>
            <w:hideMark/>
          </w:tcPr>
          <w:p w14:paraId="58CCF228" w14:textId="5CD08EBD"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102%</w:t>
            </w:r>
          </w:p>
        </w:tc>
        <w:tc>
          <w:tcPr>
            <w:tcW w:w="839" w:type="dxa"/>
            <w:shd w:val="clear" w:color="auto" w:fill="auto"/>
            <w:noWrap/>
            <w:vAlign w:val="bottom"/>
            <w:hideMark/>
          </w:tcPr>
          <w:p w14:paraId="4972BC4D" w14:textId="645FCA10"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97%</w:t>
            </w:r>
          </w:p>
        </w:tc>
      </w:tr>
      <w:tr w:rsidR="000E6FDF" w:rsidRPr="00264869" w14:paraId="1E58F2B5" w14:textId="77777777" w:rsidTr="005266B1">
        <w:trPr>
          <w:trHeight w:val="461"/>
        </w:trPr>
        <w:tc>
          <w:tcPr>
            <w:tcW w:w="482" w:type="dxa"/>
            <w:shd w:val="clear" w:color="auto" w:fill="auto"/>
            <w:noWrap/>
            <w:vAlign w:val="bottom"/>
            <w:hideMark/>
          </w:tcPr>
          <w:p w14:paraId="3608CB52" w14:textId="77777777" w:rsidR="000E6FDF" w:rsidRPr="006936E8" w:rsidRDefault="000E6FDF" w:rsidP="000E6FDF">
            <w:pPr>
              <w:spacing w:after="0" w:line="240" w:lineRule="auto"/>
              <w:rPr>
                <w:rFonts w:eastAsia="Times New Roman" w:cstheme="minorHAnsi"/>
                <w:i/>
                <w:iCs/>
                <w:sz w:val="18"/>
                <w:szCs w:val="18"/>
                <w:lang w:eastAsia="hr-HR"/>
              </w:rPr>
            </w:pPr>
            <w:r w:rsidRPr="006936E8">
              <w:rPr>
                <w:rFonts w:eastAsia="Times New Roman" w:cstheme="minorHAnsi"/>
                <w:i/>
                <w:iCs/>
                <w:sz w:val="18"/>
                <w:szCs w:val="18"/>
                <w:lang w:eastAsia="hr-HR"/>
              </w:rPr>
              <w:t>1.1</w:t>
            </w:r>
          </w:p>
        </w:tc>
        <w:tc>
          <w:tcPr>
            <w:tcW w:w="2630" w:type="dxa"/>
            <w:shd w:val="clear" w:color="auto" w:fill="auto"/>
            <w:noWrap/>
            <w:vAlign w:val="bottom"/>
            <w:hideMark/>
          </w:tcPr>
          <w:p w14:paraId="0A6CDF09" w14:textId="79446DDA" w:rsidR="000E6FDF" w:rsidRPr="006936E8" w:rsidRDefault="000E6FDF" w:rsidP="000E6FDF">
            <w:pPr>
              <w:spacing w:after="0" w:line="240" w:lineRule="auto"/>
              <w:rPr>
                <w:rFonts w:eastAsia="Times New Roman" w:cstheme="minorHAnsi"/>
                <w:i/>
                <w:iCs/>
                <w:sz w:val="18"/>
                <w:szCs w:val="18"/>
                <w:lang w:eastAsia="hr-HR"/>
              </w:rPr>
            </w:pPr>
            <w:r w:rsidRPr="006936E8">
              <w:rPr>
                <w:rFonts w:cstheme="minorHAnsi"/>
                <w:sz w:val="18"/>
                <w:szCs w:val="18"/>
              </w:rPr>
              <w:t>Troškovi sirovina i materijala</w:t>
            </w:r>
          </w:p>
        </w:tc>
        <w:tc>
          <w:tcPr>
            <w:tcW w:w="1454" w:type="dxa"/>
            <w:shd w:val="clear" w:color="auto" w:fill="auto"/>
            <w:noWrap/>
            <w:vAlign w:val="bottom"/>
            <w:hideMark/>
          </w:tcPr>
          <w:p w14:paraId="0DB5125F" w14:textId="70899387" w:rsidR="000E6FDF" w:rsidRPr="000E6FDF" w:rsidRDefault="000E6FDF" w:rsidP="000E6FDF">
            <w:pPr>
              <w:spacing w:after="0" w:line="240" w:lineRule="auto"/>
              <w:jc w:val="center"/>
              <w:rPr>
                <w:rFonts w:eastAsia="Times New Roman" w:cstheme="minorHAnsi"/>
                <w:i/>
                <w:iCs/>
                <w:sz w:val="18"/>
                <w:szCs w:val="18"/>
                <w:lang w:eastAsia="hr-HR"/>
              </w:rPr>
            </w:pPr>
            <w:r w:rsidRPr="000E6FDF">
              <w:rPr>
                <w:rFonts w:cstheme="minorHAnsi"/>
                <w:sz w:val="18"/>
                <w:szCs w:val="18"/>
              </w:rPr>
              <w:t>2.013.860</w:t>
            </w:r>
          </w:p>
        </w:tc>
        <w:tc>
          <w:tcPr>
            <w:tcW w:w="1454" w:type="dxa"/>
            <w:shd w:val="clear" w:color="auto" w:fill="auto"/>
            <w:noWrap/>
            <w:vAlign w:val="bottom"/>
            <w:hideMark/>
          </w:tcPr>
          <w:p w14:paraId="768E7F87" w14:textId="7C7F3EC6" w:rsidR="000E6FDF" w:rsidRPr="000E6FDF" w:rsidRDefault="000E6FDF" w:rsidP="000E6FDF">
            <w:pPr>
              <w:spacing w:after="0" w:line="240" w:lineRule="auto"/>
              <w:jc w:val="center"/>
              <w:rPr>
                <w:rFonts w:eastAsia="Times New Roman" w:cstheme="minorHAnsi"/>
                <w:i/>
                <w:iCs/>
                <w:sz w:val="18"/>
                <w:szCs w:val="18"/>
                <w:lang w:eastAsia="hr-HR"/>
              </w:rPr>
            </w:pPr>
            <w:r w:rsidRPr="000E6FDF">
              <w:rPr>
                <w:rFonts w:cstheme="minorHAnsi"/>
                <w:sz w:val="18"/>
                <w:szCs w:val="18"/>
              </w:rPr>
              <w:t>1.843.454</w:t>
            </w:r>
          </w:p>
        </w:tc>
        <w:tc>
          <w:tcPr>
            <w:tcW w:w="1454" w:type="dxa"/>
            <w:shd w:val="clear" w:color="auto" w:fill="auto"/>
            <w:noWrap/>
            <w:vAlign w:val="bottom"/>
            <w:hideMark/>
          </w:tcPr>
          <w:p w14:paraId="53BF6703" w14:textId="3F135357" w:rsidR="000E6FDF" w:rsidRPr="000E6FDF" w:rsidRDefault="000E6FDF" w:rsidP="000E6FDF">
            <w:pPr>
              <w:spacing w:after="0" w:line="240" w:lineRule="auto"/>
              <w:jc w:val="center"/>
              <w:rPr>
                <w:rFonts w:eastAsia="Times New Roman" w:cstheme="minorHAnsi"/>
                <w:i/>
                <w:iCs/>
                <w:sz w:val="18"/>
                <w:szCs w:val="18"/>
                <w:lang w:eastAsia="hr-HR"/>
              </w:rPr>
            </w:pPr>
            <w:r w:rsidRPr="000E6FDF">
              <w:rPr>
                <w:rFonts w:cstheme="minorHAnsi"/>
                <w:sz w:val="18"/>
                <w:szCs w:val="18"/>
              </w:rPr>
              <w:t>1.828.386</w:t>
            </w:r>
          </w:p>
        </w:tc>
        <w:tc>
          <w:tcPr>
            <w:tcW w:w="839" w:type="dxa"/>
            <w:shd w:val="clear" w:color="auto" w:fill="auto"/>
            <w:noWrap/>
            <w:vAlign w:val="bottom"/>
            <w:hideMark/>
          </w:tcPr>
          <w:p w14:paraId="70DFB96D" w14:textId="040C192F" w:rsidR="000E6FDF" w:rsidRPr="000E6FDF" w:rsidRDefault="000E6FDF" w:rsidP="000E6FDF">
            <w:pPr>
              <w:spacing w:after="0" w:line="240" w:lineRule="auto"/>
              <w:jc w:val="center"/>
              <w:rPr>
                <w:rFonts w:eastAsia="Times New Roman" w:cstheme="minorHAnsi"/>
                <w:i/>
                <w:iCs/>
                <w:color w:val="000000"/>
                <w:sz w:val="18"/>
                <w:szCs w:val="18"/>
                <w:lang w:eastAsia="hr-HR"/>
              </w:rPr>
            </w:pPr>
            <w:r w:rsidRPr="000E6FDF">
              <w:rPr>
                <w:rFonts w:cstheme="minorHAnsi"/>
                <w:sz w:val="18"/>
                <w:szCs w:val="18"/>
              </w:rPr>
              <w:t>91%</w:t>
            </w:r>
          </w:p>
        </w:tc>
        <w:tc>
          <w:tcPr>
            <w:tcW w:w="839" w:type="dxa"/>
            <w:shd w:val="clear" w:color="auto" w:fill="auto"/>
            <w:noWrap/>
            <w:vAlign w:val="bottom"/>
            <w:hideMark/>
          </w:tcPr>
          <w:p w14:paraId="51D9748C" w14:textId="212C08C5" w:rsidR="000E6FDF" w:rsidRPr="000E6FDF" w:rsidRDefault="000E6FDF" w:rsidP="000E6FDF">
            <w:pPr>
              <w:spacing w:after="0" w:line="240" w:lineRule="auto"/>
              <w:jc w:val="center"/>
              <w:rPr>
                <w:rFonts w:eastAsia="Times New Roman" w:cstheme="minorHAnsi"/>
                <w:i/>
                <w:iCs/>
                <w:color w:val="000000"/>
                <w:sz w:val="18"/>
                <w:szCs w:val="18"/>
                <w:lang w:eastAsia="hr-HR"/>
              </w:rPr>
            </w:pPr>
            <w:r w:rsidRPr="000E6FDF">
              <w:rPr>
                <w:rFonts w:cstheme="minorHAnsi"/>
                <w:sz w:val="18"/>
                <w:szCs w:val="18"/>
              </w:rPr>
              <w:t>99%</w:t>
            </w:r>
          </w:p>
        </w:tc>
      </w:tr>
      <w:tr w:rsidR="000E6FDF" w:rsidRPr="00264869" w14:paraId="1C09652D" w14:textId="77777777" w:rsidTr="005266B1">
        <w:trPr>
          <w:trHeight w:val="461"/>
        </w:trPr>
        <w:tc>
          <w:tcPr>
            <w:tcW w:w="482" w:type="dxa"/>
            <w:shd w:val="clear" w:color="auto" w:fill="auto"/>
            <w:noWrap/>
            <w:vAlign w:val="bottom"/>
            <w:hideMark/>
          </w:tcPr>
          <w:p w14:paraId="5563C70B" w14:textId="77777777" w:rsidR="000E6FDF" w:rsidRPr="006936E8" w:rsidRDefault="000E6FDF" w:rsidP="000E6FDF">
            <w:pPr>
              <w:spacing w:after="0" w:line="240" w:lineRule="auto"/>
              <w:rPr>
                <w:rFonts w:eastAsia="Times New Roman" w:cstheme="minorHAnsi"/>
                <w:i/>
                <w:iCs/>
                <w:sz w:val="18"/>
                <w:szCs w:val="18"/>
                <w:lang w:eastAsia="hr-HR"/>
              </w:rPr>
            </w:pPr>
            <w:r w:rsidRPr="006936E8">
              <w:rPr>
                <w:rFonts w:eastAsia="Times New Roman" w:cstheme="minorHAnsi"/>
                <w:i/>
                <w:iCs/>
                <w:sz w:val="18"/>
                <w:szCs w:val="18"/>
                <w:lang w:eastAsia="hr-HR"/>
              </w:rPr>
              <w:t>1.2</w:t>
            </w:r>
          </w:p>
        </w:tc>
        <w:tc>
          <w:tcPr>
            <w:tcW w:w="2630" w:type="dxa"/>
            <w:shd w:val="clear" w:color="auto" w:fill="auto"/>
            <w:noWrap/>
            <w:vAlign w:val="bottom"/>
            <w:hideMark/>
          </w:tcPr>
          <w:p w14:paraId="6FD7E129" w14:textId="59BC8A6B" w:rsidR="000E6FDF" w:rsidRPr="006936E8" w:rsidRDefault="000E6FDF" w:rsidP="000E6FDF">
            <w:pPr>
              <w:spacing w:after="0" w:line="240" w:lineRule="auto"/>
              <w:rPr>
                <w:rFonts w:eastAsia="Times New Roman" w:cstheme="minorHAnsi"/>
                <w:i/>
                <w:iCs/>
                <w:sz w:val="18"/>
                <w:szCs w:val="18"/>
                <w:lang w:eastAsia="hr-HR"/>
              </w:rPr>
            </w:pPr>
            <w:r w:rsidRPr="006936E8">
              <w:rPr>
                <w:rFonts w:cstheme="minorHAnsi"/>
                <w:sz w:val="18"/>
                <w:szCs w:val="18"/>
              </w:rPr>
              <w:t>Ostali vanjski troškovi</w:t>
            </w:r>
          </w:p>
        </w:tc>
        <w:tc>
          <w:tcPr>
            <w:tcW w:w="1454" w:type="dxa"/>
            <w:shd w:val="clear" w:color="auto" w:fill="auto"/>
            <w:noWrap/>
            <w:vAlign w:val="bottom"/>
            <w:hideMark/>
          </w:tcPr>
          <w:p w14:paraId="47E5DEE0" w14:textId="454C7E09" w:rsidR="000E6FDF" w:rsidRPr="000E6FDF" w:rsidRDefault="000E6FDF" w:rsidP="000E6FDF">
            <w:pPr>
              <w:spacing w:after="0" w:line="240" w:lineRule="auto"/>
              <w:jc w:val="center"/>
              <w:rPr>
                <w:rFonts w:eastAsia="Times New Roman" w:cstheme="minorHAnsi"/>
                <w:i/>
                <w:iCs/>
                <w:sz w:val="18"/>
                <w:szCs w:val="18"/>
                <w:lang w:eastAsia="hr-HR"/>
              </w:rPr>
            </w:pPr>
            <w:r w:rsidRPr="000E6FDF">
              <w:rPr>
                <w:rFonts w:cstheme="minorHAnsi"/>
                <w:sz w:val="18"/>
                <w:szCs w:val="18"/>
              </w:rPr>
              <w:t>4.724.591</w:t>
            </w:r>
          </w:p>
        </w:tc>
        <w:tc>
          <w:tcPr>
            <w:tcW w:w="1454" w:type="dxa"/>
            <w:shd w:val="clear" w:color="auto" w:fill="auto"/>
            <w:noWrap/>
            <w:vAlign w:val="bottom"/>
            <w:hideMark/>
          </w:tcPr>
          <w:p w14:paraId="58A41050" w14:textId="6FF74C4C" w:rsidR="000E6FDF" w:rsidRPr="000E6FDF" w:rsidRDefault="000E6FDF" w:rsidP="000E6FDF">
            <w:pPr>
              <w:spacing w:after="0" w:line="240" w:lineRule="auto"/>
              <w:jc w:val="center"/>
              <w:rPr>
                <w:rFonts w:eastAsia="Times New Roman" w:cstheme="minorHAnsi"/>
                <w:i/>
                <w:iCs/>
                <w:sz w:val="18"/>
                <w:szCs w:val="18"/>
                <w:lang w:eastAsia="hr-HR"/>
              </w:rPr>
            </w:pPr>
            <w:r w:rsidRPr="000E6FDF">
              <w:rPr>
                <w:rFonts w:cstheme="minorHAnsi"/>
                <w:sz w:val="18"/>
                <w:szCs w:val="18"/>
              </w:rPr>
              <w:t>5.252.893</w:t>
            </w:r>
          </w:p>
        </w:tc>
        <w:tc>
          <w:tcPr>
            <w:tcW w:w="1454" w:type="dxa"/>
            <w:shd w:val="clear" w:color="auto" w:fill="auto"/>
            <w:noWrap/>
            <w:vAlign w:val="bottom"/>
            <w:hideMark/>
          </w:tcPr>
          <w:p w14:paraId="2912BE35" w14:textId="3F855CF7" w:rsidR="000E6FDF" w:rsidRPr="000E6FDF" w:rsidRDefault="000E6FDF" w:rsidP="000E6FDF">
            <w:pPr>
              <w:spacing w:after="0" w:line="240" w:lineRule="auto"/>
              <w:jc w:val="center"/>
              <w:rPr>
                <w:rFonts w:eastAsia="Times New Roman" w:cstheme="minorHAnsi"/>
                <w:i/>
                <w:iCs/>
                <w:sz w:val="18"/>
                <w:szCs w:val="18"/>
                <w:lang w:eastAsia="hr-HR"/>
              </w:rPr>
            </w:pPr>
            <w:r w:rsidRPr="000E6FDF">
              <w:rPr>
                <w:rFonts w:cstheme="minorHAnsi"/>
                <w:sz w:val="18"/>
                <w:szCs w:val="18"/>
              </w:rPr>
              <w:t>5.059.398</w:t>
            </w:r>
          </w:p>
        </w:tc>
        <w:tc>
          <w:tcPr>
            <w:tcW w:w="839" w:type="dxa"/>
            <w:shd w:val="clear" w:color="auto" w:fill="auto"/>
            <w:noWrap/>
            <w:vAlign w:val="bottom"/>
            <w:hideMark/>
          </w:tcPr>
          <w:p w14:paraId="4F17B55E" w14:textId="5C393180" w:rsidR="000E6FDF" w:rsidRPr="000E6FDF" w:rsidRDefault="000E6FDF" w:rsidP="000E6FDF">
            <w:pPr>
              <w:spacing w:after="0" w:line="240" w:lineRule="auto"/>
              <w:jc w:val="center"/>
              <w:rPr>
                <w:rFonts w:eastAsia="Times New Roman" w:cstheme="minorHAnsi"/>
                <w:i/>
                <w:iCs/>
                <w:color w:val="000000"/>
                <w:sz w:val="18"/>
                <w:szCs w:val="18"/>
                <w:lang w:eastAsia="hr-HR"/>
              </w:rPr>
            </w:pPr>
            <w:r w:rsidRPr="000E6FDF">
              <w:rPr>
                <w:rFonts w:cstheme="minorHAnsi"/>
                <w:sz w:val="18"/>
                <w:szCs w:val="18"/>
              </w:rPr>
              <w:t>107%</w:t>
            </w:r>
          </w:p>
        </w:tc>
        <w:tc>
          <w:tcPr>
            <w:tcW w:w="839" w:type="dxa"/>
            <w:shd w:val="clear" w:color="auto" w:fill="auto"/>
            <w:noWrap/>
            <w:vAlign w:val="bottom"/>
            <w:hideMark/>
          </w:tcPr>
          <w:p w14:paraId="5B95C73D" w14:textId="6CCF84EC" w:rsidR="000E6FDF" w:rsidRPr="000E6FDF" w:rsidRDefault="000E6FDF" w:rsidP="000E6FDF">
            <w:pPr>
              <w:spacing w:after="0" w:line="240" w:lineRule="auto"/>
              <w:jc w:val="center"/>
              <w:rPr>
                <w:rFonts w:eastAsia="Times New Roman" w:cstheme="minorHAnsi"/>
                <w:i/>
                <w:iCs/>
                <w:color w:val="000000"/>
                <w:sz w:val="18"/>
                <w:szCs w:val="18"/>
                <w:lang w:eastAsia="hr-HR"/>
              </w:rPr>
            </w:pPr>
            <w:r w:rsidRPr="000E6FDF">
              <w:rPr>
                <w:rFonts w:cstheme="minorHAnsi"/>
                <w:sz w:val="18"/>
                <w:szCs w:val="18"/>
              </w:rPr>
              <w:t>96%</w:t>
            </w:r>
          </w:p>
        </w:tc>
      </w:tr>
      <w:tr w:rsidR="000E6FDF" w:rsidRPr="00264869" w14:paraId="0EEB3169" w14:textId="77777777" w:rsidTr="005266B1">
        <w:trPr>
          <w:trHeight w:val="461"/>
        </w:trPr>
        <w:tc>
          <w:tcPr>
            <w:tcW w:w="482" w:type="dxa"/>
            <w:shd w:val="clear" w:color="auto" w:fill="auto"/>
            <w:noWrap/>
            <w:vAlign w:val="bottom"/>
            <w:hideMark/>
          </w:tcPr>
          <w:p w14:paraId="2F7B260C"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2.</w:t>
            </w:r>
          </w:p>
        </w:tc>
        <w:tc>
          <w:tcPr>
            <w:tcW w:w="2630" w:type="dxa"/>
            <w:shd w:val="clear" w:color="auto" w:fill="auto"/>
            <w:noWrap/>
            <w:vAlign w:val="bottom"/>
            <w:hideMark/>
          </w:tcPr>
          <w:p w14:paraId="226F64C4" w14:textId="4ABC9386" w:rsidR="000E6FDF" w:rsidRPr="006936E8" w:rsidRDefault="000E6FDF" w:rsidP="000E6FDF">
            <w:pPr>
              <w:spacing w:after="0" w:line="240" w:lineRule="auto"/>
              <w:rPr>
                <w:rFonts w:eastAsia="Times New Roman" w:cstheme="minorHAnsi"/>
                <w:sz w:val="18"/>
                <w:szCs w:val="18"/>
                <w:lang w:eastAsia="hr-HR"/>
              </w:rPr>
            </w:pPr>
            <w:r w:rsidRPr="006936E8">
              <w:rPr>
                <w:rFonts w:cstheme="minorHAnsi"/>
                <w:sz w:val="18"/>
                <w:szCs w:val="18"/>
              </w:rPr>
              <w:t>Troškovi osoblja</w:t>
            </w:r>
          </w:p>
        </w:tc>
        <w:tc>
          <w:tcPr>
            <w:tcW w:w="1454" w:type="dxa"/>
            <w:shd w:val="clear" w:color="auto" w:fill="auto"/>
            <w:noWrap/>
            <w:vAlign w:val="bottom"/>
            <w:hideMark/>
          </w:tcPr>
          <w:p w14:paraId="267974D8" w14:textId="49047528"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1.506.128</w:t>
            </w:r>
          </w:p>
        </w:tc>
        <w:tc>
          <w:tcPr>
            <w:tcW w:w="1454" w:type="dxa"/>
            <w:shd w:val="clear" w:color="auto" w:fill="auto"/>
            <w:noWrap/>
            <w:vAlign w:val="bottom"/>
            <w:hideMark/>
          </w:tcPr>
          <w:p w14:paraId="1C843A71" w14:textId="29EC8044"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1.875.014</w:t>
            </w:r>
          </w:p>
        </w:tc>
        <w:tc>
          <w:tcPr>
            <w:tcW w:w="1454" w:type="dxa"/>
            <w:shd w:val="clear" w:color="auto" w:fill="auto"/>
            <w:noWrap/>
            <w:vAlign w:val="bottom"/>
            <w:hideMark/>
          </w:tcPr>
          <w:p w14:paraId="17C2CED4" w14:textId="6315C933"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1.877.131</w:t>
            </w:r>
          </w:p>
        </w:tc>
        <w:tc>
          <w:tcPr>
            <w:tcW w:w="839" w:type="dxa"/>
            <w:shd w:val="clear" w:color="auto" w:fill="auto"/>
            <w:noWrap/>
            <w:vAlign w:val="bottom"/>
            <w:hideMark/>
          </w:tcPr>
          <w:p w14:paraId="27856353" w14:textId="59A5C66F"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125%</w:t>
            </w:r>
          </w:p>
        </w:tc>
        <w:tc>
          <w:tcPr>
            <w:tcW w:w="839" w:type="dxa"/>
            <w:shd w:val="clear" w:color="auto" w:fill="auto"/>
            <w:noWrap/>
            <w:vAlign w:val="bottom"/>
            <w:hideMark/>
          </w:tcPr>
          <w:p w14:paraId="4340257E" w14:textId="5667D4D7"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100%</w:t>
            </w:r>
          </w:p>
        </w:tc>
      </w:tr>
      <w:tr w:rsidR="000E6FDF" w:rsidRPr="00264869" w14:paraId="22CB0122" w14:textId="77777777" w:rsidTr="005266B1">
        <w:trPr>
          <w:trHeight w:val="461"/>
        </w:trPr>
        <w:tc>
          <w:tcPr>
            <w:tcW w:w="482" w:type="dxa"/>
            <w:shd w:val="clear" w:color="auto" w:fill="auto"/>
            <w:noWrap/>
            <w:vAlign w:val="bottom"/>
            <w:hideMark/>
          </w:tcPr>
          <w:p w14:paraId="6FD34C6D"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3.</w:t>
            </w:r>
          </w:p>
        </w:tc>
        <w:tc>
          <w:tcPr>
            <w:tcW w:w="2630" w:type="dxa"/>
            <w:shd w:val="clear" w:color="auto" w:fill="auto"/>
            <w:noWrap/>
            <w:vAlign w:val="bottom"/>
            <w:hideMark/>
          </w:tcPr>
          <w:p w14:paraId="1827F626" w14:textId="7557C49C" w:rsidR="000E6FDF" w:rsidRPr="006936E8" w:rsidRDefault="000E6FDF" w:rsidP="000E6FDF">
            <w:pPr>
              <w:spacing w:after="0" w:line="240" w:lineRule="auto"/>
              <w:rPr>
                <w:rFonts w:eastAsia="Times New Roman" w:cstheme="minorHAnsi"/>
                <w:sz w:val="18"/>
                <w:szCs w:val="18"/>
                <w:lang w:eastAsia="hr-HR"/>
              </w:rPr>
            </w:pPr>
            <w:r>
              <w:rPr>
                <w:rFonts w:cstheme="minorHAnsi"/>
                <w:sz w:val="18"/>
                <w:szCs w:val="18"/>
              </w:rPr>
              <w:t>Trošak amortizacije</w:t>
            </w:r>
          </w:p>
        </w:tc>
        <w:tc>
          <w:tcPr>
            <w:tcW w:w="1454" w:type="dxa"/>
            <w:shd w:val="clear" w:color="auto" w:fill="auto"/>
            <w:noWrap/>
            <w:vAlign w:val="bottom"/>
            <w:hideMark/>
          </w:tcPr>
          <w:p w14:paraId="501ACFB8" w14:textId="59A08E3C"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3.186.313</w:t>
            </w:r>
          </w:p>
        </w:tc>
        <w:tc>
          <w:tcPr>
            <w:tcW w:w="1454" w:type="dxa"/>
            <w:shd w:val="clear" w:color="auto" w:fill="auto"/>
            <w:noWrap/>
            <w:vAlign w:val="bottom"/>
            <w:hideMark/>
          </w:tcPr>
          <w:p w14:paraId="2F9F9D5C" w14:textId="0C9B7898"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3.179.954</w:t>
            </w:r>
          </w:p>
        </w:tc>
        <w:tc>
          <w:tcPr>
            <w:tcW w:w="1454" w:type="dxa"/>
            <w:shd w:val="clear" w:color="auto" w:fill="auto"/>
            <w:noWrap/>
            <w:vAlign w:val="bottom"/>
            <w:hideMark/>
          </w:tcPr>
          <w:p w14:paraId="1964B242" w14:textId="70C488DA"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3.204.334</w:t>
            </w:r>
          </w:p>
        </w:tc>
        <w:tc>
          <w:tcPr>
            <w:tcW w:w="839" w:type="dxa"/>
            <w:shd w:val="clear" w:color="auto" w:fill="auto"/>
            <w:noWrap/>
            <w:vAlign w:val="bottom"/>
            <w:hideMark/>
          </w:tcPr>
          <w:p w14:paraId="47174DAA" w14:textId="59736857"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101%</w:t>
            </w:r>
          </w:p>
        </w:tc>
        <w:tc>
          <w:tcPr>
            <w:tcW w:w="839" w:type="dxa"/>
            <w:shd w:val="clear" w:color="auto" w:fill="auto"/>
            <w:noWrap/>
            <w:vAlign w:val="bottom"/>
            <w:hideMark/>
          </w:tcPr>
          <w:p w14:paraId="640B5BBB" w14:textId="53A75A0F"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101%</w:t>
            </w:r>
          </w:p>
        </w:tc>
      </w:tr>
      <w:tr w:rsidR="000E6FDF" w:rsidRPr="00264869" w14:paraId="56E5AB28" w14:textId="77777777" w:rsidTr="005266B1">
        <w:trPr>
          <w:trHeight w:val="461"/>
        </w:trPr>
        <w:tc>
          <w:tcPr>
            <w:tcW w:w="482" w:type="dxa"/>
            <w:shd w:val="clear" w:color="auto" w:fill="auto"/>
            <w:noWrap/>
            <w:vAlign w:val="bottom"/>
            <w:hideMark/>
          </w:tcPr>
          <w:p w14:paraId="60F733EA"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4.</w:t>
            </w:r>
          </w:p>
        </w:tc>
        <w:tc>
          <w:tcPr>
            <w:tcW w:w="2630" w:type="dxa"/>
            <w:shd w:val="clear" w:color="auto" w:fill="auto"/>
            <w:noWrap/>
            <w:vAlign w:val="bottom"/>
            <w:hideMark/>
          </w:tcPr>
          <w:p w14:paraId="068F8B8D" w14:textId="0F45F278" w:rsidR="000E6FDF" w:rsidRPr="006936E8" w:rsidRDefault="000E6FDF" w:rsidP="000E6FDF">
            <w:pPr>
              <w:spacing w:after="0" w:line="240" w:lineRule="auto"/>
              <w:rPr>
                <w:rFonts w:eastAsia="Times New Roman" w:cstheme="minorHAnsi"/>
                <w:sz w:val="18"/>
                <w:szCs w:val="18"/>
                <w:lang w:eastAsia="hr-HR"/>
              </w:rPr>
            </w:pPr>
            <w:r w:rsidRPr="006936E8">
              <w:rPr>
                <w:rFonts w:cstheme="minorHAnsi"/>
                <w:sz w:val="18"/>
                <w:szCs w:val="18"/>
              </w:rPr>
              <w:t>Ostali troškovi poslovanja</w:t>
            </w:r>
          </w:p>
        </w:tc>
        <w:tc>
          <w:tcPr>
            <w:tcW w:w="1454" w:type="dxa"/>
            <w:shd w:val="clear" w:color="auto" w:fill="auto"/>
            <w:noWrap/>
            <w:vAlign w:val="bottom"/>
            <w:hideMark/>
          </w:tcPr>
          <w:p w14:paraId="4BE95725" w14:textId="0F1EC7B0"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433.582</w:t>
            </w:r>
          </w:p>
        </w:tc>
        <w:tc>
          <w:tcPr>
            <w:tcW w:w="1454" w:type="dxa"/>
            <w:shd w:val="clear" w:color="auto" w:fill="auto"/>
            <w:noWrap/>
            <w:vAlign w:val="bottom"/>
            <w:hideMark/>
          </w:tcPr>
          <w:p w14:paraId="51C105C0" w14:textId="56C2B3D7"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460.093</w:t>
            </w:r>
          </w:p>
        </w:tc>
        <w:tc>
          <w:tcPr>
            <w:tcW w:w="1454" w:type="dxa"/>
            <w:shd w:val="clear" w:color="auto" w:fill="auto"/>
            <w:noWrap/>
            <w:vAlign w:val="bottom"/>
            <w:hideMark/>
          </w:tcPr>
          <w:p w14:paraId="75067262" w14:textId="19463D9C"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452.836</w:t>
            </w:r>
          </w:p>
        </w:tc>
        <w:tc>
          <w:tcPr>
            <w:tcW w:w="839" w:type="dxa"/>
            <w:shd w:val="clear" w:color="auto" w:fill="auto"/>
            <w:noWrap/>
            <w:vAlign w:val="bottom"/>
            <w:hideMark/>
          </w:tcPr>
          <w:p w14:paraId="135F1F6D" w14:textId="091B038F"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104%</w:t>
            </w:r>
          </w:p>
        </w:tc>
        <w:tc>
          <w:tcPr>
            <w:tcW w:w="839" w:type="dxa"/>
            <w:shd w:val="clear" w:color="auto" w:fill="auto"/>
            <w:noWrap/>
            <w:vAlign w:val="bottom"/>
            <w:hideMark/>
          </w:tcPr>
          <w:p w14:paraId="43455BF5" w14:textId="5965BB55"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98%</w:t>
            </w:r>
          </w:p>
        </w:tc>
      </w:tr>
      <w:tr w:rsidR="000E6FDF" w:rsidRPr="00264869" w14:paraId="6C3616D0" w14:textId="77777777" w:rsidTr="005266B1">
        <w:trPr>
          <w:trHeight w:val="461"/>
        </w:trPr>
        <w:tc>
          <w:tcPr>
            <w:tcW w:w="482" w:type="dxa"/>
            <w:shd w:val="clear" w:color="auto" w:fill="auto"/>
            <w:noWrap/>
            <w:vAlign w:val="bottom"/>
            <w:hideMark/>
          </w:tcPr>
          <w:p w14:paraId="43E3FF9D"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5.</w:t>
            </w:r>
          </w:p>
        </w:tc>
        <w:tc>
          <w:tcPr>
            <w:tcW w:w="2630" w:type="dxa"/>
            <w:shd w:val="clear" w:color="auto" w:fill="auto"/>
            <w:noWrap/>
            <w:vAlign w:val="bottom"/>
            <w:hideMark/>
          </w:tcPr>
          <w:p w14:paraId="1CD1FAF6" w14:textId="1B62BB03" w:rsidR="000E6FDF" w:rsidRPr="006936E8" w:rsidRDefault="000E6FDF" w:rsidP="000E6FDF">
            <w:pPr>
              <w:spacing w:after="0" w:line="240" w:lineRule="auto"/>
              <w:rPr>
                <w:rFonts w:eastAsia="Times New Roman" w:cstheme="minorHAnsi"/>
                <w:sz w:val="18"/>
                <w:szCs w:val="18"/>
                <w:lang w:eastAsia="hr-HR"/>
              </w:rPr>
            </w:pPr>
            <w:r w:rsidRPr="006936E8">
              <w:rPr>
                <w:rFonts w:cstheme="minorHAnsi"/>
                <w:sz w:val="18"/>
                <w:szCs w:val="18"/>
              </w:rPr>
              <w:t>Vrijednosno usklađenje</w:t>
            </w:r>
          </w:p>
        </w:tc>
        <w:tc>
          <w:tcPr>
            <w:tcW w:w="1454" w:type="dxa"/>
            <w:shd w:val="clear" w:color="auto" w:fill="auto"/>
            <w:noWrap/>
            <w:vAlign w:val="bottom"/>
            <w:hideMark/>
          </w:tcPr>
          <w:p w14:paraId="3E956970" w14:textId="1261619A"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39.715</w:t>
            </w:r>
          </w:p>
        </w:tc>
        <w:tc>
          <w:tcPr>
            <w:tcW w:w="1454" w:type="dxa"/>
            <w:shd w:val="clear" w:color="auto" w:fill="auto"/>
            <w:noWrap/>
            <w:vAlign w:val="bottom"/>
            <w:hideMark/>
          </w:tcPr>
          <w:p w14:paraId="04FABEC4" w14:textId="7B47D76B"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0</w:t>
            </w:r>
          </w:p>
        </w:tc>
        <w:tc>
          <w:tcPr>
            <w:tcW w:w="1454" w:type="dxa"/>
            <w:shd w:val="clear" w:color="auto" w:fill="auto"/>
            <w:noWrap/>
            <w:vAlign w:val="bottom"/>
            <w:hideMark/>
          </w:tcPr>
          <w:p w14:paraId="227506D9" w14:textId="7F2F2003"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0</w:t>
            </w:r>
          </w:p>
        </w:tc>
        <w:tc>
          <w:tcPr>
            <w:tcW w:w="839" w:type="dxa"/>
            <w:shd w:val="clear" w:color="auto" w:fill="auto"/>
            <w:noWrap/>
            <w:vAlign w:val="bottom"/>
            <w:hideMark/>
          </w:tcPr>
          <w:p w14:paraId="7E947BA9" w14:textId="4DEC0EDF"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0%</w:t>
            </w:r>
          </w:p>
        </w:tc>
        <w:tc>
          <w:tcPr>
            <w:tcW w:w="839" w:type="dxa"/>
            <w:shd w:val="clear" w:color="auto" w:fill="auto"/>
            <w:noWrap/>
            <w:vAlign w:val="bottom"/>
            <w:hideMark/>
          </w:tcPr>
          <w:p w14:paraId="2158F184" w14:textId="74035D8C"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0%</w:t>
            </w:r>
          </w:p>
        </w:tc>
      </w:tr>
      <w:tr w:rsidR="000E6FDF" w:rsidRPr="00264869" w14:paraId="579CFE00" w14:textId="77777777" w:rsidTr="005266B1">
        <w:trPr>
          <w:trHeight w:val="461"/>
        </w:trPr>
        <w:tc>
          <w:tcPr>
            <w:tcW w:w="482" w:type="dxa"/>
            <w:shd w:val="clear" w:color="auto" w:fill="auto"/>
            <w:noWrap/>
            <w:vAlign w:val="bottom"/>
            <w:hideMark/>
          </w:tcPr>
          <w:p w14:paraId="72161CCD"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6.</w:t>
            </w:r>
          </w:p>
        </w:tc>
        <w:tc>
          <w:tcPr>
            <w:tcW w:w="2630" w:type="dxa"/>
            <w:shd w:val="clear" w:color="auto" w:fill="auto"/>
            <w:noWrap/>
            <w:vAlign w:val="bottom"/>
            <w:hideMark/>
          </w:tcPr>
          <w:p w14:paraId="555BCC66" w14:textId="7AB4B9BD" w:rsidR="000E6FDF" w:rsidRPr="006936E8" w:rsidRDefault="000E6FDF" w:rsidP="000E6FDF">
            <w:pPr>
              <w:spacing w:after="0" w:line="240" w:lineRule="auto"/>
              <w:rPr>
                <w:rFonts w:eastAsia="Times New Roman" w:cstheme="minorHAnsi"/>
                <w:sz w:val="18"/>
                <w:szCs w:val="18"/>
                <w:lang w:eastAsia="hr-HR"/>
              </w:rPr>
            </w:pPr>
            <w:r w:rsidRPr="006936E8">
              <w:rPr>
                <w:rFonts w:cstheme="minorHAnsi"/>
                <w:sz w:val="18"/>
                <w:szCs w:val="18"/>
              </w:rPr>
              <w:t>Rezerviranja</w:t>
            </w:r>
          </w:p>
        </w:tc>
        <w:tc>
          <w:tcPr>
            <w:tcW w:w="1454" w:type="dxa"/>
            <w:shd w:val="clear" w:color="auto" w:fill="auto"/>
            <w:noWrap/>
            <w:vAlign w:val="bottom"/>
            <w:hideMark/>
          </w:tcPr>
          <w:p w14:paraId="3DBD3C7F" w14:textId="7316B840"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245.506</w:t>
            </w:r>
          </w:p>
        </w:tc>
        <w:tc>
          <w:tcPr>
            <w:tcW w:w="1454" w:type="dxa"/>
            <w:shd w:val="clear" w:color="auto" w:fill="auto"/>
            <w:noWrap/>
            <w:vAlign w:val="bottom"/>
            <w:hideMark/>
          </w:tcPr>
          <w:p w14:paraId="1FC6AD01" w14:textId="340A4DE4"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0</w:t>
            </w:r>
          </w:p>
        </w:tc>
        <w:tc>
          <w:tcPr>
            <w:tcW w:w="1454" w:type="dxa"/>
            <w:shd w:val="clear" w:color="auto" w:fill="auto"/>
            <w:noWrap/>
            <w:vAlign w:val="bottom"/>
            <w:hideMark/>
          </w:tcPr>
          <w:p w14:paraId="23E7C32D" w14:textId="5DF38F9D"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0</w:t>
            </w:r>
          </w:p>
        </w:tc>
        <w:tc>
          <w:tcPr>
            <w:tcW w:w="839" w:type="dxa"/>
            <w:shd w:val="clear" w:color="auto" w:fill="auto"/>
            <w:noWrap/>
            <w:vAlign w:val="bottom"/>
            <w:hideMark/>
          </w:tcPr>
          <w:p w14:paraId="0D375796" w14:textId="2514574C"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0%</w:t>
            </w:r>
          </w:p>
        </w:tc>
        <w:tc>
          <w:tcPr>
            <w:tcW w:w="839" w:type="dxa"/>
            <w:shd w:val="clear" w:color="auto" w:fill="auto"/>
            <w:noWrap/>
            <w:vAlign w:val="bottom"/>
            <w:hideMark/>
          </w:tcPr>
          <w:p w14:paraId="1F27DED9" w14:textId="12CC4C61"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0%</w:t>
            </w:r>
          </w:p>
        </w:tc>
      </w:tr>
      <w:tr w:rsidR="000E6FDF" w:rsidRPr="00264869" w14:paraId="05DA50BE" w14:textId="77777777" w:rsidTr="005266B1">
        <w:trPr>
          <w:trHeight w:val="461"/>
        </w:trPr>
        <w:tc>
          <w:tcPr>
            <w:tcW w:w="482" w:type="dxa"/>
            <w:shd w:val="clear" w:color="auto" w:fill="auto"/>
            <w:noWrap/>
            <w:vAlign w:val="bottom"/>
            <w:hideMark/>
          </w:tcPr>
          <w:p w14:paraId="3CC937AB" w14:textId="77777777" w:rsidR="000E6FDF" w:rsidRPr="006936E8" w:rsidRDefault="000E6FDF" w:rsidP="000E6FDF">
            <w:pPr>
              <w:spacing w:after="0" w:line="240" w:lineRule="auto"/>
              <w:rPr>
                <w:rFonts w:eastAsia="Times New Roman" w:cstheme="minorHAnsi"/>
                <w:sz w:val="18"/>
                <w:szCs w:val="18"/>
                <w:lang w:eastAsia="hr-HR"/>
              </w:rPr>
            </w:pPr>
            <w:r w:rsidRPr="006936E8">
              <w:rPr>
                <w:rFonts w:eastAsia="Times New Roman" w:cstheme="minorHAnsi"/>
                <w:sz w:val="18"/>
                <w:szCs w:val="18"/>
                <w:lang w:eastAsia="hr-HR"/>
              </w:rPr>
              <w:t>7.</w:t>
            </w:r>
          </w:p>
        </w:tc>
        <w:tc>
          <w:tcPr>
            <w:tcW w:w="2630" w:type="dxa"/>
            <w:shd w:val="clear" w:color="auto" w:fill="auto"/>
            <w:noWrap/>
            <w:vAlign w:val="bottom"/>
            <w:hideMark/>
          </w:tcPr>
          <w:p w14:paraId="0E6963A8" w14:textId="05D7E69A" w:rsidR="000E6FDF" w:rsidRPr="006936E8" w:rsidRDefault="000E6FDF" w:rsidP="000E6FDF">
            <w:pPr>
              <w:spacing w:after="0" w:line="240" w:lineRule="auto"/>
              <w:rPr>
                <w:rFonts w:eastAsia="Times New Roman" w:cstheme="minorHAnsi"/>
                <w:sz w:val="18"/>
                <w:szCs w:val="18"/>
                <w:lang w:eastAsia="hr-HR"/>
              </w:rPr>
            </w:pPr>
            <w:r w:rsidRPr="006936E8">
              <w:rPr>
                <w:rFonts w:cstheme="minorHAnsi"/>
                <w:sz w:val="18"/>
                <w:szCs w:val="18"/>
              </w:rPr>
              <w:t>Ostali poslovni rashodi</w:t>
            </w:r>
          </w:p>
        </w:tc>
        <w:tc>
          <w:tcPr>
            <w:tcW w:w="1454" w:type="dxa"/>
            <w:shd w:val="clear" w:color="auto" w:fill="auto"/>
            <w:noWrap/>
            <w:vAlign w:val="bottom"/>
            <w:hideMark/>
          </w:tcPr>
          <w:p w14:paraId="7C20D0E9" w14:textId="4B5300D0"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15.441</w:t>
            </w:r>
          </w:p>
        </w:tc>
        <w:tc>
          <w:tcPr>
            <w:tcW w:w="1454" w:type="dxa"/>
            <w:shd w:val="clear" w:color="auto" w:fill="auto"/>
            <w:noWrap/>
            <w:vAlign w:val="bottom"/>
            <w:hideMark/>
          </w:tcPr>
          <w:p w14:paraId="11FB7348" w14:textId="6F8720A1"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10.000</w:t>
            </w:r>
          </w:p>
        </w:tc>
        <w:tc>
          <w:tcPr>
            <w:tcW w:w="1454" w:type="dxa"/>
            <w:shd w:val="clear" w:color="auto" w:fill="auto"/>
            <w:noWrap/>
            <w:vAlign w:val="bottom"/>
            <w:hideMark/>
          </w:tcPr>
          <w:p w14:paraId="768255B6" w14:textId="2B2819FD" w:rsidR="000E6FDF" w:rsidRPr="000E6FDF" w:rsidRDefault="000E6FDF" w:rsidP="000E6FDF">
            <w:pPr>
              <w:spacing w:after="0" w:line="240" w:lineRule="auto"/>
              <w:jc w:val="center"/>
              <w:rPr>
                <w:rFonts w:eastAsia="Times New Roman" w:cstheme="minorHAnsi"/>
                <w:sz w:val="18"/>
                <w:szCs w:val="18"/>
                <w:lang w:eastAsia="hr-HR"/>
              </w:rPr>
            </w:pPr>
            <w:r w:rsidRPr="000E6FDF">
              <w:rPr>
                <w:rFonts w:cstheme="minorHAnsi"/>
                <w:sz w:val="18"/>
                <w:szCs w:val="18"/>
              </w:rPr>
              <w:t>13.799</w:t>
            </w:r>
          </w:p>
        </w:tc>
        <w:tc>
          <w:tcPr>
            <w:tcW w:w="839" w:type="dxa"/>
            <w:shd w:val="clear" w:color="auto" w:fill="auto"/>
            <w:noWrap/>
            <w:vAlign w:val="bottom"/>
            <w:hideMark/>
          </w:tcPr>
          <w:p w14:paraId="011F2F0B" w14:textId="251EE1BB"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89%</w:t>
            </w:r>
          </w:p>
        </w:tc>
        <w:tc>
          <w:tcPr>
            <w:tcW w:w="839" w:type="dxa"/>
            <w:shd w:val="clear" w:color="auto" w:fill="auto"/>
            <w:noWrap/>
            <w:vAlign w:val="bottom"/>
            <w:hideMark/>
          </w:tcPr>
          <w:p w14:paraId="245C594B" w14:textId="592E9879" w:rsidR="000E6FDF" w:rsidRPr="000E6FDF" w:rsidRDefault="000E6FDF" w:rsidP="000E6FDF">
            <w:pPr>
              <w:spacing w:after="0" w:line="240" w:lineRule="auto"/>
              <w:jc w:val="center"/>
              <w:rPr>
                <w:rFonts w:eastAsia="Times New Roman" w:cstheme="minorHAnsi"/>
                <w:color w:val="000000"/>
                <w:sz w:val="18"/>
                <w:szCs w:val="18"/>
                <w:lang w:eastAsia="hr-HR"/>
              </w:rPr>
            </w:pPr>
            <w:r w:rsidRPr="000E6FDF">
              <w:rPr>
                <w:rFonts w:cstheme="minorHAnsi"/>
                <w:sz w:val="18"/>
                <w:szCs w:val="18"/>
              </w:rPr>
              <w:t>138%</w:t>
            </w:r>
          </w:p>
        </w:tc>
      </w:tr>
      <w:tr w:rsidR="000E6FDF" w:rsidRPr="00264869" w14:paraId="2AB549B0" w14:textId="77777777" w:rsidTr="005266B1">
        <w:trPr>
          <w:trHeight w:val="461"/>
        </w:trPr>
        <w:tc>
          <w:tcPr>
            <w:tcW w:w="482" w:type="dxa"/>
            <w:tcBorders>
              <w:bottom w:val="single" w:sz="4" w:space="0" w:color="auto"/>
            </w:tcBorders>
            <w:shd w:val="clear" w:color="auto" w:fill="auto"/>
            <w:noWrap/>
            <w:vAlign w:val="bottom"/>
            <w:hideMark/>
          </w:tcPr>
          <w:p w14:paraId="2358345F" w14:textId="77777777" w:rsidR="000E6FDF" w:rsidRPr="00A468E6" w:rsidRDefault="000E6FDF" w:rsidP="000E6FDF">
            <w:pPr>
              <w:spacing w:after="0" w:line="240" w:lineRule="auto"/>
              <w:rPr>
                <w:rFonts w:eastAsia="Times New Roman" w:cstheme="minorHAnsi"/>
                <w:b/>
                <w:bCs/>
                <w:sz w:val="18"/>
                <w:szCs w:val="18"/>
                <w:lang w:eastAsia="hr-HR"/>
              </w:rPr>
            </w:pPr>
            <w:r w:rsidRPr="00A468E6">
              <w:rPr>
                <w:rFonts w:eastAsia="Times New Roman" w:cstheme="minorHAnsi"/>
                <w:b/>
                <w:bCs/>
                <w:sz w:val="18"/>
                <w:szCs w:val="18"/>
                <w:lang w:eastAsia="hr-HR"/>
              </w:rPr>
              <w:t>II</w:t>
            </w:r>
          </w:p>
        </w:tc>
        <w:tc>
          <w:tcPr>
            <w:tcW w:w="2630" w:type="dxa"/>
            <w:tcBorders>
              <w:bottom w:val="single" w:sz="4" w:space="0" w:color="auto"/>
            </w:tcBorders>
            <w:shd w:val="clear" w:color="auto" w:fill="auto"/>
            <w:noWrap/>
            <w:vAlign w:val="bottom"/>
            <w:hideMark/>
          </w:tcPr>
          <w:p w14:paraId="09DDEA35" w14:textId="3C0EBC01" w:rsidR="000E6FDF" w:rsidRPr="00A468E6" w:rsidRDefault="000E6FDF" w:rsidP="000E6FDF">
            <w:pPr>
              <w:spacing w:after="0" w:line="240" w:lineRule="auto"/>
              <w:rPr>
                <w:rFonts w:eastAsia="Times New Roman" w:cstheme="minorHAnsi"/>
                <w:b/>
                <w:bCs/>
                <w:sz w:val="18"/>
                <w:szCs w:val="18"/>
                <w:lang w:eastAsia="hr-HR"/>
              </w:rPr>
            </w:pPr>
            <w:r w:rsidRPr="00A468E6">
              <w:rPr>
                <w:rFonts w:cstheme="minorHAnsi"/>
                <w:b/>
                <w:bCs/>
                <w:sz w:val="18"/>
                <w:szCs w:val="18"/>
              </w:rPr>
              <w:t>FINANCIJSKI RASHODI</w:t>
            </w:r>
          </w:p>
        </w:tc>
        <w:tc>
          <w:tcPr>
            <w:tcW w:w="1454" w:type="dxa"/>
            <w:tcBorders>
              <w:bottom w:val="single" w:sz="4" w:space="0" w:color="auto"/>
            </w:tcBorders>
            <w:shd w:val="clear" w:color="auto" w:fill="auto"/>
            <w:noWrap/>
            <w:vAlign w:val="bottom"/>
            <w:hideMark/>
          </w:tcPr>
          <w:p w14:paraId="216EAC3D" w14:textId="6472F426"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141.323</w:t>
            </w:r>
          </w:p>
        </w:tc>
        <w:tc>
          <w:tcPr>
            <w:tcW w:w="1454" w:type="dxa"/>
            <w:tcBorders>
              <w:bottom w:val="single" w:sz="4" w:space="0" w:color="auto"/>
            </w:tcBorders>
            <w:shd w:val="clear" w:color="auto" w:fill="auto"/>
            <w:noWrap/>
            <w:vAlign w:val="bottom"/>
            <w:hideMark/>
          </w:tcPr>
          <w:p w14:paraId="2DD26C1A" w14:textId="7B0351F0"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120.801</w:t>
            </w:r>
          </w:p>
        </w:tc>
        <w:tc>
          <w:tcPr>
            <w:tcW w:w="1454" w:type="dxa"/>
            <w:tcBorders>
              <w:bottom w:val="single" w:sz="4" w:space="0" w:color="auto"/>
            </w:tcBorders>
            <w:shd w:val="clear" w:color="auto" w:fill="auto"/>
            <w:noWrap/>
            <w:vAlign w:val="bottom"/>
            <w:hideMark/>
          </w:tcPr>
          <w:p w14:paraId="7C89EBA9" w14:textId="34DDC5C5"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152.003</w:t>
            </w:r>
          </w:p>
        </w:tc>
        <w:tc>
          <w:tcPr>
            <w:tcW w:w="839" w:type="dxa"/>
            <w:tcBorders>
              <w:bottom w:val="single" w:sz="4" w:space="0" w:color="auto"/>
            </w:tcBorders>
            <w:shd w:val="clear" w:color="auto" w:fill="auto"/>
            <w:noWrap/>
            <w:vAlign w:val="bottom"/>
            <w:hideMark/>
          </w:tcPr>
          <w:p w14:paraId="52229C28" w14:textId="7A20437A" w:rsidR="000E6FDF" w:rsidRPr="000E6FDF" w:rsidRDefault="000E6FDF" w:rsidP="000E6FDF">
            <w:pPr>
              <w:spacing w:after="0" w:line="240" w:lineRule="auto"/>
              <w:jc w:val="center"/>
              <w:rPr>
                <w:rFonts w:eastAsia="Times New Roman" w:cstheme="minorHAnsi"/>
                <w:b/>
                <w:bCs/>
                <w:color w:val="000000"/>
                <w:sz w:val="18"/>
                <w:szCs w:val="18"/>
                <w:lang w:eastAsia="hr-HR"/>
              </w:rPr>
            </w:pPr>
            <w:r w:rsidRPr="000E6FDF">
              <w:rPr>
                <w:rFonts w:cstheme="minorHAnsi"/>
                <w:b/>
                <w:bCs/>
                <w:sz w:val="18"/>
                <w:szCs w:val="18"/>
              </w:rPr>
              <w:t>108%</w:t>
            </w:r>
          </w:p>
        </w:tc>
        <w:tc>
          <w:tcPr>
            <w:tcW w:w="839" w:type="dxa"/>
            <w:tcBorders>
              <w:bottom w:val="single" w:sz="4" w:space="0" w:color="auto"/>
            </w:tcBorders>
            <w:shd w:val="clear" w:color="auto" w:fill="auto"/>
            <w:noWrap/>
            <w:vAlign w:val="bottom"/>
            <w:hideMark/>
          </w:tcPr>
          <w:p w14:paraId="14CD8007" w14:textId="4BDA0AC6" w:rsidR="000E6FDF" w:rsidRPr="000E6FDF" w:rsidRDefault="000E6FDF" w:rsidP="000E6FDF">
            <w:pPr>
              <w:spacing w:after="0" w:line="240" w:lineRule="auto"/>
              <w:jc w:val="center"/>
              <w:rPr>
                <w:rFonts w:eastAsia="Times New Roman" w:cstheme="minorHAnsi"/>
                <w:b/>
                <w:bCs/>
                <w:color w:val="000000"/>
                <w:sz w:val="18"/>
                <w:szCs w:val="18"/>
                <w:lang w:eastAsia="hr-HR"/>
              </w:rPr>
            </w:pPr>
            <w:r w:rsidRPr="000E6FDF">
              <w:rPr>
                <w:rFonts w:cstheme="minorHAnsi"/>
                <w:b/>
                <w:bCs/>
                <w:sz w:val="18"/>
                <w:szCs w:val="18"/>
              </w:rPr>
              <w:t>126%</w:t>
            </w:r>
          </w:p>
        </w:tc>
      </w:tr>
      <w:tr w:rsidR="000E6FDF" w:rsidRPr="00264869" w14:paraId="5B990B7D" w14:textId="77777777" w:rsidTr="005266B1">
        <w:trPr>
          <w:trHeight w:val="461"/>
        </w:trPr>
        <w:tc>
          <w:tcPr>
            <w:tcW w:w="482" w:type="dxa"/>
            <w:tcBorders>
              <w:top w:val="single" w:sz="4" w:space="0" w:color="auto"/>
              <w:bottom w:val="single" w:sz="4" w:space="0" w:color="auto"/>
            </w:tcBorders>
            <w:shd w:val="clear" w:color="auto" w:fill="auto"/>
            <w:noWrap/>
            <w:vAlign w:val="bottom"/>
            <w:hideMark/>
          </w:tcPr>
          <w:p w14:paraId="07D8A0CF" w14:textId="77777777" w:rsidR="000E6FDF" w:rsidRPr="00A468E6" w:rsidRDefault="000E6FDF" w:rsidP="000E6FDF">
            <w:pPr>
              <w:spacing w:after="0" w:line="240" w:lineRule="auto"/>
              <w:rPr>
                <w:rFonts w:eastAsia="Times New Roman" w:cstheme="minorHAnsi"/>
                <w:b/>
                <w:bCs/>
                <w:sz w:val="18"/>
                <w:szCs w:val="18"/>
                <w:lang w:eastAsia="hr-HR"/>
              </w:rPr>
            </w:pPr>
            <w:r w:rsidRPr="00A468E6">
              <w:rPr>
                <w:rFonts w:eastAsia="Times New Roman" w:cstheme="minorHAnsi"/>
                <w:b/>
                <w:bCs/>
                <w:sz w:val="18"/>
                <w:szCs w:val="18"/>
                <w:lang w:eastAsia="hr-HR"/>
              </w:rPr>
              <w:t>III</w:t>
            </w:r>
          </w:p>
        </w:tc>
        <w:tc>
          <w:tcPr>
            <w:tcW w:w="2630" w:type="dxa"/>
            <w:tcBorders>
              <w:top w:val="single" w:sz="4" w:space="0" w:color="auto"/>
              <w:bottom w:val="single" w:sz="4" w:space="0" w:color="auto"/>
            </w:tcBorders>
            <w:shd w:val="clear" w:color="auto" w:fill="auto"/>
            <w:noWrap/>
            <w:vAlign w:val="bottom"/>
            <w:hideMark/>
          </w:tcPr>
          <w:p w14:paraId="1C9DDDB3" w14:textId="1B42207D" w:rsidR="000E6FDF" w:rsidRPr="00A468E6" w:rsidRDefault="000E6FDF" w:rsidP="000E6FDF">
            <w:pPr>
              <w:spacing w:after="0" w:line="240" w:lineRule="auto"/>
              <w:rPr>
                <w:rFonts w:eastAsia="Times New Roman" w:cstheme="minorHAnsi"/>
                <w:b/>
                <w:bCs/>
                <w:sz w:val="18"/>
                <w:szCs w:val="18"/>
                <w:lang w:eastAsia="hr-HR"/>
              </w:rPr>
            </w:pPr>
            <w:r w:rsidRPr="00A468E6">
              <w:rPr>
                <w:rFonts w:cstheme="minorHAnsi"/>
                <w:b/>
                <w:bCs/>
                <w:sz w:val="18"/>
                <w:szCs w:val="18"/>
              </w:rPr>
              <w:t xml:space="preserve">U K U P N I    R A S H O D I </w:t>
            </w:r>
          </w:p>
        </w:tc>
        <w:tc>
          <w:tcPr>
            <w:tcW w:w="1454" w:type="dxa"/>
            <w:tcBorders>
              <w:top w:val="single" w:sz="4" w:space="0" w:color="auto"/>
              <w:bottom w:val="single" w:sz="4" w:space="0" w:color="auto"/>
            </w:tcBorders>
            <w:shd w:val="clear" w:color="auto" w:fill="auto"/>
            <w:noWrap/>
            <w:vAlign w:val="bottom"/>
            <w:hideMark/>
          </w:tcPr>
          <w:p w14:paraId="6F4ECDDA" w14:textId="47E896FD"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12.306.460</w:t>
            </w:r>
          </w:p>
        </w:tc>
        <w:tc>
          <w:tcPr>
            <w:tcW w:w="1454" w:type="dxa"/>
            <w:tcBorders>
              <w:top w:val="single" w:sz="4" w:space="0" w:color="auto"/>
              <w:bottom w:val="single" w:sz="4" w:space="0" w:color="auto"/>
            </w:tcBorders>
            <w:shd w:val="clear" w:color="auto" w:fill="auto"/>
            <w:noWrap/>
            <w:vAlign w:val="bottom"/>
            <w:hideMark/>
          </w:tcPr>
          <w:p w14:paraId="3D3C1C61" w14:textId="19DA2C17"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12.742.209</w:t>
            </w:r>
          </w:p>
        </w:tc>
        <w:tc>
          <w:tcPr>
            <w:tcW w:w="1454" w:type="dxa"/>
            <w:tcBorders>
              <w:top w:val="single" w:sz="4" w:space="0" w:color="auto"/>
              <w:bottom w:val="single" w:sz="4" w:space="0" w:color="auto"/>
            </w:tcBorders>
            <w:shd w:val="clear" w:color="auto" w:fill="auto"/>
            <w:noWrap/>
            <w:vAlign w:val="bottom"/>
            <w:hideMark/>
          </w:tcPr>
          <w:p w14:paraId="46199C90" w14:textId="0C082F3F" w:rsidR="000E6FDF" w:rsidRPr="000E6FDF" w:rsidRDefault="000E6FDF" w:rsidP="000E6FDF">
            <w:pPr>
              <w:spacing w:after="0" w:line="240" w:lineRule="auto"/>
              <w:jc w:val="center"/>
              <w:rPr>
                <w:rFonts w:eastAsia="Times New Roman" w:cstheme="minorHAnsi"/>
                <w:b/>
                <w:bCs/>
                <w:sz w:val="18"/>
                <w:szCs w:val="18"/>
                <w:lang w:eastAsia="hr-HR"/>
              </w:rPr>
            </w:pPr>
            <w:r w:rsidRPr="000E6FDF">
              <w:rPr>
                <w:rFonts w:cstheme="minorHAnsi"/>
                <w:b/>
                <w:bCs/>
                <w:sz w:val="18"/>
                <w:szCs w:val="18"/>
              </w:rPr>
              <w:t>12.587.887</w:t>
            </w:r>
          </w:p>
        </w:tc>
        <w:tc>
          <w:tcPr>
            <w:tcW w:w="839" w:type="dxa"/>
            <w:tcBorders>
              <w:top w:val="single" w:sz="4" w:space="0" w:color="auto"/>
              <w:bottom w:val="single" w:sz="4" w:space="0" w:color="auto"/>
            </w:tcBorders>
            <w:shd w:val="clear" w:color="auto" w:fill="auto"/>
            <w:noWrap/>
            <w:vAlign w:val="bottom"/>
            <w:hideMark/>
          </w:tcPr>
          <w:p w14:paraId="5F982CA8" w14:textId="4C18FFE0" w:rsidR="000E6FDF" w:rsidRPr="000E6FDF" w:rsidRDefault="000E6FDF" w:rsidP="000E6FDF">
            <w:pPr>
              <w:spacing w:after="0" w:line="240" w:lineRule="auto"/>
              <w:jc w:val="center"/>
              <w:rPr>
                <w:rFonts w:eastAsia="Times New Roman" w:cstheme="minorHAnsi"/>
                <w:b/>
                <w:bCs/>
                <w:color w:val="000000"/>
                <w:sz w:val="18"/>
                <w:szCs w:val="18"/>
                <w:lang w:eastAsia="hr-HR"/>
              </w:rPr>
            </w:pPr>
            <w:r w:rsidRPr="000E6FDF">
              <w:rPr>
                <w:rFonts w:cstheme="minorHAnsi"/>
                <w:b/>
                <w:bCs/>
                <w:sz w:val="18"/>
                <w:szCs w:val="18"/>
              </w:rPr>
              <w:t>102%</w:t>
            </w:r>
          </w:p>
        </w:tc>
        <w:tc>
          <w:tcPr>
            <w:tcW w:w="839" w:type="dxa"/>
            <w:tcBorders>
              <w:top w:val="single" w:sz="4" w:space="0" w:color="auto"/>
              <w:bottom w:val="single" w:sz="4" w:space="0" w:color="auto"/>
            </w:tcBorders>
            <w:shd w:val="clear" w:color="auto" w:fill="auto"/>
            <w:noWrap/>
            <w:vAlign w:val="bottom"/>
            <w:hideMark/>
          </w:tcPr>
          <w:p w14:paraId="6BF61BE5" w14:textId="5524353A" w:rsidR="000E6FDF" w:rsidRPr="000E6FDF" w:rsidRDefault="000E6FDF" w:rsidP="000E6FDF">
            <w:pPr>
              <w:spacing w:after="0" w:line="240" w:lineRule="auto"/>
              <w:jc w:val="center"/>
              <w:rPr>
                <w:rFonts w:eastAsia="Times New Roman" w:cstheme="minorHAnsi"/>
                <w:b/>
                <w:bCs/>
                <w:color w:val="000000"/>
                <w:sz w:val="18"/>
                <w:szCs w:val="18"/>
                <w:lang w:eastAsia="hr-HR"/>
              </w:rPr>
            </w:pPr>
            <w:r w:rsidRPr="000E6FDF">
              <w:rPr>
                <w:rFonts w:cstheme="minorHAnsi"/>
                <w:b/>
                <w:bCs/>
                <w:sz w:val="18"/>
                <w:szCs w:val="18"/>
              </w:rPr>
              <w:t>99%</w:t>
            </w:r>
          </w:p>
        </w:tc>
      </w:tr>
    </w:tbl>
    <w:p w14:paraId="4F8DAB67" w14:textId="77777777" w:rsidR="00B95F24" w:rsidRPr="00840E6B" w:rsidRDefault="00B95F24" w:rsidP="00E76286"/>
    <w:p w14:paraId="770288E8" w14:textId="33BDFCD2" w:rsidR="00745437" w:rsidRPr="00745437" w:rsidRDefault="00745437" w:rsidP="00A301ED">
      <w:pPr>
        <w:spacing w:line="360" w:lineRule="auto"/>
        <w:jc w:val="both"/>
      </w:pPr>
      <w:r w:rsidRPr="00CB3323">
        <w:rPr>
          <w:b/>
          <w:bCs/>
        </w:rPr>
        <w:t>Poslovni rashodi</w:t>
      </w:r>
      <w:r w:rsidRPr="00745437">
        <w:t xml:space="preserve"> realizirani su u iznosu od 12.</w:t>
      </w:r>
      <w:r w:rsidR="00753D36">
        <w:t>435.884</w:t>
      </w:r>
      <w:r w:rsidRPr="00745437">
        <w:t xml:space="preserve"> eura</w:t>
      </w:r>
      <w:r w:rsidR="003A74F2">
        <w:t xml:space="preserve"> što je također </w:t>
      </w:r>
      <w:r w:rsidR="00753D36">
        <w:t>1</w:t>
      </w:r>
      <w:r w:rsidR="003A74F2">
        <w:t xml:space="preserve">% </w:t>
      </w:r>
      <w:r w:rsidR="00753D36">
        <w:t>manje</w:t>
      </w:r>
      <w:r w:rsidR="003A74F2">
        <w:t xml:space="preserve"> </w:t>
      </w:r>
      <w:r w:rsidR="00C119C6">
        <w:t>u odnosu na rebalans plana ali</w:t>
      </w:r>
      <w:r w:rsidR="003A74F2">
        <w:t xml:space="preserve"> </w:t>
      </w:r>
      <w:r w:rsidR="00753D36">
        <w:t>2</w:t>
      </w:r>
      <w:r w:rsidR="003A74F2">
        <w:t>% više</w:t>
      </w:r>
      <w:r w:rsidR="00753D36">
        <w:t xml:space="preserve"> u odnosu </w:t>
      </w:r>
      <w:r w:rsidR="00C119C6">
        <w:t>na prethodnu</w:t>
      </w:r>
      <w:r w:rsidR="003A74F2">
        <w:t xml:space="preserve"> godin</w:t>
      </w:r>
      <w:r w:rsidR="00753D36">
        <w:t>u</w:t>
      </w:r>
      <w:r w:rsidR="003A74F2">
        <w:t>.</w:t>
      </w:r>
      <w:r w:rsidR="00183028">
        <w:t xml:space="preserve"> Poslovni rashodi uključuju materijalne troškove, troškove osoblja, amortizaciju, ostale troškove, vrijednosna usklađenja, rezerviranja i ostale poslovne rashode.</w:t>
      </w:r>
    </w:p>
    <w:p w14:paraId="6B99080D" w14:textId="333B348B" w:rsidR="00E9501A" w:rsidRDefault="00A301ED" w:rsidP="006A7E6C">
      <w:pPr>
        <w:spacing w:line="360" w:lineRule="auto"/>
        <w:jc w:val="both"/>
        <w:rPr>
          <w:rFonts w:cstheme="minorHAnsi"/>
        </w:rPr>
      </w:pPr>
      <w:r w:rsidRPr="00CB3323">
        <w:rPr>
          <w:b/>
          <w:bCs/>
        </w:rPr>
        <w:t>Materijalni troškovi</w:t>
      </w:r>
      <w:r w:rsidRPr="00913B9A">
        <w:rPr>
          <w:b/>
          <w:bCs/>
        </w:rPr>
        <w:t xml:space="preserve"> </w:t>
      </w:r>
      <w:r w:rsidRPr="000E424A">
        <w:t xml:space="preserve">iznose </w:t>
      </w:r>
      <w:r w:rsidR="005401AB" w:rsidRPr="005401AB">
        <w:t>6.</w:t>
      </w:r>
      <w:r w:rsidR="00753D36">
        <w:t>887.748</w:t>
      </w:r>
      <w:r w:rsidR="005401AB">
        <w:t xml:space="preserve"> eura</w:t>
      </w:r>
      <w:r w:rsidR="00FD64C4">
        <w:t>,</w:t>
      </w:r>
      <w:r w:rsidR="00FD64C4" w:rsidRPr="00FD64C4">
        <w:t xml:space="preserve"> što je 3% manje u odnosu na plan, ali 2% više u odnosu na 2023. godinu. Ova kategorija obuhvaća troškove sirovina i materijala te ostale vanjske troškove </w:t>
      </w:r>
      <w:r w:rsidR="006A7E6C">
        <w:t xml:space="preserve">koji su detaljnije pojašnjeni </w:t>
      </w:r>
      <w:r w:rsidR="006A7E6C" w:rsidRPr="00FD64C4">
        <w:t>u nastavku izvješća</w:t>
      </w:r>
      <w:r w:rsidR="005266B1">
        <w:t>.</w:t>
      </w:r>
      <w:r w:rsidR="006A7E6C" w:rsidRPr="00840E6B">
        <w:rPr>
          <w:rFonts w:cstheme="minorHAnsi"/>
        </w:rPr>
        <w:t xml:space="preserve"> </w:t>
      </w:r>
    </w:p>
    <w:p w14:paraId="4FAEF730" w14:textId="754F3145" w:rsidR="00E9501A" w:rsidRPr="00344E76" w:rsidRDefault="00E9501A" w:rsidP="00344E76">
      <w:pPr>
        <w:pStyle w:val="Heading3"/>
      </w:pPr>
      <w:bookmarkStart w:id="57" w:name="_Toc200094286"/>
      <w:r w:rsidRPr="00344E76">
        <w:lastRenderedPageBreak/>
        <w:t>3.2.1.Troškovi sirovina i materijala</w:t>
      </w:r>
      <w:bookmarkEnd w:id="57"/>
    </w:p>
    <w:p w14:paraId="31FD684C" w14:textId="7A222C22" w:rsidR="00E9501A" w:rsidRPr="00E9501A" w:rsidRDefault="00E9501A" w:rsidP="00E9501A">
      <w:pPr>
        <w:spacing w:before="240" w:line="360" w:lineRule="auto"/>
        <w:jc w:val="both"/>
      </w:pPr>
      <w:r w:rsidRPr="006902BE">
        <w:t>Troškovi sirovina i materijala u 2024. godini iznosili su 1.828.386 eura, što predstavlja smanjenje od 9% u odnosu na prethodnu godinu te odstupanje od 1% u odnosu na</w:t>
      </w:r>
      <w:r>
        <w:t xml:space="preserve"> </w:t>
      </w:r>
      <w:r w:rsidRPr="006902BE">
        <w:t>rebalans plana. Najznačajnije stavke unutar ove kategorije i dalje čine troškovi električne energije (789.195 eura), folije za prekrivanje ploha (413.240 eura), goriva (231.156 eura) i rezervnih dijelova (149.880 eura).</w:t>
      </w:r>
    </w:p>
    <w:p w14:paraId="6F3BC999" w14:textId="70F940A6" w:rsidR="00B95F24" w:rsidRPr="00936B85" w:rsidRDefault="00B95F24" w:rsidP="005266B1">
      <w:pPr>
        <w:spacing w:line="360" w:lineRule="auto"/>
        <w:jc w:val="both"/>
        <w:rPr>
          <w:rFonts w:cstheme="minorHAnsi"/>
        </w:rPr>
      </w:pPr>
      <w:bookmarkStart w:id="58" w:name="_Toc200366457"/>
      <w:r w:rsidRPr="006A7E6C">
        <w:rPr>
          <w:rFonts w:cstheme="minorHAnsi"/>
          <w:b/>
          <w:bCs/>
        </w:rPr>
        <w:t xml:space="preserve">Tablica </w:t>
      </w:r>
      <w:r w:rsidRPr="006A7E6C">
        <w:rPr>
          <w:rFonts w:cstheme="minorHAnsi"/>
          <w:b/>
          <w:bCs/>
        </w:rPr>
        <w:fldChar w:fldCharType="begin"/>
      </w:r>
      <w:r w:rsidRPr="006A7E6C">
        <w:rPr>
          <w:rFonts w:cstheme="minorHAnsi"/>
          <w:b/>
          <w:bCs/>
        </w:rPr>
        <w:instrText xml:space="preserve"> SEQ Tablica \* ARABIC </w:instrText>
      </w:r>
      <w:r w:rsidRPr="006A7E6C">
        <w:rPr>
          <w:rFonts w:cstheme="minorHAnsi"/>
          <w:b/>
          <w:bCs/>
        </w:rPr>
        <w:fldChar w:fldCharType="separate"/>
      </w:r>
      <w:r w:rsidR="00A1075A">
        <w:rPr>
          <w:rFonts w:cstheme="minorHAnsi"/>
          <w:b/>
          <w:bCs/>
          <w:noProof/>
        </w:rPr>
        <w:t>19</w:t>
      </w:r>
      <w:r w:rsidRPr="006A7E6C">
        <w:rPr>
          <w:rFonts w:cstheme="minorHAnsi"/>
          <w:b/>
          <w:bCs/>
        </w:rPr>
        <w:fldChar w:fldCharType="end"/>
      </w:r>
      <w:r w:rsidRPr="006A7E6C">
        <w:rPr>
          <w:rFonts w:cstheme="minorHAnsi"/>
          <w:b/>
          <w:bCs/>
        </w:rPr>
        <w:t>.</w:t>
      </w:r>
      <w:r w:rsidRPr="00840E6B">
        <w:rPr>
          <w:rFonts w:cstheme="minorHAnsi"/>
        </w:rPr>
        <w:t xml:space="preserve"> Troškovi sirovina i materijala</w:t>
      </w:r>
      <w:bookmarkEnd w:id="58"/>
    </w:p>
    <w:tbl>
      <w:tblPr>
        <w:tblW w:w="911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2894"/>
        <w:gridCol w:w="1376"/>
        <w:gridCol w:w="1376"/>
        <w:gridCol w:w="1376"/>
        <w:gridCol w:w="714"/>
        <w:gridCol w:w="706"/>
      </w:tblGrid>
      <w:tr w:rsidR="00922AAE" w:rsidRPr="00922AAE" w14:paraId="4327520A" w14:textId="77777777" w:rsidTr="005266B1">
        <w:trPr>
          <w:trHeight w:val="647"/>
        </w:trPr>
        <w:tc>
          <w:tcPr>
            <w:tcW w:w="675" w:type="dxa"/>
            <w:tcBorders>
              <w:top w:val="single" w:sz="4" w:space="0" w:color="auto"/>
              <w:bottom w:val="single" w:sz="4" w:space="0" w:color="auto"/>
            </w:tcBorders>
            <w:shd w:val="clear" w:color="auto" w:fill="auto"/>
            <w:noWrap/>
            <w:vAlign w:val="center"/>
            <w:hideMark/>
          </w:tcPr>
          <w:p w14:paraId="108955B0" w14:textId="2A5CDFD6" w:rsidR="00922AAE" w:rsidRPr="00922AAE" w:rsidRDefault="00922AAE" w:rsidP="00922AAE">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R. br.</w:t>
            </w:r>
          </w:p>
        </w:tc>
        <w:tc>
          <w:tcPr>
            <w:tcW w:w="2894" w:type="dxa"/>
            <w:tcBorders>
              <w:top w:val="single" w:sz="4" w:space="0" w:color="auto"/>
              <w:bottom w:val="single" w:sz="4" w:space="0" w:color="auto"/>
            </w:tcBorders>
            <w:shd w:val="clear" w:color="auto" w:fill="auto"/>
            <w:noWrap/>
            <w:vAlign w:val="center"/>
            <w:hideMark/>
          </w:tcPr>
          <w:p w14:paraId="7FA8F05D" w14:textId="57359AB5" w:rsidR="00922AAE" w:rsidRPr="00922AAE" w:rsidRDefault="00922AAE" w:rsidP="00922AAE">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 xml:space="preserve">O p i s </w:t>
            </w:r>
          </w:p>
        </w:tc>
        <w:tc>
          <w:tcPr>
            <w:tcW w:w="1376" w:type="dxa"/>
            <w:tcBorders>
              <w:top w:val="single" w:sz="4" w:space="0" w:color="auto"/>
              <w:bottom w:val="single" w:sz="4" w:space="0" w:color="auto"/>
            </w:tcBorders>
            <w:shd w:val="clear" w:color="auto" w:fill="auto"/>
            <w:noWrap/>
            <w:vAlign w:val="center"/>
            <w:hideMark/>
          </w:tcPr>
          <w:p w14:paraId="0F1A1F2B" w14:textId="111E9C30" w:rsidR="00922AAE" w:rsidRPr="00922AAE" w:rsidRDefault="00922AAE" w:rsidP="00922AAE">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Ostvarenje 202</w:t>
            </w:r>
            <w:r w:rsidR="00806058">
              <w:rPr>
                <w:rFonts w:eastAsia="Times New Roman" w:cstheme="minorHAnsi"/>
                <w:b/>
                <w:bCs/>
                <w:sz w:val="18"/>
                <w:szCs w:val="18"/>
                <w:lang w:eastAsia="hr-HR"/>
              </w:rPr>
              <w:t>3</w:t>
            </w:r>
          </w:p>
        </w:tc>
        <w:tc>
          <w:tcPr>
            <w:tcW w:w="1376" w:type="dxa"/>
            <w:tcBorders>
              <w:top w:val="single" w:sz="4" w:space="0" w:color="auto"/>
              <w:bottom w:val="single" w:sz="4" w:space="0" w:color="auto"/>
            </w:tcBorders>
            <w:shd w:val="clear" w:color="auto" w:fill="auto"/>
            <w:noWrap/>
            <w:vAlign w:val="center"/>
            <w:hideMark/>
          </w:tcPr>
          <w:p w14:paraId="782A6000" w14:textId="5741C6F7" w:rsidR="00922AAE" w:rsidRPr="00922AAE" w:rsidRDefault="00922AAE" w:rsidP="00922AAE">
            <w:pPr>
              <w:spacing w:after="0" w:line="240" w:lineRule="auto"/>
              <w:jc w:val="center"/>
              <w:rPr>
                <w:rFonts w:eastAsia="Times New Roman" w:cstheme="minorHAnsi"/>
                <w:b/>
                <w:bCs/>
                <w:sz w:val="18"/>
                <w:szCs w:val="18"/>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sidR="00806058">
              <w:rPr>
                <w:rFonts w:eastAsia="Times New Roman" w:cstheme="minorHAnsi"/>
                <w:b/>
                <w:bCs/>
                <w:sz w:val="18"/>
                <w:szCs w:val="18"/>
                <w:lang w:eastAsia="hr-HR"/>
              </w:rPr>
              <w:t>4</w:t>
            </w:r>
          </w:p>
        </w:tc>
        <w:tc>
          <w:tcPr>
            <w:tcW w:w="1376" w:type="dxa"/>
            <w:tcBorders>
              <w:top w:val="single" w:sz="4" w:space="0" w:color="auto"/>
              <w:bottom w:val="single" w:sz="4" w:space="0" w:color="auto"/>
            </w:tcBorders>
            <w:shd w:val="clear" w:color="auto" w:fill="auto"/>
            <w:noWrap/>
            <w:vAlign w:val="center"/>
            <w:hideMark/>
          </w:tcPr>
          <w:p w14:paraId="0CB1E6B9" w14:textId="32C8C4B5" w:rsidR="00922AAE" w:rsidRPr="00922AAE" w:rsidRDefault="00922AAE" w:rsidP="00922AAE">
            <w:pPr>
              <w:spacing w:after="0" w:line="240" w:lineRule="auto"/>
              <w:jc w:val="center"/>
              <w:rPr>
                <w:rFonts w:eastAsia="Times New Roman" w:cstheme="minorHAnsi"/>
                <w:b/>
                <w:bCs/>
                <w:sz w:val="18"/>
                <w:szCs w:val="18"/>
                <w:lang w:eastAsia="hr-HR"/>
              </w:rPr>
            </w:pPr>
            <w:r w:rsidRPr="00264869">
              <w:rPr>
                <w:rFonts w:eastAsia="Times New Roman" w:cstheme="minorHAnsi"/>
                <w:b/>
                <w:bCs/>
                <w:sz w:val="18"/>
                <w:szCs w:val="18"/>
                <w:lang w:eastAsia="hr-HR"/>
              </w:rPr>
              <w:t>Ostvarenje 202</w:t>
            </w:r>
            <w:r w:rsidR="00806058">
              <w:rPr>
                <w:rFonts w:eastAsia="Times New Roman" w:cstheme="minorHAnsi"/>
                <w:b/>
                <w:bCs/>
                <w:sz w:val="18"/>
                <w:szCs w:val="18"/>
                <w:lang w:eastAsia="hr-HR"/>
              </w:rPr>
              <w:t>4</w:t>
            </w:r>
          </w:p>
        </w:tc>
        <w:tc>
          <w:tcPr>
            <w:tcW w:w="714" w:type="dxa"/>
            <w:tcBorders>
              <w:top w:val="single" w:sz="4" w:space="0" w:color="auto"/>
              <w:bottom w:val="single" w:sz="4" w:space="0" w:color="auto"/>
            </w:tcBorders>
            <w:shd w:val="clear" w:color="auto" w:fill="auto"/>
            <w:noWrap/>
            <w:vAlign w:val="center"/>
            <w:hideMark/>
          </w:tcPr>
          <w:p w14:paraId="1FED1177" w14:textId="10A565CF" w:rsidR="00922AAE" w:rsidRPr="00922AAE" w:rsidRDefault="00922AAE" w:rsidP="00922AAE">
            <w:pPr>
              <w:spacing w:after="0" w:line="240" w:lineRule="auto"/>
              <w:jc w:val="center"/>
              <w:rPr>
                <w:rFonts w:eastAsia="Times New Roman" w:cstheme="minorHAnsi"/>
                <w:b/>
                <w:bCs/>
                <w:color w:val="000000"/>
                <w:sz w:val="18"/>
                <w:szCs w:val="18"/>
                <w:lang w:eastAsia="hr-HR"/>
              </w:rPr>
            </w:pPr>
            <w:r w:rsidRPr="00264869">
              <w:rPr>
                <w:rFonts w:eastAsia="Times New Roman" w:cstheme="minorHAnsi"/>
                <w:b/>
                <w:bCs/>
                <w:color w:val="000000"/>
                <w:sz w:val="18"/>
                <w:szCs w:val="18"/>
                <w:lang w:eastAsia="hr-HR"/>
              </w:rPr>
              <w:t>index   (5/3)</w:t>
            </w:r>
          </w:p>
        </w:tc>
        <w:tc>
          <w:tcPr>
            <w:tcW w:w="706" w:type="dxa"/>
            <w:tcBorders>
              <w:top w:val="single" w:sz="4" w:space="0" w:color="auto"/>
              <w:bottom w:val="single" w:sz="4" w:space="0" w:color="auto"/>
            </w:tcBorders>
            <w:shd w:val="clear" w:color="auto" w:fill="auto"/>
            <w:noWrap/>
            <w:vAlign w:val="center"/>
            <w:hideMark/>
          </w:tcPr>
          <w:p w14:paraId="64C3B5EE" w14:textId="02976310" w:rsidR="00922AAE" w:rsidRPr="00922AAE" w:rsidRDefault="00922AAE" w:rsidP="00922AAE">
            <w:pPr>
              <w:spacing w:after="0" w:line="240" w:lineRule="auto"/>
              <w:jc w:val="center"/>
              <w:rPr>
                <w:rFonts w:eastAsia="Times New Roman" w:cstheme="minorHAnsi"/>
                <w:b/>
                <w:bCs/>
                <w:color w:val="000000"/>
                <w:sz w:val="18"/>
                <w:szCs w:val="18"/>
                <w:lang w:eastAsia="hr-HR"/>
              </w:rPr>
            </w:pPr>
            <w:r w:rsidRPr="00264869">
              <w:rPr>
                <w:rFonts w:eastAsia="Times New Roman" w:cstheme="minorHAnsi"/>
                <w:b/>
                <w:bCs/>
                <w:color w:val="000000"/>
                <w:sz w:val="18"/>
                <w:szCs w:val="18"/>
                <w:lang w:eastAsia="hr-HR"/>
              </w:rPr>
              <w:t>indeks (5/4)</w:t>
            </w:r>
          </w:p>
        </w:tc>
      </w:tr>
      <w:tr w:rsidR="00C845B2" w:rsidRPr="00922AAE" w14:paraId="098CE952" w14:textId="77777777" w:rsidTr="005266B1">
        <w:trPr>
          <w:trHeight w:val="117"/>
        </w:trPr>
        <w:tc>
          <w:tcPr>
            <w:tcW w:w="675" w:type="dxa"/>
            <w:tcBorders>
              <w:top w:val="single" w:sz="4" w:space="0" w:color="auto"/>
              <w:bottom w:val="single" w:sz="4" w:space="0" w:color="auto"/>
            </w:tcBorders>
            <w:shd w:val="clear" w:color="auto" w:fill="auto"/>
            <w:noWrap/>
            <w:vAlign w:val="bottom"/>
          </w:tcPr>
          <w:p w14:paraId="2FCC1A91" w14:textId="74F1C274" w:rsidR="00C845B2" w:rsidRPr="00922AAE" w:rsidRDefault="00C845B2" w:rsidP="00C845B2">
            <w:pPr>
              <w:spacing w:after="0" w:line="240" w:lineRule="auto"/>
              <w:jc w:val="center"/>
              <w:rPr>
                <w:rFonts w:eastAsia="Times New Roman" w:cstheme="minorHAnsi"/>
                <w:b/>
                <w:bCs/>
                <w:sz w:val="14"/>
                <w:szCs w:val="14"/>
                <w:lang w:eastAsia="hr-HR"/>
              </w:rPr>
            </w:pPr>
            <w:r w:rsidRPr="00922AAE">
              <w:rPr>
                <w:rFonts w:eastAsia="Times New Roman" w:cstheme="minorHAnsi"/>
                <w:i/>
                <w:iCs/>
                <w:color w:val="BFBFBF"/>
                <w:sz w:val="14"/>
                <w:szCs w:val="14"/>
                <w:lang w:eastAsia="hr-HR"/>
              </w:rPr>
              <w:t>1</w:t>
            </w:r>
          </w:p>
        </w:tc>
        <w:tc>
          <w:tcPr>
            <w:tcW w:w="2894" w:type="dxa"/>
            <w:tcBorders>
              <w:top w:val="single" w:sz="4" w:space="0" w:color="auto"/>
              <w:bottom w:val="single" w:sz="4" w:space="0" w:color="auto"/>
            </w:tcBorders>
            <w:shd w:val="clear" w:color="auto" w:fill="auto"/>
            <w:noWrap/>
            <w:vAlign w:val="bottom"/>
          </w:tcPr>
          <w:p w14:paraId="4423F14F" w14:textId="79BDCE7A" w:rsidR="00C845B2" w:rsidRPr="00922AAE" w:rsidRDefault="00C845B2" w:rsidP="00C845B2">
            <w:pPr>
              <w:spacing w:after="0" w:line="240" w:lineRule="auto"/>
              <w:jc w:val="center"/>
              <w:rPr>
                <w:rFonts w:eastAsia="Times New Roman" w:cstheme="minorHAnsi"/>
                <w:b/>
                <w:bCs/>
                <w:sz w:val="14"/>
                <w:szCs w:val="14"/>
                <w:lang w:eastAsia="hr-HR"/>
              </w:rPr>
            </w:pPr>
            <w:r w:rsidRPr="00922AAE">
              <w:rPr>
                <w:rFonts w:eastAsia="Times New Roman" w:cstheme="minorHAnsi"/>
                <w:i/>
                <w:iCs/>
                <w:color w:val="BFBFBF"/>
                <w:sz w:val="14"/>
                <w:szCs w:val="14"/>
                <w:lang w:eastAsia="hr-HR"/>
              </w:rPr>
              <w:t>2</w:t>
            </w:r>
          </w:p>
        </w:tc>
        <w:tc>
          <w:tcPr>
            <w:tcW w:w="1376" w:type="dxa"/>
            <w:tcBorders>
              <w:top w:val="single" w:sz="4" w:space="0" w:color="auto"/>
              <w:bottom w:val="single" w:sz="4" w:space="0" w:color="auto"/>
            </w:tcBorders>
            <w:shd w:val="clear" w:color="auto" w:fill="auto"/>
            <w:noWrap/>
            <w:vAlign w:val="bottom"/>
          </w:tcPr>
          <w:p w14:paraId="31ED4C3A" w14:textId="01A725B8" w:rsidR="00C845B2" w:rsidRPr="00922AAE" w:rsidRDefault="00C845B2" w:rsidP="00C845B2">
            <w:pPr>
              <w:spacing w:after="0" w:line="240" w:lineRule="auto"/>
              <w:jc w:val="center"/>
              <w:rPr>
                <w:rFonts w:eastAsia="Times New Roman" w:cstheme="minorHAnsi"/>
                <w:b/>
                <w:bCs/>
                <w:sz w:val="14"/>
                <w:szCs w:val="14"/>
                <w:lang w:eastAsia="hr-HR"/>
              </w:rPr>
            </w:pPr>
            <w:r w:rsidRPr="00922AAE">
              <w:rPr>
                <w:rFonts w:eastAsia="Times New Roman" w:cstheme="minorHAnsi"/>
                <w:i/>
                <w:iCs/>
                <w:color w:val="BFBFBF"/>
                <w:sz w:val="14"/>
                <w:szCs w:val="14"/>
                <w:lang w:eastAsia="hr-HR"/>
              </w:rPr>
              <w:t>3</w:t>
            </w:r>
          </w:p>
        </w:tc>
        <w:tc>
          <w:tcPr>
            <w:tcW w:w="1376" w:type="dxa"/>
            <w:tcBorders>
              <w:top w:val="single" w:sz="4" w:space="0" w:color="auto"/>
              <w:bottom w:val="single" w:sz="4" w:space="0" w:color="auto"/>
            </w:tcBorders>
            <w:shd w:val="clear" w:color="auto" w:fill="auto"/>
            <w:noWrap/>
            <w:vAlign w:val="bottom"/>
          </w:tcPr>
          <w:p w14:paraId="77920F74" w14:textId="045EC004" w:rsidR="00C845B2" w:rsidRPr="00922AAE" w:rsidRDefault="00C845B2" w:rsidP="00C845B2">
            <w:pPr>
              <w:spacing w:after="0" w:line="240" w:lineRule="auto"/>
              <w:jc w:val="center"/>
              <w:rPr>
                <w:rFonts w:eastAsia="Times New Roman" w:cstheme="minorHAnsi"/>
                <w:b/>
                <w:bCs/>
                <w:sz w:val="14"/>
                <w:szCs w:val="14"/>
                <w:lang w:eastAsia="hr-HR"/>
              </w:rPr>
            </w:pPr>
            <w:r w:rsidRPr="00922AAE">
              <w:rPr>
                <w:rFonts w:eastAsia="Times New Roman" w:cstheme="minorHAnsi"/>
                <w:i/>
                <w:iCs/>
                <w:color w:val="BFBFBF"/>
                <w:sz w:val="14"/>
                <w:szCs w:val="14"/>
                <w:lang w:eastAsia="hr-HR"/>
              </w:rPr>
              <w:t>4</w:t>
            </w:r>
          </w:p>
        </w:tc>
        <w:tc>
          <w:tcPr>
            <w:tcW w:w="1376" w:type="dxa"/>
            <w:tcBorders>
              <w:top w:val="single" w:sz="4" w:space="0" w:color="auto"/>
              <w:bottom w:val="single" w:sz="4" w:space="0" w:color="auto"/>
            </w:tcBorders>
            <w:shd w:val="clear" w:color="auto" w:fill="auto"/>
            <w:noWrap/>
            <w:vAlign w:val="bottom"/>
          </w:tcPr>
          <w:p w14:paraId="3967D2CC" w14:textId="41F90776" w:rsidR="00C845B2" w:rsidRPr="00922AAE" w:rsidRDefault="00C845B2" w:rsidP="00C845B2">
            <w:pPr>
              <w:spacing w:after="0" w:line="240" w:lineRule="auto"/>
              <w:jc w:val="center"/>
              <w:rPr>
                <w:rFonts w:eastAsia="Times New Roman" w:cstheme="minorHAnsi"/>
                <w:b/>
                <w:bCs/>
                <w:sz w:val="14"/>
                <w:szCs w:val="14"/>
                <w:lang w:eastAsia="hr-HR"/>
              </w:rPr>
            </w:pPr>
            <w:r w:rsidRPr="00922AAE">
              <w:rPr>
                <w:rFonts w:eastAsia="Times New Roman" w:cstheme="minorHAnsi"/>
                <w:i/>
                <w:iCs/>
                <w:color w:val="BFBFBF"/>
                <w:sz w:val="14"/>
                <w:szCs w:val="14"/>
                <w:lang w:eastAsia="hr-HR"/>
              </w:rPr>
              <w:t>5</w:t>
            </w:r>
          </w:p>
        </w:tc>
        <w:tc>
          <w:tcPr>
            <w:tcW w:w="714" w:type="dxa"/>
            <w:tcBorders>
              <w:top w:val="single" w:sz="4" w:space="0" w:color="auto"/>
              <w:bottom w:val="single" w:sz="4" w:space="0" w:color="auto"/>
            </w:tcBorders>
            <w:shd w:val="clear" w:color="auto" w:fill="auto"/>
            <w:noWrap/>
            <w:vAlign w:val="bottom"/>
          </w:tcPr>
          <w:p w14:paraId="5F0EA71C" w14:textId="09A00D13" w:rsidR="00C845B2" w:rsidRPr="00922AAE" w:rsidRDefault="00C845B2" w:rsidP="00C845B2">
            <w:pPr>
              <w:spacing w:after="0" w:line="240" w:lineRule="auto"/>
              <w:jc w:val="center"/>
              <w:rPr>
                <w:rFonts w:eastAsia="Times New Roman" w:cstheme="minorHAnsi"/>
                <w:b/>
                <w:bCs/>
                <w:color w:val="000000"/>
                <w:sz w:val="14"/>
                <w:szCs w:val="14"/>
                <w:lang w:eastAsia="hr-HR"/>
              </w:rPr>
            </w:pPr>
            <w:r w:rsidRPr="00922AAE">
              <w:rPr>
                <w:rFonts w:eastAsia="Times New Roman" w:cstheme="minorHAnsi"/>
                <w:i/>
                <w:iCs/>
                <w:color w:val="BFBFBF"/>
                <w:sz w:val="14"/>
                <w:szCs w:val="14"/>
                <w:lang w:eastAsia="hr-HR"/>
              </w:rPr>
              <w:t>6</w:t>
            </w:r>
          </w:p>
        </w:tc>
        <w:tc>
          <w:tcPr>
            <w:tcW w:w="706" w:type="dxa"/>
            <w:tcBorders>
              <w:top w:val="single" w:sz="4" w:space="0" w:color="auto"/>
              <w:bottom w:val="single" w:sz="4" w:space="0" w:color="auto"/>
            </w:tcBorders>
            <w:shd w:val="clear" w:color="auto" w:fill="auto"/>
            <w:noWrap/>
            <w:vAlign w:val="bottom"/>
          </w:tcPr>
          <w:p w14:paraId="502DD68E" w14:textId="5C2245E7" w:rsidR="00C845B2" w:rsidRPr="00922AAE" w:rsidRDefault="00C845B2" w:rsidP="00C845B2">
            <w:pPr>
              <w:spacing w:after="0" w:line="240" w:lineRule="auto"/>
              <w:jc w:val="center"/>
              <w:rPr>
                <w:rFonts w:eastAsia="Times New Roman" w:cstheme="minorHAnsi"/>
                <w:b/>
                <w:bCs/>
                <w:color w:val="000000"/>
                <w:sz w:val="14"/>
                <w:szCs w:val="14"/>
                <w:lang w:eastAsia="hr-HR"/>
              </w:rPr>
            </w:pPr>
            <w:r w:rsidRPr="00922AAE">
              <w:rPr>
                <w:rFonts w:eastAsia="Times New Roman" w:cstheme="minorHAnsi"/>
                <w:i/>
                <w:iCs/>
                <w:color w:val="BFBFBF"/>
                <w:sz w:val="14"/>
                <w:szCs w:val="14"/>
                <w:lang w:eastAsia="hr-HR"/>
              </w:rPr>
              <w:t>7</w:t>
            </w:r>
          </w:p>
        </w:tc>
      </w:tr>
      <w:tr w:rsidR="006A7E6C" w:rsidRPr="00922AAE" w14:paraId="1F27E069" w14:textId="77777777" w:rsidTr="005266B1">
        <w:trPr>
          <w:trHeight w:val="353"/>
        </w:trPr>
        <w:tc>
          <w:tcPr>
            <w:tcW w:w="675" w:type="dxa"/>
            <w:tcBorders>
              <w:top w:val="single" w:sz="4" w:space="0" w:color="auto"/>
            </w:tcBorders>
            <w:shd w:val="clear" w:color="auto" w:fill="auto"/>
            <w:noWrap/>
            <w:vAlign w:val="bottom"/>
          </w:tcPr>
          <w:p w14:paraId="14707F48" w14:textId="4026B3EC" w:rsidR="006A7E6C" w:rsidRPr="00922AAE" w:rsidRDefault="006A7E6C" w:rsidP="006A7E6C">
            <w:pPr>
              <w:spacing w:after="0" w:line="240" w:lineRule="auto"/>
              <w:rPr>
                <w:rFonts w:eastAsia="Times New Roman" w:cstheme="minorHAnsi"/>
                <w:b/>
                <w:bCs/>
                <w:sz w:val="18"/>
                <w:szCs w:val="18"/>
                <w:lang w:eastAsia="hr-HR"/>
              </w:rPr>
            </w:pPr>
            <w:r w:rsidRPr="00922AAE">
              <w:rPr>
                <w:rFonts w:cstheme="minorHAnsi"/>
                <w:b/>
                <w:bCs/>
                <w:sz w:val="18"/>
                <w:szCs w:val="18"/>
              </w:rPr>
              <w:t>1.1</w:t>
            </w:r>
          </w:p>
        </w:tc>
        <w:tc>
          <w:tcPr>
            <w:tcW w:w="2894" w:type="dxa"/>
            <w:tcBorders>
              <w:top w:val="single" w:sz="4" w:space="0" w:color="auto"/>
            </w:tcBorders>
            <w:shd w:val="clear" w:color="auto" w:fill="auto"/>
            <w:noWrap/>
            <w:vAlign w:val="bottom"/>
          </w:tcPr>
          <w:p w14:paraId="3ACFA4AE" w14:textId="221DD648" w:rsidR="006A7E6C" w:rsidRPr="00922AAE" w:rsidRDefault="006A7E6C" w:rsidP="006A7E6C">
            <w:pPr>
              <w:spacing w:after="0" w:line="240" w:lineRule="auto"/>
              <w:rPr>
                <w:rFonts w:eastAsia="Times New Roman" w:cstheme="minorHAnsi"/>
                <w:b/>
                <w:bCs/>
                <w:sz w:val="18"/>
                <w:szCs w:val="18"/>
                <w:lang w:eastAsia="hr-HR"/>
              </w:rPr>
            </w:pPr>
            <w:r w:rsidRPr="00922AAE">
              <w:rPr>
                <w:rFonts w:cstheme="minorHAnsi"/>
                <w:b/>
                <w:bCs/>
                <w:sz w:val="18"/>
                <w:szCs w:val="18"/>
              </w:rPr>
              <w:t>Troškovi sirovina i materijala</w:t>
            </w:r>
          </w:p>
        </w:tc>
        <w:tc>
          <w:tcPr>
            <w:tcW w:w="1376" w:type="dxa"/>
            <w:tcBorders>
              <w:top w:val="single" w:sz="4" w:space="0" w:color="auto"/>
            </w:tcBorders>
            <w:shd w:val="clear" w:color="auto" w:fill="auto"/>
            <w:noWrap/>
            <w:vAlign w:val="bottom"/>
          </w:tcPr>
          <w:p w14:paraId="4AED718A" w14:textId="3AC0CAB7" w:rsidR="006A7E6C" w:rsidRPr="006A7E6C" w:rsidRDefault="006A7E6C" w:rsidP="006A7E6C">
            <w:pPr>
              <w:spacing w:after="0" w:line="240" w:lineRule="auto"/>
              <w:jc w:val="center"/>
              <w:rPr>
                <w:rFonts w:ascii="Calibri" w:eastAsia="Times New Roman" w:hAnsi="Calibri" w:cs="Calibri"/>
                <w:b/>
                <w:bCs/>
                <w:sz w:val="18"/>
                <w:szCs w:val="18"/>
                <w:lang w:eastAsia="hr-HR"/>
              </w:rPr>
            </w:pPr>
            <w:r w:rsidRPr="006A7E6C">
              <w:rPr>
                <w:rFonts w:ascii="Calibri" w:hAnsi="Calibri" w:cs="Calibri"/>
                <w:b/>
                <w:bCs/>
                <w:sz w:val="18"/>
                <w:szCs w:val="18"/>
              </w:rPr>
              <w:t>2.013.860</w:t>
            </w:r>
          </w:p>
        </w:tc>
        <w:tc>
          <w:tcPr>
            <w:tcW w:w="1376" w:type="dxa"/>
            <w:tcBorders>
              <w:top w:val="single" w:sz="4" w:space="0" w:color="auto"/>
            </w:tcBorders>
            <w:shd w:val="clear" w:color="auto" w:fill="auto"/>
            <w:noWrap/>
            <w:vAlign w:val="bottom"/>
          </w:tcPr>
          <w:p w14:paraId="12299C2B" w14:textId="1FCD2165" w:rsidR="006A7E6C" w:rsidRPr="006A7E6C" w:rsidRDefault="006A7E6C" w:rsidP="006A7E6C">
            <w:pPr>
              <w:spacing w:after="0" w:line="240" w:lineRule="auto"/>
              <w:jc w:val="center"/>
              <w:rPr>
                <w:rFonts w:ascii="Calibri" w:eastAsia="Times New Roman" w:hAnsi="Calibri" w:cs="Calibri"/>
                <w:b/>
                <w:bCs/>
                <w:sz w:val="18"/>
                <w:szCs w:val="18"/>
                <w:lang w:eastAsia="hr-HR"/>
              </w:rPr>
            </w:pPr>
            <w:r w:rsidRPr="006A7E6C">
              <w:rPr>
                <w:rFonts w:ascii="Calibri" w:hAnsi="Calibri" w:cs="Calibri"/>
                <w:b/>
                <w:bCs/>
                <w:sz w:val="18"/>
                <w:szCs w:val="18"/>
              </w:rPr>
              <w:t>1.843.454</w:t>
            </w:r>
          </w:p>
        </w:tc>
        <w:tc>
          <w:tcPr>
            <w:tcW w:w="1376" w:type="dxa"/>
            <w:tcBorders>
              <w:top w:val="single" w:sz="4" w:space="0" w:color="auto"/>
            </w:tcBorders>
            <w:shd w:val="clear" w:color="auto" w:fill="auto"/>
            <w:noWrap/>
            <w:vAlign w:val="bottom"/>
          </w:tcPr>
          <w:p w14:paraId="6158D9B6" w14:textId="1FEC9873" w:rsidR="006A7E6C" w:rsidRPr="006A7E6C" w:rsidRDefault="006A7E6C" w:rsidP="006A7E6C">
            <w:pPr>
              <w:spacing w:after="0" w:line="240" w:lineRule="auto"/>
              <w:jc w:val="center"/>
              <w:rPr>
                <w:rFonts w:ascii="Calibri" w:eastAsia="Times New Roman" w:hAnsi="Calibri" w:cs="Calibri"/>
                <w:b/>
                <w:bCs/>
                <w:sz w:val="18"/>
                <w:szCs w:val="18"/>
                <w:lang w:eastAsia="hr-HR"/>
              </w:rPr>
            </w:pPr>
            <w:r w:rsidRPr="006A7E6C">
              <w:rPr>
                <w:rFonts w:ascii="Calibri" w:hAnsi="Calibri" w:cs="Calibri"/>
                <w:b/>
                <w:bCs/>
                <w:sz w:val="18"/>
                <w:szCs w:val="18"/>
              </w:rPr>
              <w:t>1.828.386</w:t>
            </w:r>
          </w:p>
        </w:tc>
        <w:tc>
          <w:tcPr>
            <w:tcW w:w="714" w:type="dxa"/>
            <w:tcBorders>
              <w:top w:val="single" w:sz="4" w:space="0" w:color="auto"/>
            </w:tcBorders>
            <w:shd w:val="clear" w:color="auto" w:fill="auto"/>
            <w:noWrap/>
            <w:vAlign w:val="bottom"/>
          </w:tcPr>
          <w:p w14:paraId="28A50EE2" w14:textId="0C5D2F6D" w:rsidR="006A7E6C" w:rsidRPr="006A7E6C" w:rsidRDefault="006A7E6C" w:rsidP="006A7E6C">
            <w:pPr>
              <w:spacing w:after="0" w:line="240" w:lineRule="auto"/>
              <w:jc w:val="center"/>
              <w:rPr>
                <w:rFonts w:ascii="Calibri" w:eastAsia="Times New Roman" w:hAnsi="Calibri" w:cs="Calibri"/>
                <w:b/>
                <w:bCs/>
                <w:color w:val="000000"/>
                <w:sz w:val="18"/>
                <w:szCs w:val="18"/>
                <w:lang w:eastAsia="hr-HR"/>
              </w:rPr>
            </w:pPr>
            <w:r w:rsidRPr="006A7E6C">
              <w:rPr>
                <w:rFonts w:ascii="Calibri" w:hAnsi="Calibri" w:cs="Calibri"/>
                <w:b/>
                <w:bCs/>
                <w:sz w:val="18"/>
                <w:szCs w:val="18"/>
              </w:rPr>
              <w:t>91%</w:t>
            </w:r>
          </w:p>
        </w:tc>
        <w:tc>
          <w:tcPr>
            <w:tcW w:w="706" w:type="dxa"/>
            <w:tcBorders>
              <w:top w:val="single" w:sz="4" w:space="0" w:color="auto"/>
            </w:tcBorders>
            <w:shd w:val="clear" w:color="auto" w:fill="auto"/>
            <w:noWrap/>
            <w:vAlign w:val="bottom"/>
          </w:tcPr>
          <w:p w14:paraId="5F38BFED" w14:textId="559B18E7" w:rsidR="006A7E6C" w:rsidRPr="006A7E6C" w:rsidRDefault="006A7E6C" w:rsidP="006A7E6C">
            <w:pPr>
              <w:spacing w:after="0" w:line="240" w:lineRule="auto"/>
              <w:jc w:val="center"/>
              <w:rPr>
                <w:rFonts w:ascii="Calibri" w:eastAsia="Times New Roman" w:hAnsi="Calibri" w:cs="Calibri"/>
                <w:b/>
                <w:bCs/>
                <w:color w:val="000000"/>
                <w:sz w:val="18"/>
                <w:szCs w:val="18"/>
                <w:lang w:eastAsia="hr-HR"/>
              </w:rPr>
            </w:pPr>
            <w:r w:rsidRPr="006A7E6C">
              <w:rPr>
                <w:rFonts w:ascii="Calibri" w:hAnsi="Calibri" w:cs="Calibri"/>
                <w:b/>
                <w:bCs/>
                <w:sz w:val="18"/>
                <w:szCs w:val="18"/>
              </w:rPr>
              <w:t>99%</w:t>
            </w:r>
          </w:p>
        </w:tc>
      </w:tr>
      <w:tr w:rsidR="006A7E6C" w:rsidRPr="00922AAE" w14:paraId="71ED9A37" w14:textId="77777777" w:rsidTr="005266B1">
        <w:trPr>
          <w:trHeight w:val="353"/>
        </w:trPr>
        <w:tc>
          <w:tcPr>
            <w:tcW w:w="675" w:type="dxa"/>
            <w:shd w:val="clear" w:color="auto" w:fill="auto"/>
            <w:noWrap/>
            <w:vAlign w:val="bottom"/>
            <w:hideMark/>
          </w:tcPr>
          <w:p w14:paraId="568316A8" w14:textId="5B16A341"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1.1.1</w:t>
            </w:r>
          </w:p>
        </w:tc>
        <w:tc>
          <w:tcPr>
            <w:tcW w:w="2894" w:type="dxa"/>
            <w:shd w:val="clear" w:color="auto" w:fill="auto"/>
            <w:noWrap/>
            <w:vAlign w:val="bottom"/>
            <w:hideMark/>
          </w:tcPr>
          <w:p w14:paraId="7E0920BD" w14:textId="269A75A4"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 xml:space="preserve">Potrošni materijal </w:t>
            </w:r>
          </w:p>
        </w:tc>
        <w:tc>
          <w:tcPr>
            <w:tcW w:w="1376" w:type="dxa"/>
            <w:shd w:val="clear" w:color="auto" w:fill="auto"/>
            <w:noWrap/>
            <w:vAlign w:val="bottom"/>
            <w:hideMark/>
          </w:tcPr>
          <w:p w14:paraId="3F3A0093" w14:textId="261CFC53"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55.339</w:t>
            </w:r>
          </w:p>
        </w:tc>
        <w:tc>
          <w:tcPr>
            <w:tcW w:w="1376" w:type="dxa"/>
            <w:shd w:val="clear" w:color="auto" w:fill="auto"/>
            <w:noWrap/>
            <w:vAlign w:val="bottom"/>
            <w:hideMark/>
          </w:tcPr>
          <w:p w14:paraId="2F34E271" w14:textId="06EA324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75.000</w:t>
            </w:r>
          </w:p>
        </w:tc>
        <w:tc>
          <w:tcPr>
            <w:tcW w:w="1376" w:type="dxa"/>
            <w:shd w:val="clear" w:color="auto" w:fill="auto"/>
            <w:noWrap/>
            <w:vAlign w:val="bottom"/>
            <w:hideMark/>
          </w:tcPr>
          <w:p w14:paraId="1ADFD721" w14:textId="13C72F5A"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76.462</w:t>
            </w:r>
          </w:p>
        </w:tc>
        <w:tc>
          <w:tcPr>
            <w:tcW w:w="714" w:type="dxa"/>
            <w:shd w:val="clear" w:color="auto" w:fill="auto"/>
            <w:noWrap/>
            <w:vAlign w:val="bottom"/>
            <w:hideMark/>
          </w:tcPr>
          <w:p w14:paraId="184CCACF" w14:textId="7E20F164"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138%</w:t>
            </w:r>
          </w:p>
        </w:tc>
        <w:tc>
          <w:tcPr>
            <w:tcW w:w="706" w:type="dxa"/>
            <w:shd w:val="clear" w:color="auto" w:fill="auto"/>
            <w:noWrap/>
            <w:vAlign w:val="bottom"/>
            <w:hideMark/>
          </w:tcPr>
          <w:p w14:paraId="550D150E" w14:textId="4649E376"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102%</w:t>
            </w:r>
          </w:p>
        </w:tc>
      </w:tr>
      <w:tr w:rsidR="006A7E6C" w:rsidRPr="00922AAE" w14:paraId="1E4EABF4" w14:textId="77777777" w:rsidTr="005266B1">
        <w:trPr>
          <w:trHeight w:val="353"/>
        </w:trPr>
        <w:tc>
          <w:tcPr>
            <w:tcW w:w="675" w:type="dxa"/>
            <w:shd w:val="clear" w:color="auto" w:fill="auto"/>
            <w:noWrap/>
            <w:vAlign w:val="bottom"/>
            <w:hideMark/>
          </w:tcPr>
          <w:p w14:paraId="434231E8" w14:textId="77C7E2E2"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1.1.2</w:t>
            </w:r>
          </w:p>
        </w:tc>
        <w:tc>
          <w:tcPr>
            <w:tcW w:w="2894" w:type="dxa"/>
            <w:shd w:val="clear" w:color="000000" w:fill="FFFFFF"/>
            <w:noWrap/>
            <w:vAlign w:val="bottom"/>
            <w:hideMark/>
          </w:tcPr>
          <w:p w14:paraId="5D8169EC" w14:textId="2BDABA4A"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Jalovina</w:t>
            </w:r>
          </w:p>
        </w:tc>
        <w:tc>
          <w:tcPr>
            <w:tcW w:w="1376" w:type="dxa"/>
            <w:shd w:val="clear" w:color="auto" w:fill="auto"/>
            <w:noWrap/>
            <w:vAlign w:val="bottom"/>
            <w:hideMark/>
          </w:tcPr>
          <w:p w14:paraId="48C95801" w14:textId="16EFB59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11.740</w:t>
            </w:r>
          </w:p>
        </w:tc>
        <w:tc>
          <w:tcPr>
            <w:tcW w:w="1376" w:type="dxa"/>
            <w:shd w:val="clear" w:color="auto" w:fill="auto"/>
            <w:noWrap/>
            <w:vAlign w:val="bottom"/>
            <w:hideMark/>
          </w:tcPr>
          <w:p w14:paraId="6F41ECF6" w14:textId="40BAD050"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20.000</w:t>
            </w:r>
          </w:p>
        </w:tc>
        <w:tc>
          <w:tcPr>
            <w:tcW w:w="1376" w:type="dxa"/>
            <w:shd w:val="clear" w:color="auto" w:fill="auto"/>
            <w:noWrap/>
            <w:vAlign w:val="bottom"/>
            <w:hideMark/>
          </w:tcPr>
          <w:p w14:paraId="4F2C87F6" w14:textId="0E1A416B"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18.601</w:t>
            </w:r>
          </w:p>
        </w:tc>
        <w:tc>
          <w:tcPr>
            <w:tcW w:w="714" w:type="dxa"/>
            <w:shd w:val="clear" w:color="auto" w:fill="auto"/>
            <w:noWrap/>
            <w:vAlign w:val="bottom"/>
            <w:hideMark/>
          </w:tcPr>
          <w:p w14:paraId="7A68C619" w14:textId="2A93EDF2"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158%</w:t>
            </w:r>
          </w:p>
        </w:tc>
        <w:tc>
          <w:tcPr>
            <w:tcW w:w="706" w:type="dxa"/>
            <w:shd w:val="clear" w:color="auto" w:fill="auto"/>
            <w:noWrap/>
            <w:vAlign w:val="bottom"/>
            <w:hideMark/>
          </w:tcPr>
          <w:p w14:paraId="2084B634" w14:textId="3DC677C7"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93%</w:t>
            </w:r>
          </w:p>
        </w:tc>
      </w:tr>
      <w:tr w:rsidR="006A7E6C" w:rsidRPr="00922AAE" w14:paraId="381FF546" w14:textId="77777777" w:rsidTr="005266B1">
        <w:trPr>
          <w:trHeight w:val="353"/>
        </w:trPr>
        <w:tc>
          <w:tcPr>
            <w:tcW w:w="675" w:type="dxa"/>
            <w:shd w:val="clear" w:color="auto" w:fill="auto"/>
            <w:noWrap/>
            <w:vAlign w:val="bottom"/>
            <w:hideMark/>
          </w:tcPr>
          <w:p w14:paraId="4B2778EC" w14:textId="472246A2"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1.1.3</w:t>
            </w:r>
          </w:p>
        </w:tc>
        <w:tc>
          <w:tcPr>
            <w:tcW w:w="2894" w:type="dxa"/>
            <w:shd w:val="clear" w:color="000000" w:fill="FFFFFF"/>
            <w:noWrap/>
            <w:vAlign w:val="bottom"/>
            <w:hideMark/>
          </w:tcPr>
          <w:p w14:paraId="4456C1F0" w14:textId="5D8A7BFF"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Folija</w:t>
            </w:r>
          </w:p>
        </w:tc>
        <w:tc>
          <w:tcPr>
            <w:tcW w:w="1376" w:type="dxa"/>
            <w:shd w:val="clear" w:color="auto" w:fill="auto"/>
            <w:noWrap/>
            <w:vAlign w:val="bottom"/>
            <w:hideMark/>
          </w:tcPr>
          <w:p w14:paraId="4F5AE39C" w14:textId="1CD1CBA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271.516</w:t>
            </w:r>
          </w:p>
        </w:tc>
        <w:tc>
          <w:tcPr>
            <w:tcW w:w="1376" w:type="dxa"/>
            <w:shd w:val="clear" w:color="auto" w:fill="auto"/>
            <w:noWrap/>
            <w:vAlign w:val="bottom"/>
            <w:hideMark/>
          </w:tcPr>
          <w:p w14:paraId="6CDAC630" w14:textId="144092C9"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435.000</w:t>
            </w:r>
          </w:p>
        </w:tc>
        <w:tc>
          <w:tcPr>
            <w:tcW w:w="1376" w:type="dxa"/>
            <w:shd w:val="clear" w:color="auto" w:fill="auto"/>
            <w:noWrap/>
            <w:vAlign w:val="bottom"/>
            <w:hideMark/>
          </w:tcPr>
          <w:p w14:paraId="1FF21C92" w14:textId="57FD2749"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413.240</w:t>
            </w:r>
          </w:p>
        </w:tc>
        <w:tc>
          <w:tcPr>
            <w:tcW w:w="714" w:type="dxa"/>
            <w:shd w:val="clear" w:color="auto" w:fill="auto"/>
            <w:noWrap/>
            <w:vAlign w:val="bottom"/>
            <w:hideMark/>
          </w:tcPr>
          <w:p w14:paraId="263ECDB4" w14:textId="12F2B1F0"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152%</w:t>
            </w:r>
          </w:p>
        </w:tc>
        <w:tc>
          <w:tcPr>
            <w:tcW w:w="706" w:type="dxa"/>
            <w:shd w:val="clear" w:color="auto" w:fill="auto"/>
            <w:noWrap/>
            <w:vAlign w:val="bottom"/>
            <w:hideMark/>
          </w:tcPr>
          <w:p w14:paraId="526642DD" w14:textId="511C0880"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95%</w:t>
            </w:r>
          </w:p>
        </w:tc>
      </w:tr>
      <w:tr w:rsidR="006A7E6C" w:rsidRPr="00922AAE" w14:paraId="098FE3F3" w14:textId="77777777" w:rsidTr="005266B1">
        <w:trPr>
          <w:trHeight w:val="353"/>
        </w:trPr>
        <w:tc>
          <w:tcPr>
            <w:tcW w:w="675" w:type="dxa"/>
            <w:shd w:val="clear" w:color="auto" w:fill="auto"/>
            <w:noWrap/>
            <w:vAlign w:val="bottom"/>
            <w:hideMark/>
          </w:tcPr>
          <w:p w14:paraId="158AF1A4" w14:textId="2EE3A656"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w:t>
            </w:r>
            <w:r>
              <w:rPr>
                <w:rFonts w:cstheme="minorHAnsi"/>
                <w:sz w:val="18"/>
                <w:szCs w:val="18"/>
              </w:rPr>
              <w:t>4</w:t>
            </w:r>
          </w:p>
        </w:tc>
        <w:tc>
          <w:tcPr>
            <w:tcW w:w="2894" w:type="dxa"/>
            <w:shd w:val="clear" w:color="000000" w:fill="FFFFFF"/>
            <w:noWrap/>
            <w:vAlign w:val="bottom"/>
            <w:hideMark/>
          </w:tcPr>
          <w:p w14:paraId="0E64D721" w14:textId="1A55FEC3"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Otopine (kemikalije, lužine i sl.)</w:t>
            </w:r>
          </w:p>
        </w:tc>
        <w:tc>
          <w:tcPr>
            <w:tcW w:w="1376" w:type="dxa"/>
            <w:shd w:val="clear" w:color="auto" w:fill="auto"/>
            <w:noWrap/>
            <w:vAlign w:val="bottom"/>
            <w:hideMark/>
          </w:tcPr>
          <w:p w14:paraId="4D9DC974" w14:textId="0E27DEAE"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10.341</w:t>
            </w:r>
          </w:p>
        </w:tc>
        <w:tc>
          <w:tcPr>
            <w:tcW w:w="1376" w:type="dxa"/>
            <w:shd w:val="clear" w:color="auto" w:fill="auto"/>
            <w:noWrap/>
            <w:vAlign w:val="bottom"/>
            <w:hideMark/>
          </w:tcPr>
          <w:p w14:paraId="39465762" w14:textId="6869E6E2"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13.249</w:t>
            </w:r>
          </w:p>
        </w:tc>
        <w:tc>
          <w:tcPr>
            <w:tcW w:w="1376" w:type="dxa"/>
            <w:shd w:val="clear" w:color="auto" w:fill="auto"/>
            <w:noWrap/>
            <w:vAlign w:val="bottom"/>
            <w:hideMark/>
          </w:tcPr>
          <w:p w14:paraId="5A932830" w14:textId="30972595"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12.186</w:t>
            </w:r>
          </w:p>
        </w:tc>
        <w:tc>
          <w:tcPr>
            <w:tcW w:w="714" w:type="dxa"/>
            <w:shd w:val="clear" w:color="auto" w:fill="auto"/>
            <w:noWrap/>
            <w:vAlign w:val="bottom"/>
            <w:hideMark/>
          </w:tcPr>
          <w:p w14:paraId="5A798E41" w14:textId="06D56B15"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118%</w:t>
            </w:r>
          </w:p>
        </w:tc>
        <w:tc>
          <w:tcPr>
            <w:tcW w:w="706" w:type="dxa"/>
            <w:shd w:val="clear" w:color="auto" w:fill="auto"/>
            <w:noWrap/>
            <w:vAlign w:val="bottom"/>
            <w:hideMark/>
          </w:tcPr>
          <w:p w14:paraId="04534522" w14:textId="0B0087D9"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92%</w:t>
            </w:r>
          </w:p>
        </w:tc>
      </w:tr>
      <w:tr w:rsidR="006A7E6C" w:rsidRPr="00922AAE" w14:paraId="5004CC8C" w14:textId="77777777" w:rsidTr="005266B1">
        <w:trPr>
          <w:trHeight w:val="353"/>
        </w:trPr>
        <w:tc>
          <w:tcPr>
            <w:tcW w:w="675" w:type="dxa"/>
            <w:shd w:val="clear" w:color="auto" w:fill="auto"/>
            <w:noWrap/>
            <w:vAlign w:val="bottom"/>
            <w:hideMark/>
          </w:tcPr>
          <w:p w14:paraId="70289666" w14:textId="3C871F9F"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w:t>
            </w:r>
            <w:r>
              <w:rPr>
                <w:rFonts w:cstheme="minorHAnsi"/>
                <w:sz w:val="18"/>
                <w:szCs w:val="18"/>
              </w:rPr>
              <w:t>5</w:t>
            </w:r>
          </w:p>
        </w:tc>
        <w:tc>
          <w:tcPr>
            <w:tcW w:w="2894" w:type="dxa"/>
            <w:shd w:val="clear" w:color="auto" w:fill="auto"/>
            <w:noWrap/>
            <w:vAlign w:val="bottom"/>
            <w:hideMark/>
          </w:tcPr>
          <w:p w14:paraId="601EBEF0" w14:textId="23D63249"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Potrošni materijal za čišćenje</w:t>
            </w:r>
          </w:p>
        </w:tc>
        <w:tc>
          <w:tcPr>
            <w:tcW w:w="1376" w:type="dxa"/>
            <w:shd w:val="clear" w:color="auto" w:fill="auto"/>
            <w:noWrap/>
            <w:vAlign w:val="bottom"/>
            <w:hideMark/>
          </w:tcPr>
          <w:p w14:paraId="168FEF02" w14:textId="724F6F55"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4.998</w:t>
            </w:r>
          </w:p>
        </w:tc>
        <w:tc>
          <w:tcPr>
            <w:tcW w:w="1376" w:type="dxa"/>
            <w:shd w:val="clear" w:color="auto" w:fill="auto"/>
            <w:noWrap/>
            <w:vAlign w:val="bottom"/>
            <w:hideMark/>
          </w:tcPr>
          <w:p w14:paraId="2AD0CFD5" w14:textId="79E01D5C"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9.000</w:t>
            </w:r>
          </w:p>
        </w:tc>
        <w:tc>
          <w:tcPr>
            <w:tcW w:w="1376" w:type="dxa"/>
            <w:shd w:val="clear" w:color="auto" w:fill="auto"/>
            <w:noWrap/>
            <w:vAlign w:val="bottom"/>
            <w:hideMark/>
          </w:tcPr>
          <w:p w14:paraId="27C1E962" w14:textId="33D3FB61"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8.476</w:t>
            </w:r>
          </w:p>
        </w:tc>
        <w:tc>
          <w:tcPr>
            <w:tcW w:w="714" w:type="dxa"/>
            <w:shd w:val="clear" w:color="auto" w:fill="auto"/>
            <w:noWrap/>
            <w:vAlign w:val="bottom"/>
            <w:hideMark/>
          </w:tcPr>
          <w:p w14:paraId="5523279F" w14:textId="778E67CF"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170%</w:t>
            </w:r>
          </w:p>
        </w:tc>
        <w:tc>
          <w:tcPr>
            <w:tcW w:w="706" w:type="dxa"/>
            <w:shd w:val="clear" w:color="auto" w:fill="auto"/>
            <w:noWrap/>
            <w:vAlign w:val="bottom"/>
            <w:hideMark/>
          </w:tcPr>
          <w:p w14:paraId="40B3E27E" w14:textId="5E35FFC7"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94%</w:t>
            </w:r>
          </w:p>
        </w:tc>
      </w:tr>
      <w:tr w:rsidR="006A7E6C" w:rsidRPr="00922AAE" w14:paraId="06446085" w14:textId="77777777" w:rsidTr="005266B1">
        <w:trPr>
          <w:trHeight w:val="353"/>
        </w:trPr>
        <w:tc>
          <w:tcPr>
            <w:tcW w:w="675" w:type="dxa"/>
            <w:shd w:val="clear" w:color="auto" w:fill="auto"/>
            <w:noWrap/>
            <w:vAlign w:val="bottom"/>
            <w:hideMark/>
          </w:tcPr>
          <w:p w14:paraId="6327E95B" w14:textId="510DA5E4"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w:t>
            </w:r>
            <w:r>
              <w:rPr>
                <w:rFonts w:cstheme="minorHAnsi"/>
                <w:sz w:val="18"/>
                <w:szCs w:val="18"/>
              </w:rPr>
              <w:t>6</w:t>
            </w:r>
          </w:p>
        </w:tc>
        <w:tc>
          <w:tcPr>
            <w:tcW w:w="2894" w:type="dxa"/>
            <w:shd w:val="clear" w:color="auto" w:fill="auto"/>
            <w:noWrap/>
            <w:vAlign w:val="bottom"/>
            <w:hideMark/>
          </w:tcPr>
          <w:p w14:paraId="0D302160" w14:textId="0DF7E222"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Radna i zaštitna odjeća i obuća</w:t>
            </w:r>
          </w:p>
        </w:tc>
        <w:tc>
          <w:tcPr>
            <w:tcW w:w="1376" w:type="dxa"/>
            <w:shd w:val="clear" w:color="auto" w:fill="auto"/>
            <w:noWrap/>
            <w:vAlign w:val="bottom"/>
            <w:hideMark/>
          </w:tcPr>
          <w:p w14:paraId="0A7D2723" w14:textId="6AA504C4"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29.868</w:t>
            </w:r>
          </w:p>
        </w:tc>
        <w:tc>
          <w:tcPr>
            <w:tcW w:w="1376" w:type="dxa"/>
            <w:shd w:val="clear" w:color="auto" w:fill="auto"/>
            <w:noWrap/>
            <w:vAlign w:val="bottom"/>
            <w:hideMark/>
          </w:tcPr>
          <w:p w14:paraId="7E531339" w14:textId="4ADD9F7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35.984</w:t>
            </w:r>
          </w:p>
        </w:tc>
        <w:tc>
          <w:tcPr>
            <w:tcW w:w="1376" w:type="dxa"/>
            <w:shd w:val="clear" w:color="auto" w:fill="auto"/>
            <w:noWrap/>
            <w:vAlign w:val="bottom"/>
            <w:hideMark/>
          </w:tcPr>
          <w:p w14:paraId="541563AC" w14:textId="0E9BDFC9"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40.544</w:t>
            </w:r>
          </w:p>
        </w:tc>
        <w:tc>
          <w:tcPr>
            <w:tcW w:w="714" w:type="dxa"/>
            <w:shd w:val="clear" w:color="auto" w:fill="auto"/>
            <w:noWrap/>
            <w:vAlign w:val="bottom"/>
            <w:hideMark/>
          </w:tcPr>
          <w:p w14:paraId="539DA1F6" w14:textId="444EFEBF"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136%</w:t>
            </w:r>
          </w:p>
        </w:tc>
        <w:tc>
          <w:tcPr>
            <w:tcW w:w="706" w:type="dxa"/>
            <w:shd w:val="clear" w:color="auto" w:fill="auto"/>
            <w:noWrap/>
            <w:vAlign w:val="bottom"/>
            <w:hideMark/>
          </w:tcPr>
          <w:p w14:paraId="615B4A75" w14:textId="14CD9B15"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113%</w:t>
            </w:r>
          </w:p>
        </w:tc>
      </w:tr>
      <w:tr w:rsidR="006A7E6C" w:rsidRPr="00922AAE" w14:paraId="2BB063A0" w14:textId="77777777" w:rsidTr="005266B1">
        <w:trPr>
          <w:trHeight w:val="353"/>
        </w:trPr>
        <w:tc>
          <w:tcPr>
            <w:tcW w:w="675" w:type="dxa"/>
            <w:shd w:val="clear" w:color="auto" w:fill="auto"/>
            <w:noWrap/>
            <w:vAlign w:val="bottom"/>
            <w:hideMark/>
          </w:tcPr>
          <w:p w14:paraId="08378505" w14:textId="4826899C"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w:t>
            </w:r>
            <w:r>
              <w:rPr>
                <w:rFonts w:cstheme="minorHAnsi"/>
                <w:sz w:val="18"/>
                <w:szCs w:val="18"/>
              </w:rPr>
              <w:t>7</w:t>
            </w:r>
          </w:p>
        </w:tc>
        <w:tc>
          <w:tcPr>
            <w:tcW w:w="2894" w:type="dxa"/>
            <w:shd w:val="clear" w:color="auto" w:fill="auto"/>
            <w:noWrap/>
            <w:vAlign w:val="bottom"/>
            <w:hideMark/>
          </w:tcPr>
          <w:p w14:paraId="54F6B4DB" w14:textId="18DE6D21"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Uredski materijal i dr.</w:t>
            </w:r>
          </w:p>
        </w:tc>
        <w:tc>
          <w:tcPr>
            <w:tcW w:w="1376" w:type="dxa"/>
            <w:shd w:val="clear" w:color="auto" w:fill="auto"/>
            <w:noWrap/>
            <w:vAlign w:val="bottom"/>
            <w:hideMark/>
          </w:tcPr>
          <w:p w14:paraId="17851D90" w14:textId="13FF964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2.608</w:t>
            </w:r>
          </w:p>
        </w:tc>
        <w:tc>
          <w:tcPr>
            <w:tcW w:w="1376" w:type="dxa"/>
            <w:shd w:val="clear" w:color="auto" w:fill="auto"/>
            <w:noWrap/>
            <w:vAlign w:val="bottom"/>
            <w:hideMark/>
          </w:tcPr>
          <w:p w14:paraId="68CBD548" w14:textId="3D617623"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2.650</w:t>
            </w:r>
          </w:p>
        </w:tc>
        <w:tc>
          <w:tcPr>
            <w:tcW w:w="1376" w:type="dxa"/>
            <w:shd w:val="clear" w:color="auto" w:fill="auto"/>
            <w:noWrap/>
            <w:vAlign w:val="bottom"/>
            <w:hideMark/>
          </w:tcPr>
          <w:p w14:paraId="6EC21F4B" w14:textId="50A34EDA"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1.955</w:t>
            </w:r>
          </w:p>
        </w:tc>
        <w:tc>
          <w:tcPr>
            <w:tcW w:w="714" w:type="dxa"/>
            <w:shd w:val="clear" w:color="auto" w:fill="auto"/>
            <w:noWrap/>
            <w:vAlign w:val="bottom"/>
            <w:hideMark/>
          </w:tcPr>
          <w:p w14:paraId="28376EEB" w14:textId="4F2C598E"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75%</w:t>
            </w:r>
          </w:p>
        </w:tc>
        <w:tc>
          <w:tcPr>
            <w:tcW w:w="706" w:type="dxa"/>
            <w:shd w:val="clear" w:color="auto" w:fill="auto"/>
            <w:noWrap/>
            <w:vAlign w:val="bottom"/>
            <w:hideMark/>
          </w:tcPr>
          <w:p w14:paraId="71A6EBC9" w14:textId="54047B62"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74%</w:t>
            </w:r>
          </w:p>
        </w:tc>
      </w:tr>
      <w:tr w:rsidR="006A7E6C" w:rsidRPr="00922AAE" w14:paraId="5288940B" w14:textId="77777777" w:rsidTr="005266B1">
        <w:trPr>
          <w:trHeight w:val="353"/>
        </w:trPr>
        <w:tc>
          <w:tcPr>
            <w:tcW w:w="675" w:type="dxa"/>
            <w:shd w:val="clear" w:color="auto" w:fill="auto"/>
            <w:noWrap/>
            <w:vAlign w:val="bottom"/>
            <w:hideMark/>
          </w:tcPr>
          <w:p w14:paraId="28EAB04B" w14:textId="2A5FDE57"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w:t>
            </w:r>
            <w:r>
              <w:rPr>
                <w:rFonts w:cstheme="minorHAnsi"/>
                <w:sz w:val="18"/>
                <w:szCs w:val="18"/>
              </w:rPr>
              <w:t>8</w:t>
            </w:r>
          </w:p>
        </w:tc>
        <w:tc>
          <w:tcPr>
            <w:tcW w:w="2894" w:type="dxa"/>
            <w:shd w:val="clear" w:color="auto" w:fill="auto"/>
            <w:noWrap/>
            <w:vAlign w:val="bottom"/>
            <w:hideMark/>
          </w:tcPr>
          <w:p w14:paraId="4E79E571" w14:textId="35B5D68F"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 xml:space="preserve">Voda za piće </w:t>
            </w:r>
          </w:p>
        </w:tc>
        <w:tc>
          <w:tcPr>
            <w:tcW w:w="1376" w:type="dxa"/>
            <w:shd w:val="clear" w:color="auto" w:fill="auto"/>
            <w:noWrap/>
            <w:vAlign w:val="bottom"/>
            <w:hideMark/>
          </w:tcPr>
          <w:p w14:paraId="356402BB" w14:textId="17D900EE"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2.470</w:t>
            </w:r>
          </w:p>
        </w:tc>
        <w:tc>
          <w:tcPr>
            <w:tcW w:w="1376" w:type="dxa"/>
            <w:shd w:val="clear" w:color="auto" w:fill="auto"/>
            <w:noWrap/>
            <w:vAlign w:val="bottom"/>
            <w:hideMark/>
          </w:tcPr>
          <w:p w14:paraId="58C9A23D" w14:textId="1939431E"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2.500</w:t>
            </w:r>
          </w:p>
        </w:tc>
        <w:tc>
          <w:tcPr>
            <w:tcW w:w="1376" w:type="dxa"/>
            <w:shd w:val="clear" w:color="auto" w:fill="auto"/>
            <w:noWrap/>
            <w:vAlign w:val="bottom"/>
            <w:hideMark/>
          </w:tcPr>
          <w:p w14:paraId="4A61E3FD" w14:textId="1377486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2.905</w:t>
            </w:r>
          </w:p>
        </w:tc>
        <w:tc>
          <w:tcPr>
            <w:tcW w:w="714" w:type="dxa"/>
            <w:shd w:val="clear" w:color="auto" w:fill="auto"/>
            <w:noWrap/>
            <w:vAlign w:val="bottom"/>
            <w:hideMark/>
          </w:tcPr>
          <w:p w14:paraId="287434FB" w14:textId="38F9F787"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118%</w:t>
            </w:r>
          </w:p>
        </w:tc>
        <w:tc>
          <w:tcPr>
            <w:tcW w:w="706" w:type="dxa"/>
            <w:shd w:val="clear" w:color="auto" w:fill="auto"/>
            <w:noWrap/>
            <w:vAlign w:val="bottom"/>
            <w:hideMark/>
          </w:tcPr>
          <w:p w14:paraId="0D215362" w14:textId="6E58F353"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116%</w:t>
            </w:r>
          </w:p>
        </w:tc>
      </w:tr>
      <w:tr w:rsidR="006A7E6C" w:rsidRPr="00922AAE" w14:paraId="04541D6C" w14:textId="77777777" w:rsidTr="005266B1">
        <w:trPr>
          <w:trHeight w:val="353"/>
        </w:trPr>
        <w:tc>
          <w:tcPr>
            <w:tcW w:w="675" w:type="dxa"/>
            <w:shd w:val="clear" w:color="auto" w:fill="auto"/>
            <w:noWrap/>
            <w:vAlign w:val="bottom"/>
            <w:hideMark/>
          </w:tcPr>
          <w:p w14:paraId="1FD2DBAC" w14:textId="36D740EA"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w:t>
            </w:r>
            <w:r>
              <w:rPr>
                <w:rFonts w:cstheme="minorHAnsi"/>
                <w:sz w:val="18"/>
                <w:szCs w:val="18"/>
              </w:rPr>
              <w:t>9</w:t>
            </w:r>
          </w:p>
        </w:tc>
        <w:tc>
          <w:tcPr>
            <w:tcW w:w="2894" w:type="dxa"/>
            <w:shd w:val="clear" w:color="auto" w:fill="auto"/>
            <w:noWrap/>
            <w:vAlign w:val="bottom"/>
            <w:hideMark/>
          </w:tcPr>
          <w:p w14:paraId="774226DA" w14:textId="57EFC907"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Ostali napitci</w:t>
            </w:r>
          </w:p>
        </w:tc>
        <w:tc>
          <w:tcPr>
            <w:tcW w:w="1376" w:type="dxa"/>
            <w:shd w:val="clear" w:color="auto" w:fill="auto"/>
            <w:noWrap/>
            <w:vAlign w:val="bottom"/>
            <w:hideMark/>
          </w:tcPr>
          <w:p w14:paraId="3FD98370" w14:textId="54B4C122"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3.747</w:t>
            </w:r>
          </w:p>
        </w:tc>
        <w:tc>
          <w:tcPr>
            <w:tcW w:w="1376" w:type="dxa"/>
            <w:shd w:val="clear" w:color="auto" w:fill="auto"/>
            <w:noWrap/>
            <w:vAlign w:val="bottom"/>
            <w:hideMark/>
          </w:tcPr>
          <w:p w14:paraId="16943E7A" w14:textId="112C571A"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3.500</w:t>
            </w:r>
          </w:p>
        </w:tc>
        <w:tc>
          <w:tcPr>
            <w:tcW w:w="1376" w:type="dxa"/>
            <w:shd w:val="clear" w:color="auto" w:fill="auto"/>
            <w:noWrap/>
            <w:vAlign w:val="bottom"/>
            <w:hideMark/>
          </w:tcPr>
          <w:p w14:paraId="502D792E" w14:textId="077F5A29"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3.845</w:t>
            </w:r>
          </w:p>
        </w:tc>
        <w:tc>
          <w:tcPr>
            <w:tcW w:w="714" w:type="dxa"/>
            <w:shd w:val="clear" w:color="auto" w:fill="auto"/>
            <w:noWrap/>
            <w:vAlign w:val="bottom"/>
            <w:hideMark/>
          </w:tcPr>
          <w:p w14:paraId="7B8EAFA6" w14:textId="4C0E6933"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103%</w:t>
            </w:r>
          </w:p>
        </w:tc>
        <w:tc>
          <w:tcPr>
            <w:tcW w:w="706" w:type="dxa"/>
            <w:shd w:val="clear" w:color="auto" w:fill="auto"/>
            <w:noWrap/>
            <w:vAlign w:val="bottom"/>
            <w:hideMark/>
          </w:tcPr>
          <w:p w14:paraId="2BF5809F" w14:textId="2F2A1268"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110%</w:t>
            </w:r>
          </w:p>
        </w:tc>
      </w:tr>
      <w:tr w:rsidR="006A7E6C" w:rsidRPr="00922AAE" w14:paraId="1F9D7DF2" w14:textId="77777777" w:rsidTr="005266B1">
        <w:trPr>
          <w:trHeight w:val="353"/>
        </w:trPr>
        <w:tc>
          <w:tcPr>
            <w:tcW w:w="675" w:type="dxa"/>
            <w:shd w:val="clear" w:color="auto" w:fill="auto"/>
            <w:noWrap/>
            <w:vAlign w:val="bottom"/>
            <w:hideMark/>
          </w:tcPr>
          <w:p w14:paraId="29F95A8E" w14:textId="4D65489D"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1.1.1</w:t>
            </w:r>
            <w:r>
              <w:rPr>
                <w:rFonts w:cstheme="minorHAnsi"/>
                <w:sz w:val="18"/>
                <w:szCs w:val="18"/>
              </w:rPr>
              <w:t>0</w:t>
            </w:r>
          </w:p>
        </w:tc>
        <w:tc>
          <w:tcPr>
            <w:tcW w:w="2894" w:type="dxa"/>
            <w:shd w:val="clear" w:color="auto" w:fill="auto"/>
            <w:noWrap/>
            <w:vAlign w:val="bottom"/>
            <w:hideMark/>
          </w:tcPr>
          <w:p w14:paraId="5E13B467" w14:textId="3ACA6843"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Trošak sitnog inventara i auto guma</w:t>
            </w:r>
          </w:p>
        </w:tc>
        <w:tc>
          <w:tcPr>
            <w:tcW w:w="1376" w:type="dxa"/>
            <w:shd w:val="clear" w:color="auto" w:fill="auto"/>
            <w:noWrap/>
            <w:vAlign w:val="bottom"/>
            <w:hideMark/>
          </w:tcPr>
          <w:p w14:paraId="34FCC3D0" w14:textId="3067EFE7"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72.015</w:t>
            </w:r>
          </w:p>
        </w:tc>
        <w:tc>
          <w:tcPr>
            <w:tcW w:w="1376" w:type="dxa"/>
            <w:shd w:val="clear" w:color="auto" w:fill="auto"/>
            <w:noWrap/>
            <w:vAlign w:val="bottom"/>
            <w:hideMark/>
          </w:tcPr>
          <w:p w14:paraId="5FF0C7B8" w14:textId="1417520D"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75.000</w:t>
            </w:r>
          </w:p>
        </w:tc>
        <w:tc>
          <w:tcPr>
            <w:tcW w:w="1376" w:type="dxa"/>
            <w:shd w:val="clear" w:color="auto" w:fill="auto"/>
            <w:noWrap/>
            <w:vAlign w:val="bottom"/>
            <w:hideMark/>
          </w:tcPr>
          <w:p w14:paraId="332AD0C9" w14:textId="47266EBC"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72.357</w:t>
            </w:r>
          </w:p>
        </w:tc>
        <w:tc>
          <w:tcPr>
            <w:tcW w:w="714" w:type="dxa"/>
            <w:shd w:val="clear" w:color="auto" w:fill="auto"/>
            <w:noWrap/>
            <w:vAlign w:val="bottom"/>
            <w:hideMark/>
          </w:tcPr>
          <w:p w14:paraId="0C987AED" w14:textId="5EB29736"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100%</w:t>
            </w:r>
          </w:p>
        </w:tc>
        <w:tc>
          <w:tcPr>
            <w:tcW w:w="706" w:type="dxa"/>
            <w:shd w:val="clear" w:color="auto" w:fill="auto"/>
            <w:noWrap/>
            <w:vAlign w:val="bottom"/>
            <w:hideMark/>
          </w:tcPr>
          <w:p w14:paraId="50B089A6" w14:textId="6E2D0864"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96%</w:t>
            </w:r>
          </w:p>
        </w:tc>
      </w:tr>
      <w:tr w:rsidR="006A7E6C" w:rsidRPr="00922AAE" w14:paraId="24D3D8D6" w14:textId="77777777" w:rsidTr="005266B1">
        <w:trPr>
          <w:trHeight w:val="353"/>
        </w:trPr>
        <w:tc>
          <w:tcPr>
            <w:tcW w:w="675" w:type="dxa"/>
            <w:shd w:val="clear" w:color="auto" w:fill="auto"/>
            <w:noWrap/>
            <w:vAlign w:val="bottom"/>
            <w:hideMark/>
          </w:tcPr>
          <w:p w14:paraId="77F5822E" w14:textId="200DCE27"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1.1.1</w:t>
            </w:r>
            <w:r>
              <w:rPr>
                <w:rFonts w:cstheme="minorHAnsi"/>
                <w:sz w:val="18"/>
                <w:szCs w:val="18"/>
              </w:rPr>
              <w:t>1</w:t>
            </w:r>
          </w:p>
        </w:tc>
        <w:tc>
          <w:tcPr>
            <w:tcW w:w="2894" w:type="dxa"/>
            <w:shd w:val="clear" w:color="auto" w:fill="auto"/>
            <w:noWrap/>
            <w:vAlign w:val="bottom"/>
            <w:hideMark/>
          </w:tcPr>
          <w:p w14:paraId="209013AD" w14:textId="09B661F7"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 xml:space="preserve">Rezervni dijelovi </w:t>
            </w:r>
          </w:p>
        </w:tc>
        <w:tc>
          <w:tcPr>
            <w:tcW w:w="1376" w:type="dxa"/>
            <w:shd w:val="clear" w:color="auto" w:fill="auto"/>
            <w:noWrap/>
            <w:vAlign w:val="bottom"/>
            <w:hideMark/>
          </w:tcPr>
          <w:p w14:paraId="524F9C27" w14:textId="53BD89BD"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450.080</w:t>
            </w:r>
          </w:p>
        </w:tc>
        <w:tc>
          <w:tcPr>
            <w:tcW w:w="1376" w:type="dxa"/>
            <w:shd w:val="clear" w:color="auto" w:fill="auto"/>
            <w:noWrap/>
            <w:vAlign w:val="bottom"/>
            <w:hideMark/>
          </w:tcPr>
          <w:p w14:paraId="532668DF" w14:textId="7C671817"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157.695</w:t>
            </w:r>
          </w:p>
        </w:tc>
        <w:tc>
          <w:tcPr>
            <w:tcW w:w="1376" w:type="dxa"/>
            <w:shd w:val="clear" w:color="auto" w:fill="auto"/>
            <w:noWrap/>
            <w:vAlign w:val="bottom"/>
            <w:hideMark/>
          </w:tcPr>
          <w:p w14:paraId="039211A6" w14:textId="0FB2042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149.880</w:t>
            </w:r>
          </w:p>
        </w:tc>
        <w:tc>
          <w:tcPr>
            <w:tcW w:w="714" w:type="dxa"/>
            <w:shd w:val="clear" w:color="auto" w:fill="auto"/>
            <w:noWrap/>
            <w:vAlign w:val="bottom"/>
            <w:hideMark/>
          </w:tcPr>
          <w:p w14:paraId="15BBD098" w14:textId="71172240"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33%</w:t>
            </w:r>
          </w:p>
        </w:tc>
        <w:tc>
          <w:tcPr>
            <w:tcW w:w="706" w:type="dxa"/>
            <w:shd w:val="clear" w:color="auto" w:fill="auto"/>
            <w:noWrap/>
            <w:vAlign w:val="bottom"/>
            <w:hideMark/>
          </w:tcPr>
          <w:p w14:paraId="613E0F0A" w14:textId="0AD29760"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95%</w:t>
            </w:r>
          </w:p>
        </w:tc>
      </w:tr>
      <w:tr w:rsidR="006A7E6C" w:rsidRPr="00922AAE" w14:paraId="4D8216FA" w14:textId="77777777" w:rsidTr="005266B1">
        <w:trPr>
          <w:trHeight w:val="353"/>
        </w:trPr>
        <w:tc>
          <w:tcPr>
            <w:tcW w:w="675" w:type="dxa"/>
            <w:shd w:val="clear" w:color="auto" w:fill="auto"/>
            <w:noWrap/>
            <w:vAlign w:val="bottom"/>
            <w:hideMark/>
          </w:tcPr>
          <w:p w14:paraId="6E325A4A" w14:textId="42B2631C"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1.1.1</w:t>
            </w:r>
            <w:r>
              <w:rPr>
                <w:rFonts w:cstheme="minorHAnsi"/>
                <w:sz w:val="18"/>
                <w:szCs w:val="18"/>
              </w:rPr>
              <w:t>2</w:t>
            </w:r>
          </w:p>
        </w:tc>
        <w:tc>
          <w:tcPr>
            <w:tcW w:w="2894" w:type="dxa"/>
            <w:shd w:val="clear" w:color="auto" w:fill="auto"/>
            <w:noWrap/>
            <w:vAlign w:val="bottom"/>
            <w:hideMark/>
          </w:tcPr>
          <w:p w14:paraId="1CBEACD7" w14:textId="653AA51B"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Trošak električne energije</w:t>
            </w:r>
          </w:p>
        </w:tc>
        <w:tc>
          <w:tcPr>
            <w:tcW w:w="1376" w:type="dxa"/>
            <w:shd w:val="clear" w:color="auto" w:fill="auto"/>
            <w:noWrap/>
            <w:vAlign w:val="bottom"/>
            <w:hideMark/>
          </w:tcPr>
          <w:p w14:paraId="59F97392" w14:textId="1BE071AC"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869.577</w:t>
            </w:r>
          </w:p>
        </w:tc>
        <w:tc>
          <w:tcPr>
            <w:tcW w:w="1376" w:type="dxa"/>
            <w:shd w:val="clear" w:color="auto" w:fill="auto"/>
            <w:noWrap/>
            <w:vAlign w:val="bottom"/>
            <w:hideMark/>
          </w:tcPr>
          <w:p w14:paraId="51D37C1C" w14:textId="1362C192"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765.225</w:t>
            </w:r>
          </w:p>
        </w:tc>
        <w:tc>
          <w:tcPr>
            <w:tcW w:w="1376" w:type="dxa"/>
            <w:shd w:val="clear" w:color="auto" w:fill="auto"/>
            <w:noWrap/>
            <w:vAlign w:val="bottom"/>
            <w:hideMark/>
          </w:tcPr>
          <w:p w14:paraId="394D105E" w14:textId="373C174F"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789.195</w:t>
            </w:r>
          </w:p>
        </w:tc>
        <w:tc>
          <w:tcPr>
            <w:tcW w:w="714" w:type="dxa"/>
            <w:shd w:val="clear" w:color="auto" w:fill="auto"/>
            <w:noWrap/>
            <w:vAlign w:val="bottom"/>
            <w:hideMark/>
          </w:tcPr>
          <w:p w14:paraId="5C79C9F4" w14:textId="007F6907"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91%</w:t>
            </w:r>
          </w:p>
        </w:tc>
        <w:tc>
          <w:tcPr>
            <w:tcW w:w="706" w:type="dxa"/>
            <w:shd w:val="clear" w:color="auto" w:fill="auto"/>
            <w:noWrap/>
            <w:vAlign w:val="bottom"/>
            <w:hideMark/>
          </w:tcPr>
          <w:p w14:paraId="47456D62" w14:textId="42158547"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103%</w:t>
            </w:r>
          </w:p>
        </w:tc>
      </w:tr>
      <w:tr w:rsidR="006A7E6C" w:rsidRPr="00922AAE" w14:paraId="00FBD851" w14:textId="77777777" w:rsidTr="005266B1">
        <w:trPr>
          <w:trHeight w:val="353"/>
        </w:trPr>
        <w:tc>
          <w:tcPr>
            <w:tcW w:w="675" w:type="dxa"/>
            <w:shd w:val="clear" w:color="auto" w:fill="auto"/>
            <w:noWrap/>
            <w:vAlign w:val="bottom"/>
            <w:hideMark/>
          </w:tcPr>
          <w:p w14:paraId="12B84E83" w14:textId="3DCB51A0"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1.1.1</w:t>
            </w:r>
            <w:r>
              <w:rPr>
                <w:rFonts w:cstheme="minorHAnsi"/>
                <w:sz w:val="18"/>
                <w:szCs w:val="18"/>
              </w:rPr>
              <w:t>3</w:t>
            </w:r>
          </w:p>
        </w:tc>
        <w:tc>
          <w:tcPr>
            <w:tcW w:w="2894" w:type="dxa"/>
            <w:shd w:val="clear" w:color="auto" w:fill="auto"/>
            <w:noWrap/>
            <w:vAlign w:val="bottom"/>
            <w:hideMark/>
          </w:tcPr>
          <w:p w14:paraId="43A8BB53" w14:textId="073FB9A1"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Trošak plina</w:t>
            </w:r>
          </w:p>
        </w:tc>
        <w:tc>
          <w:tcPr>
            <w:tcW w:w="1376" w:type="dxa"/>
            <w:shd w:val="clear" w:color="auto" w:fill="auto"/>
            <w:noWrap/>
            <w:vAlign w:val="bottom"/>
            <w:hideMark/>
          </w:tcPr>
          <w:p w14:paraId="3B2740C9" w14:textId="71619243"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7.730</w:t>
            </w:r>
          </w:p>
        </w:tc>
        <w:tc>
          <w:tcPr>
            <w:tcW w:w="1376" w:type="dxa"/>
            <w:shd w:val="clear" w:color="auto" w:fill="auto"/>
            <w:noWrap/>
            <w:vAlign w:val="bottom"/>
            <w:hideMark/>
          </w:tcPr>
          <w:p w14:paraId="6BED2C7E" w14:textId="58EC3B0E"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7.500</w:t>
            </w:r>
          </w:p>
        </w:tc>
        <w:tc>
          <w:tcPr>
            <w:tcW w:w="1376" w:type="dxa"/>
            <w:shd w:val="clear" w:color="auto" w:fill="auto"/>
            <w:noWrap/>
            <w:vAlign w:val="bottom"/>
            <w:hideMark/>
          </w:tcPr>
          <w:p w14:paraId="04D0D6F0" w14:textId="6659E9D8"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7.583</w:t>
            </w:r>
          </w:p>
        </w:tc>
        <w:tc>
          <w:tcPr>
            <w:tcW w:w="714" w:type="dxa"/>
            <w:shd w:val="clear" w:color="auto" w:fill="auto"/>
            <w:noWrap/>
            <w:vAlign w:val="bottom"/>
            <w:hideMark/>
          </w:tcPr>
          <w:p w14:paraId="5AD25DB9" w14:textId="48C5CB17"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98%</w:t>
            </w:r>
          </w:p>
        </w:tc>
        <w:tc>
          <w:tcPr>
            <w:tcW w:w="706" w:type="dxa"/>
            <w:shd w:val="clear" w:color="auto" w:fill="auto"/>
            <w:noWrap/>
            <w:vAlign w:val="bottom"/>
            <w:hideMark/>
          </w:tcPr>
          <w:p w14:paraId="5362664F" w14:textId="7B8D0229"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101%</w:t>
            </w:r>
          </w:p>
        </w:tc>
      </w:tr>
      <w:tr w:rsidR="006A7E6C" w:rsidRPr="00922AAE" w14:paraId="66F70F93" w14:textId="77777777" w:rsidTr="005266B1">
        <w:trPr>
          <w:trHeight w:val="353"/>
        </w:trPr>
        <w:tc>
          <w:tcPr>
            <w:tcW w:w="675" w:type="dxa"/>
            <w:shd w:val="clear" w:color="auto" w:fill="auto"/>
            <w:noWrap/>
            <w:vAlign w:val="bottom"/>
            <w:hideMark/>
          </w:tcPr>
          <w:p w14:paraId="58A65951" w14:textId="7F4DFEA3"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1.1.1</w:t>
            </w:r>
            <w:r>
              <w:rPr>
                <w:rFonts w:cstheme="minorHAnsi"/>
                <w:sz w:val="18"/>
                <w:szCs w:val="18"/>
              </w:rPr>
              <w:t>4</w:t>
            </w:r>
          </w:p>
        </w:tc>
        <w:tc>
          <w:tcPr>
            <w:tcW w:w="2894" w:type="dxa"/>
            <w:shd w:val="clear" w:color="000000" w:fill="FFFFFF"/>
            <w:noWrap/>
            <w:vAlign w:val="bottom"/>
            <w:hideMark/>
          </w:tcPr>
          <w:p w14:paraId="00BD539E" w14:textId="45A23A5E" w:rsidR="006A7E6C" w:rsidRPr="00922AAE" w:rsidRDefault="006A7E6C" w:rsidP="006A7E6C">
            <w:pPr>
              <w:spacing w:after="0" w:line="240" w:lineRule="auto"/>
              <w:rPr>
                <w:rFonts w:eastAsia="Times New Roman" w:cstheme="minorHAnsi"/>
                <w:sz w:val="18"/>
                <w:szCs w:val="18"/>
                <w:lang w:eastAsia="hr-HR"/>
              </w:rPr>
            </w:pPr>
            <w:r w:rsidRPr="00922AAE">
              <w:rPr>
                <w:rFonts w:cstheme="minorHAnsi"/>
                <w:sz w:val="18"/>
                <w:szCs w:val="18"/>
              </w:rPr>
              <w:t xml:space="preserve">Trošak goriva </w:t>
            </w:r>
          </w:p>
        </w:tc>
        <w:tc>
          <w:tcPr>
            <w:tcW w:w="1376" w:type="dxa"/>
            <w:shd w:val="clear" w:color="auto" w:fill="auto"/>
            <w:noWrap/>
            <w:vAlign w:val="bottom"/>
            <w:hideMark/>
          </w:tcPr>
          <w:p w14:paraId="7A3D9582" w14:textId="5F9A3785"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221.832</w:t>
            </w:r>
          </w:p>
        </w:tc>
        <w:tc>
          <w:tcPr>
            <w:tcW w:w="1376" w:type="dxa"/>
            <w:shd w:val="clear" w:color="auto" w:fill="auto"/>
            <w:noWrap/>
            <w:vAlign w:val="bottom"/>
            <w:hideMark/>
          </w:tcPr>
          <w:p w14:paraId="279D9683" w14:textId="4C12F0E3"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241.151</w:t>
            </w:r>
          </w:p>
        </w:tc>
        <w:tc>
          <w:tcPr>
            <w:tcW w:w="1376" w:type="dxa"/>
            <w:shd w:val="clear" w:color="auto" w:fill="auto"/>
            <w:noWrap/>
            <w:vAlign w:val="bottom"/>
            <w:hideMark/>
          </w:tcPr>
          <w:p w14:paraId="63A3EF63" w14:textId="3563E08B" w:rsidR="006A7E6C" w:rsidRPr="006A7E6C" w:rsidRDefault="006A7E6C" w:rsidP="006A7E6C">
            <w:pPr>
              <w:spacing w:after="0" w:line="240" w:lineRule="auto"/>
              <w:jc w:val="center"/>
              <w:rPr>
                <w:rFonts w:ascii="Calibri" w:eastAsia="Times New Roman" w:hAnsi="Calibri" w:cs="Calibri"/>
                <w:sz w:val="18"/>
                <w:szCs w:val="18"/>
                <w:lang w:eastAsia="hr-HR"/>
              </w:rPr>
            </w:pPr>
            <w:r w:rsidRPr="006A7E6C">
              <w:rPr>
                <w:rFonts w:ascii="Calibri" w:hAnsi="Calibri" w:cs="Calibri"/>
                <w:sz w:val="18"/>
                <w:szCs w:val="18"/>
              </w:rPr>
              <w:t>231.156</w:t>
            </w:r>
          </w:p>
        </w:tc>
        <w:tc>
          <w:tcPr>
            <w:tcW w:w="714" w:type="dxa"/>
            <w:shd w:val="clear" w:color="auto" w:fill="auto"/>
            <w:noWrap/>
            <w:vAlign w:val="bottom"/>
            <w:hideMark/>
          </w:tcPr>
          <w:p w14:paraId="232393F7" w14:textId="3E67C5BE"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104%</w:t>
            </w:r>
          </w:p>
        </w:tc>
        <w:tc>
          <w:tcPr>
            <w:tcW w:w="706" w:type="dxa"/>
            <w:shd w:val="clear" w:color="auto" w:fill="auto"/>
            <w:noWrap/>
            <w:vAlign w:val="bottom"/>
            <w:hideMark/>
          </w:tcPr>
          <w:p w14:paraId="26F02CE5" w14:textId="30813B64" w:rsidR="006A7E6C" w:rsidRPr="006A7E6C" w:rsidRDefault="006A7E6C" w:rsidP="006A7E6C">
            <w:pPr>
              <w:spacing w:after="0" w:line="240" w:lineRule="auto"/>
              <w:jc w:val="center"/>
              <w:rPr>
                <w:rFonts w:ascii="Calibri" w:eastAsia="Times New Roman" w:hAnsi="Calibri" w:cs="Calibri"/>
                <w:color w:val="000000"/>
                <w:sz w:val="18"/>
                <w:szCs w:val="18"/>
                <w:lang w:eastAsia="hr-HR"/>
              </w:rPr>
            </w:pPr>
            <w:r w:rsidRPr="006A7E6C">
              <w:rPr>
                <w:rFonts w:ascii="Calibri" w:hAnsi="Calibri" w:cs="Calibri"/>
                <w:sz w:val="18"/>
                <w:szCs w:val="18"/>
              </w:rPr>
              <w:t>96%</w:t>
            </w:r>
          </w:p>
        </w:tc>
      </w:tr>
    </w:tbl>
    <w:p w14:paraId="7CDFCE89" w14:textId="77777777" w:rsidR="00FA06FF" w:rsidRDefault="00A23C71" w:rsidP="00B97DDF">
      <w:pPr>
        <w:spacing w:before="360" w:after="240" w:line="360" w:lineRule="auto"/>
        <w:jc w:val="both"/>
      </w:pPr>
      <w:r w:rsidRPr="00CE0ABD">
        <w:t>Iz analitički prikazanih troškova ostvarenih u 202</w:t>
      </w:r>
      <w:r w:rsidR="006902BE">
        <w:t>4</w:t>
      </w:r>
      <w:r w:rsidRPr="00CE0ABD">
        <w:t>. godini u odnosu na ostvarenje u 20</w:t>
      </w:r>
      <w:r w:rsidR="00A101D3" w:rsidRPr="00CE0ABD">
        <w:t>2</w:t>
      </w:r>
      <w:r w:rsidR="006902BE">
        <w:t>3</w:t>
      </w:r>
      <w:r w:rsidRPr="00CE0ABD">
        <w:t>. godini može se zaključiti da su</w:t>
      </w:r>
      <w:r w:rsidR="005A25C2" w:rsidRPr="00CE0ABD">
        <w:t xml:space="preserve"> troškovi sirovina i materijala</w:t>
      </w:r>
      <w:r w:rsidR="00AA5003" w:rsidRPr="00CE0ABD">
        <w:t xml:space="preserve"> </w:t>
      </w:r>
      <w:r w:rsidR="00F061C0" w:rsidRPr="00F061C0">
        <w:t xml:space="preserve">povećani (najviše zbog porasta cijena materijala) u vidu troškova: </w:t>
      </w:r>
    </w:p>
    <w:p w14:paraId="21486952" w14:textId="4E136515" w:rsidR="006902BE" w:rsidRPr="00FA06FF" w:rsidRDefault="006902BE">
      <w:pPr>
        <w:pStyle w:val="ListParagraph"/>
        <w:numPr>
          <w:ilvl w:val="0"/>
          <w:numId w:val="4"/>
        </w:numPr>
        <w:spacing w:before="240" w:line="360" w:lineRule="auto"/>
        <w:jc w:val="both"/>
        <w:rPr>
          <w:rFonts w:asciiTheme="minorHAnsi" w:hAnsiTheme="minorHAnsi" w:cstheme="minorHAnsi"/>
          <w:sz w:val="22"/>
          <w:szCs w:val="22"/>
        </w:rPr>
      </w:pPr>
      <w:r w:rsidRPr="00FA06FF">
        <w:rPr>
          <w:rFonts w:asciiTheme="minorHAnsi" w:hAnsiTheme="minorHAnsi" w:cstheme="minorHAnsi"/>
          <w:sz w:val="22"/>
          <w:szCs w:val="22"/>
        </w:rPr>
        <w:t>potrošnog materijal (+38%) - porast cijena</w:t>
      </w:r>
    </w:p>
    <w:p w14:paraId="039E0021" w14:textId="77777777" w:rsidR="00F061C0" w:rsidRDefault="002609CA">
      <w:pPr>
        <w:pStyle w:val="ListParagraph"/>
        <w:numPr>
          <w:ilvl w:val="0"/>
          <w:numId w:val="4"/>
        </w:numPr>
        <w:spacing w:before="240" w:line="360" w:lineRule="auto"/>
        <w:jc w:val="both"/>
        <w:rPr>
          <w:rFonts w:asciiTheme="minorHAnsi" w:hAnsiTheme="minorHAnsi" w:cstheme="minorHAnsi"/>
          <w:sz w:val="22"/>
          <w:szCs w:val="22"/>
        </w:rPr>
      </w:pPr>
      <w:r w:rsidRPr="00F061C0">
        <w:rPr>
          <w:rFonts w:asciiTheme="minorHAnsi" w:hAnsiTheme="minorHAnsi" w:cstheme="minorHAnsi"/>
          <w:sz w:val="22"/>
          <w:szCs w:val="22"/>
        </w:rPr>
        <w:t>jalovine</w:t>
      </w:r>
      <w:r w:rsidR="00595E82" w:rsidRPr="00F061C0">
        <w:rPr>
          <w:rFonts w:asciiTheme="minorHAnsi" w:hAnsiTheme="minorHAnsi" w:cstheme="minorHAnsi"/>
          <w:sz w:val="22"/>
          <w:szCs w:val="22"/>
        </w:rPr>
        <w:t xml:space="preserve"> (</w:t>
      </w:r>
      <w:r w:rsidR="006902BE" w:rsidRPr="00F061C0">
        <w:rPr>
          <w:rFonts w:asciiTheme="minorHAnsi" w:hAnsiTheme="minorHAnsi" w:cstheme="minorHAnsi"/>
          <w:sz w:val="22"/>
          <w:szCs w:val="22"/>
        </w:rPr>
        <w:t xml:space="preserve">+58%) - </w:t>
      </w:r>
      <w:r w:rsidR="00F061C0">
        <w:rPr>
          <w:rFonts w:asciiTheme="minorHAnsi" w:hAnsiTheme="minorHAnsi" w:cstheme="minorHAnsi"/>
          <w:sz w:val="22"/>
          <w:szCs w:val="22"/>
        </w:rPr>
        <w:t>porast cijena</w:t>
      </w:r>
      <w:r w:rsidR="00F061C0" w:rsidRPr="00F061C0">
        <w:rPr>
          <w:rFonts w:asciiTheme="minorHAnsi" w:hAnsiTheme="minorHAnsi" w:cstheme="minorHAnsi"/>
          <w:sz w:val="22"/>
          <w:szCs w:val="22"/>
        </w:rPr>
        <w:t xml:space="preserve"> </w:t>
      </w:r>
    </w:p>
    <w:p w14:paraId="3517C06F" w14:textId="4830C18B" w:rsidR="006902BE" w:rsidRDefault="006902BE">
      <w:pPr>
        <w:pStyle w:val="ListParagraph"/>
        <w:numPr>
          <w:ilvl w:val="0"/>
          <w:numId w:val="4"/>
        </w:numPr>
        <w:spacing w:before="240" w:line="360" w:lineRule="auto"/>
        <w:jc w:val="both"/>
        <w:rPr>
          <w:rFonts w:asciiTheme="minorHAnsi" w:hAnsiTheme="minorHAnsi" w:cstheme="minorHAnsi"/>
          <w:sz w:val="22"/>
          <w:szCs w:val="22"/>
        </w:rPr>
      </w:pPr>
      <w:r w:rsidRPr="00F061C0">
        <w:rPr>
          <w:rFonts w:asciiTheme="minorHAnsi" w:hAnsiTheme="minorHAnsi" w:cstheme="minorHAnsi"/>
          <w:sz w:val="22"/>
          <w:szCs w:val="22"/>
        </w:rPr>
        <w:t xml:space="preserve">folija (+52%) - </w:t>
      </w:r>
      <w:r w:rsidR="00F061C0">
        <w:rPr>
          <w:rFonts w:asciiTheme="minorHAnsi" w:hAnsiTheme="minorHAnsi" w:cstheme="minorHAnsi"/>
          <w:sz w:val="22"/>
          <w:szCs w:val="22"/>
        </w:rPr>
        <w:t>porast cijena</w:t>
      </w:r>
    </w:p>
    <w:p w14:paraId="202E0817" w14:textId="75678946" w:rsidR="00F061C0" w:rsidRDefault="00F061C0">
      <w:pPr>
        <w:pStyle w:val="ListParagraph"/>
        <w:numPr>
          <w:ilvl w:val="0"/>
          <w:numId w:val="4"/>
        </w:numPr>
        <w:spacing w:before="240" w:line="360" w:lineRule="auto"/>
        <w:jc w:val="both"/>
        <w:rPr>
          <w:rFonts w:asciiTheme="minorHAnsi" w:hAnsiTheme="minorHAnsi" w:cstheme="minorHAnsi"/>
          <w:sz w:val="22"/>
          <w:szCs w:val="22"/>
        </w:rPr>
      </w:pPr>
      <w:r>
        <w:rPr>
          <w:rFonts w:asciiTheme="minorHAnsi" w:hAnsiTheme="minorHAnsi" w:cstheme="minorHAnsi"/>
          <w:sz w:val="22"/>
          <w:szCs w:val="22"/>
        </w:rPr>
        <w:t>otopine (+18%) - porast cijena</w:t>
      </w:r>
    </w:p>
    <w:p w14:paraId="24ED0E03" w14:textId="71FA51E5" w:rsidR="00F061C0" w:rsidRDefault="00F061C0">
      <w:pPr>
        <w:pStyle w:val="ListParagraph"/>
        <w:numPr>
          <w:ilvl w:val="0"/>
          <w:numId w:val="4"/>
        </w:numPr>
        <w:spacing w:before="240" w:line="360" w:lineRule="auto"/>
        <w:jc w:val="both"/>
        <w:rPr>
          <w:rFonts w:asciiTheme="minorHAnsi" w:hAnsiTheme="minorHAnsi" w:cstheme="minorHAnsi"/>
          <w:sz w:val="22"/>
          <w:szCs w:val="22"/>
        </w:rPr>
      </w:pPr>
      <w:r>
        <w:rPr>
          <w:rFonts w:asciiTheme="minorHAnsi" w:hAnsiTheme="minorHAnsi" w:cstheme="minorHAnsi"/>
          <w:sz w:val="22"/>
          <w:szCs w:val="22"/>
        </w:rPr>
        <w:t>p</w:t>
      </w:r>
      <w:r w:rsidRPr="00F061C0">
        <w:rPr>
          <w:rFonts w:asciiTheme="minorHAnsi" w:hAnsiTheme="minorHAnsi" w:cstheme="minorHAnsi"/>
          <w:sz w:val="22"/>
          <w:szCs w:val="22"/>
        </w:rPr>
        <w:t>otrošni materijal za čišćenje</w:t>
      </w:r>
      <w:r>
        <w:rPr>
          <w:rFonts w:asciiTheme="minorHAnsi" w:hAnsiTheme="minorHAnsi" w:cstheme="minorHAnsi"/>
          <w:sz w:val="22"/>
          <w:szCs w:val="22"/>
        </w:rPr>
        <w:t xml:space="preserve"> (+70%) – porast cijena</w:t>
      </w:r>
    </w:p>
    <w:p w14:paraId="06A99099" w14:textId="19AF241D" w:rsidR="00FA06FF" w:rsidRPr="00FA06FF" w:rsidRDefault="00FA06FF">
      <w:pPr>
        <w:pStyle w:val="ListParagraph"/>
        <w:numPr>
          <w:ilvl w:val="0"/>
          <w:numId w:val="4"/>
        </w:numPr>
        <w:spacing w:before="240" w:line="360" w:lineRule="auto"/>
        <w:jc w:val="both"/>
        <w:rPr>
          <w:rFonts w:asciiTheme="minorHAnsi" w:hAnsiTheme="minorHAnsi" w:cstheme="minorHAnsi"/>
          <w:sz w:val="22"/>
          <w:szCs w:val="22"/>
        </w:rPr>
      </w:pPr>
      <w:r w:rsidRPr="00CE0ABD">
        <w:rPr>
          <w:rFonts w:asciiTheme="minorHAnsi" w:hAnsiTheme="minorHAnsi" w:cstheme="minorHAnsi"/>
          <w:sz w:val="22"/>
          <w:szCs w:val="22"/>
        </w:rPr>
        <w:t>radne i zaštitne opreme</w:t>
      </w:r>
      <w:r>
        <w:rPr>
          <w:rFonts w:asciiTheme="minorHAnsi" w:hAnsiTheme="minorHAnsi" w:cstheme="minorHAnsi"/>
          <w:sz w:val="22"/>
          <w:szCs w:val="22"/>
        </w:rPr>
        <w:t xml:space="preserve"> (+36%) - </w:t>
      </w:r>
      <w:r w:rsidRPr="00FA06FF">
        <w:rPr>
          <w:rFonts w:asciiTheme="minorHAnsi" w:hAnsiTheme="minorHAnsi" w:cstheme="minorHAnsi"/>
          <w:sz w:val="22"/>
          <w:szCs w:val="22"/>
        </w:rPr>
        <w:t>fluktuacija djelatnika</w:t>
      </w:r>
      <w:r>
        <w:rPr>
          <w:rFonts w:asciiTheme="minorHAnsi" w:hAnsiTheme="minorHAnsi" w:cstheme="minorHAnsi"/>
          <w:sz w:val="22"/>
          <w:szCs w:val="22"/>
        </w:rPr>
        <w:t xml:space="preserve"> i porast</w:t>
      </w:r>
      <w:r w:rsidRPr="00FA06FF">
        <w:rPr>
          <w:rFonts w:asciiTheme="minorHAnsi" w:hAnsiTheme="minorHAnsi" w:cstheme="minorHAnsi"/>
          <w:sz w:val="22"/>
          <w:szCs w:val="22"/>
        </w:rPr>
        <w:t xml:space="preserve"> cijena</w:t>
      </w:r>
    </w:p>
    <w:p w14:paraId="734E5C9C" w14:textId="0A96B72B" w:rsidR="002609CA" w:rsidRPr="00CE0ABD" w:rsidRDefault="002609CA">
      <w:pPr>
        <w:pStyle w:val="ListParagraph"/>
        <w:numPr>
          <w:ilvl w:val="0"/>
          <w:numId w:val="4"/>
        </w:numPr>
        <w:spacing w:before="240" w:line="360" w:lineRule="auto"/>
        <w:jc w:val="both"/>
        <w:rPr>
          <w:rFonts w:asciiTheme="minorHAnsi" w:hAnsiTheme="minorHAnsi" w:cstheme="minorHAnsi"/>
          <w:sz w:val="22"/>
          <w:szCs w:val="22"/>
        </w:rPr>
      </w:pPr>
      <w:r w:rsidRPr="00CE0ABD">
        <w:rPr>
          <w:rFonts w:asciiTheme="minorHAnsi" w:hAnsiTheme="minorHAnsi" w:cstheme="minorHAnsi"/>
          <w:sz w:val="22"/>
          <w:szCs w:val="22"/>
        </w:rPr>
        <w:t>vode za piće</w:t>
      </w:r>
      <w:r w:rsidR="00595E82">
        <w:rPr>
          <w:rFonts w:asciiTheme="minorHAnsi" w:hAnsiTheme="minorHAnsi" w:cstheme="minorHAnsi"/>
          <w:sz w:val="22"/>
          <w:szCs w:val="22"/>
        </w:rPr>
        <w:t xml:space="preserve"> </w:t>
      </w:r>
      <w:r w:rsidR="00FA06FF">
        <w:rPr>
          <w:rFonts w:asciiTheme="minorHAnsi" w:hAnsiTheme="minorHAnsi" w:cstheme="minorHAnsi"/>
          <w:sz w:val="22"/>
          <w:szCs w:val="22"/>
        </w:rPr>
        <w:t>(+18%) -</w:t>
      </w:r>
      <w:r w:rsidR="00595E82">
        <w:rPr>
          <w:rFonts w:asciiTheme="minorHAnsi" w:hAnsiTheme="minorHAnsi" w:cstheme="minorHAnsi"/>
          <w:sz w:val="22"/>
          <w:szCs w:val="22"/>
        </w:rPr>
        <w:t xml:space="preserve"> </w:t>
      </w:r>
      <w:r w:rsidR="00FA06FF">
        <w:rPr>
          <w:rFonts w:asciiTheme="minorHAnsi" w:hAnsiTheme="minorHAnsi" w:cstheme="minorHAnsi"/>
          <w:sz w:val="22"/>
          <w:szCs w:val="22"/>
        </w:rPr>
        <w:t>porast cijena</w:t>
      </w:r>
    </w:p>
    <w:p w14:paraId="654DF127" w14:textId="30471F34" w:rsidR="002609CA" w:rsidRPr="00CE0ABD" w:rsidRDefault="002609CA">
      <w:pPr>
        <w:pStyle w:val="ListParagraph"/>
        <w:numPr>
          <w:ilvl w:val="0"/>
          <w:numId w:val="4"/>
        </w:numPr>
        <w:spacing w:before="240" w:line="360" w:lineRule="auto"/>
        <w:jc w:val="both"/>
        <w:rPr>
          <w:rFonts w:asciiTheme="minorHAnsi" w:hAnsiTheme="minorHAnsi" w:cstheme="minorHAnsi"/>
          <w:sz w:val="22"/>
          <w:szCs w:val="22"/>
        </w:rPr>
      </w:pPr>
      <w:r w:rsidRPr="00CE0ABD">
        <w:rPr>
          <w:rFonts w:asciiTheme="minorHAnsi" w:hAnsiTheme="minorHAnsi" w:cstheme="minorHAnsi"/>
          <w:sz w:val="22"/>
          <w:szCs w:val="22"/>
        </w:rPr>
        <w:t>ostalih napitaka</w:t>
      </w:r>
      <w:r w:rsidR="00595E82">
        <w:rPr>
          <w:rFonts w:asciiTheme="minorHAnsi" w:hAnsiTheme="minorHAnsi" w:cstheme="minorHAnsi"/>
          <w:sz w:val="22"/>
          <w:szCs w:val="22"/>
        </w:rPr>
        <w:t xml:space="preserve"> </w:t>
      </w:r>
      <w:r w:rsidR="00FA06FF">
        <w:rPr>
          <w:rFonts w:asciiTheme="minorHAnsi" w:hAnsiTheme="minorHAnsi" w:cstheme="minorHAnsi"/>
          <w:sz w:val="22"/>
          <w:szCs w:val="22"/>
        </w:rPr>
        <w:t>(+3%) - porast cijena</w:t>
      </w:r>
    </w:p>
    <w:p w14:paraId="1D16B64D" w14:textId="03241797" w:rsidR="00FD3237" w:rsidRPr="00426100" w:rsidRDefault="00FA06FF">
      <w:pPr>
        <w:pStyle w:val="ListParagraph"/>
        <w:numPr>
          <w:ilvl w:val="0"/>
          <w:numId w:val="4"/>
        </w:numPr>
        <w:spacing w:before="120" w:after="120"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goriva (+4%)</w:t>
      </w:r>
    </w:p>
    <w:p w14:paraId="1C07598F" w14:textId="4FA21AB2" w:rsidR="001C258B" w:rsidRPr="001C258B" w:rsidRDefault="001C258B" w:rsidP="00B97DDF">
      <w:pPr>
        <w:spacing w:before="120" w:after="120" w:line="360" w:lineRule="auto"/>
        <w:jc w:val="both"/>
      </w:pPr>
      <w:r w:rsidRPr="00BB7473">
        <w:t>Iz analitički prikazanih troškova ostvarenih u 202</w:t>
      </w:r>
      <w:r w:rsidR="00FA06FF">
        <w:t>4</w:t>
      </w:r>
      <w:r w:rsidRPr="00BB7473">
        <w:t>. godini u odnosu na ostvarenje u 202</w:t>
      </w:r>
      <w:r w:rsidR="00FD3237">
        <w:t>3</w:t>
      </w:r>
      <w:r w:rsidRPr="00BB7473">
        <w:t>. godini može se zaključiti da su troškovi sirovina i materijala smanjeni u vidu troškova:</w:t>
      </w:r>
    </w:p>
    <w:p w14:paraId="355530CD" w14:textId="4A5B2E71" w:rsidR="00FA06FF" w:rsidRDefault="00FA06FF">
      <w:pPr>
        <w:pStyle w:val="ListParagraph"/>
        <w:numPr>
          <w:ilvl w:val="0"/>
          <w:numId w:val="4"/>
        </w:numPr>
        <w:spacing w:before="240" w:line="360" w:lineRule="auto"/>
        <w:jc w:val="both"/>
        <w:rPr>
          <w:rFonts w:asciiTheme="minorHAnsi" w:hAnsiTheme="minorHAnsi" w:cstheme="minorHAnsi"/>
          <w:sz w:val="22"/>
          <w:szCs w:val="22"/>
        </w:rPr>
      </w:pPr>
      <w:r>
        <w:rPr>
          <w:rFonts w:asciiTheme="minorHAnsi" w:hAnsiTheme="minorHAnsi" w:cstheme="minorHAnsi"/>
          <w:sz w:val="22"/>
          <w:szCs w:val="22"/>
        </w:rPr>
        <w:t>uredskog materijala</w:t>
      </w:r>
      <w:r w:rsidR="00426100">
        <w:rPr>
          <w:rFonts w:asciiTheme="minorHAnsi" w:hAnsiTheme="minorHAnsi" w:cstheme="minorHAnsi"/>
          <w:sz w:val="22"/>
          <w:szCs w:val="22"/>
        </w:rPr>
        <w:t xml:space="preserve"> </w:t>
      </w:r>
      <w:r w:rsidR="00426100" w:rsidRPr="00FA06FF">
        <w:rPr>
          <w:rFonts w:asciiTheme="minorHAnsi" w:hAnsiTheme="minorHAnsi" w:cstheme="minorHAnsi"/>
          <w:sz w:val="22"/>
          <w:szCs w:val="22"/>
        </w:rPr>
        <w:t>(</w:t>
      </w:r>
      <w:r w:rsidR="00426100">
        <w:rPr>
          <w:rFonts w:asciiTheme="minorHAnsi" w:hAnsiTheme="minorHAnsi" w:cstheme="minorHAnsi"/>
          <w:sz w:val="22"/>
          <w:szCs w:val="22"/>
        </w:rPr>
        <w:t>-25</w:t>
      </w:r>
      <w:r w:rsidR="00426100" w:rsidRPr="00FA06FF">
        <w:rPr>
          <w:rFonts w:asciiTheme="minorHAnsi" w:hAnsiTheme="minorHAnsi" w:cstheme="minorHAnsi"/>
          <w:sz w:val="22"/>
          <w:szCs w:val="22"/>
        </w:rPr>
        <w:t xml:space="preserve">%) </w:t>
      </w:r>
    </w:p>
    <w:p w14:paraId="4E4856E7" w14:textId="4E814D34" w:rsidR="00FD3237" w:rsidRDefault="00FD3237">
      <w:pPr>
        <w:pStyle w:val="ListParagraph"/>
        <w:numPr>
          <w:ilvl w:val="0"/>
          <w:numId w:val="4"/>
        </w:numPr>
        <w:spacing w:before="240" w:line="360" w:lineRule="auto"/>
        <w:jc w:val="both"/>
        <w:rPr>
          <w:rFonts w:asciiTheme="minorHAnsi" w:hAnsiTheme="minorHAnsi" w:cstheme="minorHAnsi"/>
          <w:sz w:val="22"/>
          <w:szCs w:val="22"/>
        </w:rPr>
      </w:pPr>
      <w:r>
        <w:rPr>
          <w:rFonts w:asciiTheme="minorHAnsi" w:hAnsiTheme="minorHAnsi" w:cstheme="minorHAnsi"/>
          <w:sz w:val="22"/>
          <w:szCs w:val="22"/>
        </w:rPr>
        <w:t xml:space="preserve">rezervnih dijelova </w:t>
      </w:r>
      <w:r w:rsidR="00921700" w:rsidRPr="00FA06FF">
        <w:rPr>
          <w:rFonts w:asciiTheme="minorHAnsi" w:hAnsiTheme="minorHAnsi" w:cstheme="minorHAnsi"/>
          <w:sz w:val="22"/>
          <w:szCs w:val="22"/>
        </w:rPr>
        <w:t>(</w:t>
      </w:r>
      <w:r w:rsidR="00921700">
        <w:rPr>
          <w:rFonts w:asciiTheme="minorHAnsi" w:hAnsiTheme="minorHAnsi" w:cstheme="minorHAnsi"/>
          <w:sz w:val="22"/>
          <w:szCs w:val="22"/>
        </w:rPr>
        <w:t>-67</w:t>
      </w:r>
      <w:r w:rsidR="00921700" w:rsidRPr="00FA06FF">
        <w:rPr>
          <w:rFonts w:asciiTheme="minorHAnsi" w:hAnsiTheme="minorHAnsi" w:cstheme="minorHAnsi"/>
          <w:sz w:val="22"/>
          <w:szCs w:val="22"/>
        </w:rPr>
        <w:t xml:space="preserve">%) </w:t>
      </w:r>
      <w:r w:rsidR="00921700">
        <w:rPr>
          <w:rFonts w:asciiTheme="minorHAnsi" w:hAnsiTheme="minorHAnsi" w:cstheme="minorHAnsi"/>
          <w:sz w:val="22"/>
          <w:szCs w:val="22"/>
        </w:rPr>
        <w:t>- uključeni su u ugovor o održavanju postrojenja</w:t>
      </w:r>
    </w:p>
    <w:p w14:paraId="110AD1C1" w14:textId="2514DC57" w:rsidR="00FD3237" w:rsidRDefault="00FD3237">
      <w:pPr>
        <w:pStyle w:val="ListParagraph"/>
        <w:numPr>
          <w:ilvl w:val="0"/>
          <w:numId w:val="4"/>
        </w:numPr>
        <w:spacing w:before="240" w:line="360" w:lineRule="auto"/>
        <w:jc w:val="both"/>
        <w:rPr>
          <w:rFonts w:asciiTheme="minorHAnsi" w:hAnsiTheme="minorHAnsi" w:cstheme="minorHAnsi"/>
          <w:sz w:val="22"/>
          <w:szCs w:val="22"/>
        </w:rPr>
      </w:pPr>
      <w:r>
        <w:rPr>
          <w:rFonts w:asciiTheme="minorHAnsi" w:hAnsiTheme="minorHAnsi" w:cstheme="minorHAnsi"/>
          <w:sz w:val="22"/>
          <w:szCs w:val="22"/>
        </w:rPr>
        <w:t xml:space="preserve">električne energije </w:t>
      </w:r>
      <w:r w:rsidR="00921700" w:rsidRPr="00FA06FF">
        <w:rPr>
          <w:rFonts w:asciiTheme="minorHAnsi" w:hAnsiTheme="minorHAnsi" w:cstheme="minorHAnsi"/>
          <w:sz w:val="22"/>
          <w:szCs w:val="22"/>
        </w:rPr>
        <w:t>(</w:t>
      </w:r>
      <w:r w:rsidR="00921700">
        <w:rPr>
          <w:rFonts w:asciiTheme="minorHAnsi" w:hAnsiTheme="minorHAnsi" w:cstheme="minorHAnsi"/>
          <w:sz w:val="22"/>
          <w:szCs w:val="22"/>
        </w:rPr>
        <w:t>-9</w:t>
      </w:r>
      <w:r w:rsidR="00921700" w:rsidRPr="00FA06FF">
        <w:rPr>
          <w:rFonts w:asciiTheme="minorHAnsi" w:hAnsiTheme="minorHAnsi" w:cstheme="minorHAnsi"/>
          <w:sz w:val="22"/>
          <w:szCs w:val="22"/>
        </w:rPr>
        <w:t xml:space="preserve">%) </w:t>
      </w:r>
      <w:r w:rsidR="00921700">
        <w:rPr>
          <w:rFonts w:asciiTheme="minorHAnsi" w:hAnsiTheme="minorHAnsi" w:cstheme="minorHAnsi"/>
          <w:sz w:val="22"/>
          <w:szCs w:val="22"/>
        </w:rPr>
        <w:t>– smanjenje cijene na temelju provedenog postupka javne nabave</w:t>
      </w:r>
    </w:p>
    <w:p w14:paraId="7FD8A595" w14:textId="464FEFD2" w:rsidR="00FA06FF" w:rsidRPr="001C258B" w:rsidRDefault="00FD3237">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plina</w:t>
      </w:r>
      <w:r w:rsidR="00921700">
        <w:rPr>
          <w:rFonts w:asciiTheme="minorHAnsi" w:hAnsiTheme="minorHAnsi" w:cstheme="minorHAnsi"/>
          <w:sz w:val="22"/>
          <w:szCs w:val="22"/>
        </w:rPr>
        <w:t xml:space="preserve"> </w:t>
      </w:r>
      <w:r w:rsidR="00921700" w:rsidRPr="00FA06FF">
        <w:rPr>
          <w:rFonts w:asciiTheme="minorHAnsi" w:hAnsiTheme="minorHAnsi" w:cstheme="minorHAnsi"/>
          <w:sz w:val="22"/>
          <w:szCs w:val="22"/>
        </w:rPr>
        <w:t>(</w:t>
      </w:r>
      <w:r w:rsidR="00921700">
        <w:rPr>
          <w:rFonts w:asciiTheme="minorHAnsi" w:hAnsiTheme="minorHAnsi" w:cstheme="minorHAnsi"/>
          <w:sz w:val="22"/>
          <w:szCs w:val="22"/>
        </w:rPr>
        <w:t>-2</w:t>
      </w:r>
      <w:r w:rsidR="00921700" w:rsidRPr="00FA06FF">
        <w:rPr>
          <w:rFonts w:asciiTheme="minorHAnsi" w:hAnsiTheme="minorHAnsi" w:cstheme="minorHAnsi"/>
          <w:sz w:val="22"/>
          <w:szCs w:val="22"/>
        </w:rPr>
        <w:t>%)</w:t>
      </w:r>
    </w:p>
    <w:p w14:paraId="22D93DA1" w14:textId="4ED28244" w:rsidR="00FD3237" w:rsidRDefault="00FA06FF" w:rsidP="0013373B">
      <w:pPr>
        <w:spacing w:before="240" w:after="240" w:line="360" w:lineRule="auto"/>
        <w:jc w:val="both"/>
        <w:rPr>
          <w:rFonts w:cstheme="minorHAnsi"/>
        </w:rPr>
      </w:pPr>
      <w:r w:rsidRPr="00FA06FF">
        <w:rPr>
          <w:rFonts w:cstheme="minorHAnsi"/>
        </w:rPr>
        <w:t xml:space="preserve">Troškovi koji su ostali na razini prethodnog razdoblja </w:t>
      </w:r>
      <w:r w:rsidR="007F7A7F">
        <w:rPr>
          <w:rFonts w:cstheme="minorHAnsi"/>
        </w:rPr>
        <w:t xml:space="preserve">odnose se na </w:t>
      </w:r>
      <w:r w:rsidRPr="00FA06FF">
        <w:rPr>
          <w:rFonts w:cstheme="minorHAnsi"/>
        </w:rPr>
        <w:t xml:space="preserve"> </w:t>
      </w:r>
      <w:r>
        <w:rPr>
          <w:rFonts w:cstheme="minorHAnsi"/>
        </w:rPr>
        <w:t>sitn</w:t>
      </w:r>
      <w:r w:rsidR="007F7A7F">
        <w:rPr>
          <w:rFonts w:cstheme="minorHAnsi"/>
        </w:rPr>
        <w:t xml:space="preserve">i </w:t>
      </w:r>
      <w:r>
        <w:rPr>
          <w:rFonts w:cstheme="minorHAnsi"/>
        </w:rPr>
        <w:t>inventar i auto gum</w:t>
      </w:r>
      <w:r w:rsidR="007F7A7F">
        <w:rPr>
          <w:rFonts w:cstheme="minorHAnsi"/>
        </w:rPr>
        <w:t>e</w:t>
      </w:r>
      <w:r>
        <w:rPr>
          <w:rFonts w:cstheme="minorHAnsi"/>
        </w:rPr>
        <w:t>.</w:t>
      </w:r>
    </w:p>
    <w:p w14:paraId="718B5A27" w14:textId="616DBD3D" w:rsidR="00E9501A" w:rsidRPr="00E9501A" w:rsidRDefault="00E9501A" w:rsidP="0013373B">
      <w:pPr>
        <w:pStyle w:val="Heading3"/>
        <w:spacing w:before="240" w:after="240"/>
      </w:pPr>
      <w:bookmarkStart w:id="59" w:name="_Toc200094287"/>
      <w:r w:rsidRPr="00E9501A">
        <w:t>3.2.2.Ostali vanjski troškovi</w:t>
      </w:r>
      <w:bookmarkEnd w:id="59"/>
    </w:p>
    <w:p w14:paraId="2192EE4D" w14:textId="1DD630C1" w:rsidR="00E73924" w:rsidRPr="002B7C2F" w:rsidRDefault="00E5320A" w:rsidP="0013373B">
      <w:pPr>
        <w:spacing w:before="240" w:after="240" w:line="360" w:lineRule="auto"/>
        <w:jc w:val="both"/>
      </w:pPr>
      <w:r w:rsidRPr="002B7C2F">
        <w:rPr>
          <w:b/>
          <w:bCs/>
        </w:rPr>
        <w:t>Ostali vanjski troškovi</w:t>
      </w:r>
      <w:r w:rsidRPr="002B7C2F">
        <w:t xml:space="preserve"> </w:t>
      </w:r>
      <w:r w:rsidR="00C37DC8" w:rsidRPr="00C37DC8">
        <w:t xml:space="preserve">u 2024. godini iznose 5.059.398 eura, što predstavlja smanjenje od 4% u odnosu na rebalans plana, ali i povećanje od 7% u odnosu na prethodnu godinu. </w:t>
      </w:r>
      <w:r w:rsidR="0098008C" w:rsidRPr="002B7C2F">
        <w:t>U nastavku slijedi analitički pregled ostalih vanjskih troškova.</w:t>
      </w:r>
    </w:p>
    <w:p w14:paraId="24535167" w14:textId="6E556A1E" w:rsidR="00E67FD7" w:rsidRPr="00936B85" w:rsidRDefault="00E67FD7" w:rsidP="005266B1">
      <w:pPr>
        <w:pStyle w:val="Caption"/>
        <w:spacing w:before="240" w:after="360"/>
        <w:rPr>
          <w:rFonts w:cstheme="minorHAnsi"/>
        </w:rPr>
      </w:pPr>
      <w:bookmarkStart w:id="60" w:name="_Toc200366458"/>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20</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Ostali vanjski troškovi</w:t>
      </w:r>
      <w:bookmarkEnd w:id="60"/>
    </w:p>
    <w:tbl>
      <w:tblPr>
        <w:tblW w:w="97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3"/>
        <w:gridCol w:w="2981"/>
        <w:gridCol w:w="1490"/>
        <w:gridCol w:w="1490"/>
        <w:gridCol w:w="1490"/>
        <w:gridCol w:w="766"/>
        <w:gridCol w:w="766"/>
      </w:tblGrid>
      <w:tr w:rsidR="0013564D" w:rsidRPr="00CD6835" w14:paraId="2B631A66" w14:textId="77777777" w:rsidTr="00B67921">
        <w:trPr>
          <w:trHeight w:val="624"/>
        </w:trPr>
        <w:tc>
          <w:tcPr>
            <w:tcW w:w="723" w:type="dxa"/>
            <w:tcBorders>
              <w:top w:val="single" w:sz="4" w:space="0" w:color="auto"/>
              <w:bottom w:val="single" w:sz="4" w:space="0" w:color="auto"/>
            </w:tcBorders>
            <w:shd w:val="clear" w:color="auto" w:fill="auto"/>
            <w:noWrap/>
            <w:vAlign w:val="center"/>
            <w:hideMark/>
          </w:tcPr>
          <w:p w14:paraId="150C174D" w14:textId="43A7FCE4" w:rsidR="0013564D" w:rsidRPr="00CB1CFB" w:rsidRDefault="0013564D" w:rsidP="0013564D">
            <w:pPr>
              <w:spacing w:after="0" w:line="240" w:lineRule="auto"/>
              <w:rPr>
                <w:rFonts w:ascii="Calibri" w:eastAsia="Times New Roman" w:hAnsi="Calibri" w:cs="Calibri"/>
                <w:b/>
                <w:bCs/>
                <w:sz w:val="20"/>
                <w:szCs w:val="20"/>
                <w:lang w:eastAsia="hr-HR"/>
              </w:rPr>
            </w:pPr>
            <w:r w:rsidRPr="00264869">
              <w:rPr>
                <w:rFonts w:eastAsia="Times New Roman" w:cstheme="minorHAnsi"/>
                <w:b/>
                <w:bCs/>
                <w:sz w:val="18"/>
                <w:szCs w:val="18"/>
                <w:lang w:eastAsia="hr-HR"/>
              </w:rPr>
              <w:t>R. br.</w:t>
            </w:r>
          </w:p>
        </w:tc>
        <w:tc>
          <w:tcPr>
            <w:tcW w:w="2981" w:type="dxa"/>
            <w:tcBorders>
              <w:top w:val="single" w:sz="4" w:space="0" w:color="auto"/>
              <w:bottom w:val="single" w:sz="4" w:space="0" w:color="auto"/>
            </w:tcBorders>
            <w:shd w:val="clear" w:color="auto" w:fill="auto"/>
            <w:noWrap/>
            <w:vAlign w:val="center"/>
            <w:hideMark/>
          </w:tcPr>
          <w:p w14:paraId="0BE697ED" w14:textId="1FB22B8D" w:rsidR="0013564D" w:rsidRPr="00CB1CFB" w:rsidRDefault="0013564D" w:rsidP="0013564D">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 xml:space="preserve">O p i s </w:t>
            </w:r>
          </w:p>
        </w:tc>
        <w:tc>
          <w:tcPr>
            <w:tcW w:w="1490" w:type="dxa"/>
            <w:tcBorders>
              <w:top w:val="single" w:sz="4" w:space="0" w:color="auto"/>
              <w:bottom w:val="single" w:sz="4" w:space="0" w:color="auto"/>
            </w:tcBorders>
            <w:shd w:val="clear" w:color="auto" w:fill="auto"/>
            <w:noWrap/>
            <w:vAlign w:val="center"/>
            <w:hideMark/>
          </w:tcPr>
          <w:p w14:paraId="285F265B" w14:textId="4ECAC699" w:rsidR="0013564D" w:rsidRPr="00CB1CFB" w:rsidRDefault="0013564D" w:rsidP="0013564D">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sidR="00B67921">
              <w:rPr>
                <w:rFonts w:eastAsia="Times New Roman" w:cstheme="minorHAnsi"/>
                <w:b/>
                <w:bCs/>
                <w:sz w:val="18"/>
                <w:szCs w:val="18"/>
                <w:lang w:eastAsia="hr-HR"/>
              </w:rPr>
              <w:t>3</w:t>
            </w:r>
          </w:p>
        </w:tc>
        <w:tc>
          <w:tcPr>
            <w:tcW w:w="1490" w:type="dxa"/>
            <w:tcBorders>
              <w:top w:val="single" w:sz="4" w:space="0" w:color="auto"/>
              <w:bottom w:val="single" w:sz="4" w:space="0" w:color="auto"/>
            </w:tcBorders>
            <w:shd w:val="clear" w:color="auto" w:fill="auto"/>
            <w:noWrap/>
            <w:vAlign w:val="center"/>
            <w:hideMark/>
          </w:tcPr>
          <w:p w14:paraId="654F40EE" w14:textId="1556DBE3" w:rsidR="0013564D" w:rsidRPr="00CB1CFB" w:rsidRDefault="0013564D" w:rsidP="0013564D">
            <w:pPr>
              <w:spacing w:after="0" w:line="240" w:lineRule="auto"/>
              <w:jc w:val="center"/>
              <w:rPr>
                <w:rFonts w:ascii="Calibri" w:eastAsia="Times New Roman" w:hAnsi="Calibri" w:cs="Calibr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sidR="00B67921">
              <w:rPr>
                <w:rFonts w:eastAsia="Times New Roman" w:cstheme="minorHAnsi"/>
                <w:b/>
                <w:bCs/>
                <w:sz w:val="18"/>
                <w:szCs w:val="18"/>
                <w:lang w:eastAsia="hr-HR"/>
              </w:rPr>
              <w:t>4</w:t>
            </w:r>
          </w:p>
        </w:tc>
        <w:tc>
          <w:tcPr>
            <w:tcW w:w="1490" w:type="dxa"/>
            <w:tcBorders>
              <w:top w:val="single" w:sz="4" w:space="0" w:color="auto"/>
              <w:bottom w:val="single" w:sz="4" w:space="0" w:color="auto"/>
            </w:tcBorders>
            <w:shd w:val="clear" w:color="auto" w:fill="auto"/>
            <w:noWrap/>
            <w:vAlign w:val="center"/>
            <w:hideMark/>
          </w:tcPr>
          <w:p w14:paraId="2C7ADC6E" w14:textId="328A4253" w:rsidR="0013564D" w:rsidRPr="00CB1CFB" w:rsidRDefault="0013564D" w:rsidP="0013564D">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sidR="00B67921">
              <w:rPr>
                <w:rFonts w:eastAsia="Times New Roman" w:cstheme="minorHAnsi"/>
                <w:b/>
                <w:bCs/>
                <w:sz w:val="18"/>
                <w:szCs w:val="18"/>
                <w:lang w:eastAsia="hr-HR"/>
              </w:rPr>
              <w:t>4</w:t>
            </w:r>
          </w:p>
        </w:tc>
        <w:tc>
          <w:tcPr>
            <w:tcW w:w="766" w:type="dxa"/>
            <w:tcBorders>
              <w:top w:val="single" w:sz="4" w:space="0" w:color="auto"/>
              <w:bottom w:val="single" w:sz="4" w:space="0" w:color="auto"/>
            </w:tcBorders>
            <w:shd w:val="clear" w:color="auto" w:fill="auto"/>
            <w:noWrap/>
            <w:vAlign w:val="center"/>
            <w:hideMark/>
          </w:tcPr>
          <w:p w14:paraId="00672601" w14:textId="0D22212C" w:rsidR="0013564D" w:rsidRPr="00CB1CFB" w:rsidRDefault="0013564D" w:rsidP="0013564D">
            <w:pPr>
              <w:spacing w:after="0" w:line="240" w:lineRule="auto"/>
              <w:jc w:val="center"/>
              <w:rPr>
                <w:rFonts w:ascii="Calibri" w:eastAsia="Times New Roman" w:hAnsi="Calibri" w:cs="Calibri"/>
                <w:b/>
                <w:bCs/>
                <w:color w:val="000000"/>
                <w:sz w:val="20"/>
                <w:szCs w:val="20"/>
                <w:lang w:eastAsia="hr-HR"/>
              </w:rPr>
            </w:pPr>
            <w:r w:rsidRPr="00264869">
              <w:rPr>
                <w:rFonts w:eastAsia="Times New Roman" w:cstheme="minorHAnsi"/>
                <w:b/>
                <w:bCs/>
                <w:color w:val="000000"/>
                <w:sz w:val="18"/>
                <w:szCs w:val="18"/>
                <w:lang w:eastAsia="hr-HR"/>
              </w:rPr>
              <w:t>index   (5/3)</w:t>
            </w:r>
          </w:p>
        </w:tc>
        <w:tc>
          <w:tcPr>
            <w:tcW w:w="766" w:type="dxa"/>
            <w:tcBorders>
              <w:top w:val="single" w:sz="4" w:space="0" w:color="auto"/>
              <w:bottom w:val="single" w:sz="4" w:space="0" w:color="auto"/>
            </w:tcBorders>
            <w:shd w:val="clear" w:color="auto" w:fill="auto"/>
            <w:noWrap/>
            <w:vAlign w:val="center"/>
            <w:hideMark/>
          </w:tcPr>
          <w:p w14:paraId="1029B721" w14:textId="703A9F3A" w:rsidR="0013564D" w:rsidRPr="00CB1CFB" w:rsidRDefault="0013564D" w:rsidP="0013564D">
            <w:pPr>
              <w:spacing w:after="0" w:line="240" w:lineRule="auto"/>
              <w:jc w:val="center"/>
              <w:rPr>
                <w:rFonts w:ascii="Calibri" w:eastAsia="Times New Roman" w:hAnsi="Calibri" w:cs="Calibri"/>
                <w:b/>
                <w:bCs/>
                <w:color w:val="000000"/>
                <w:sz w:val="20"/>
                <w:szCs w:val="20"/>
                <w:lang w:eastAsia="hr-HR"/>
              </w:rPr>
            </w:pPr>
            <w:r w:rsidRPr="00264869">
              <w:rPr>
                <w:rFonts w:eastAsia="Times New Roman" w:cstheme="minorHAnsi"/>
                <w:b/>
                <w:bCs/>
                <w:color w:val="000000"/>
                <w:sz w:val="18"/>
                <w:szCs w:val="18"/>
                <w:lang w:eastAsia="hr-HR"/>
              </w:rPr>
              <w:t>indeks (5/4)</w:t>
            </w:r>
          </w:p>
        </w:tc>
      </w:tr>
      <w:tr w:rsidR="000B1275" w:rsidRPr="00CD6835" w14:paraId="53832CCA" w14:textId="77777777" w:rsidTr="00B67921">
        <w:trPr>
          <w:trHeight w:val="170"/>
        </w:trPr>
        <w:tc>
          <w:tcPr>
            <w:tcW w:w="723" w:type="dxa"/>
            <w:tcBorders>
              <w:top w:val="single" w:sz="4" w:space="0" w:color="auto"/>
              <w:bottom w:val="single" w:sz="4" w:space="0" w:color="auto"/>
            </w:tcBorders>
            <w:shd w:val="clear" w:color="auto" w:fill="auto"/>
            <w:noWrap/>
            <w:vAlign w:val="center"/>
          </w:tcPr>
          <w:p w14:paraId="1CA22296" w14:textId="6A5A1C58" w:rsidR="000B1275" w:rsidRPr="00B67921" w:rsidRDefault="000B1275" w:rsidP="000B1275">
            <w:pPr>
              <w:spacing w:after="0" w:line="240" w:lineRule="auto"/>
              <w:jc w:val="center"/>
              <w:rPr>
                <w:rFonts w:ascii="Calibri" w:eastAsia="Times New Roman" w:hAnsi="Calibri" w:cs="Calibri"/>
                <w:b/>
                <w:bCs/>
                <w:i/>
                <w:iCs/>
                <w:color w:val="D9D9D9" w:themeColor="background1" w:themeShade="D9"/>
                <w:sz w:val="14"/>
                <w:szCs w:val="14"/>
                <w:lang w:eastAsia="hr-HR"/>
              </w:rPr>
            </w:pPr>
            <w:r w:rsidRPr="00B67921">
              <w:rPr>
                <w:rFonts w:ascii="Calibri" w:eastAsia="Times New Roman" w:hAnsi="Calibri" w:cs="Calibri"/>
                <w:b/>
                <w:bCs/>
                <w:i/>
                <w:iCs/>
                <w:color w:val="D9D9D9" w:themeColor="background1" w:themeShade="D9"/>
                <w:sz w:val="14"/>
                <w:szCs w:val="14"/>
                <w:lang w:eastAsia="hr-HR"/>
              </w:rPr>
              <w:t>1</w:t>
            </w:r>
          </w:p>
        </w:tc>
        <w:tc>
          <w:tcPr>
            <w:tcW w:w="2981" w:type="dxa"/>
            <w:tcBorders>
              <w:top w:val="single" w:sz="4" w:space="0" w:color="auto"/>
              <w:bottom w:val="single" w:sz="4" w:space="0" w:color="auto"/>
            </w:tcBorders>
            <w:shd w:val="clear" w:color="auto" w:fill="auto"/>
            <w:noWrap/>
            <w:vAlign w:val="center"/>
          </w:tcPr>
          <w:p w14:paraId="1315A0EC" w14:textId="1DFE4971" w:rsidR="000B1275" w:rsidRPr="00B67921" w:rsidRDefault="000B1275" w:rsidP="000B1275">
            <w:pPr>
              <w:spacing w:after="0" w:line="240" w:lineRule="auto"/>
              <w:jc w:val="center"/>
              <w:rPr>
                <w:rFonts w:ascii="Calibri" w:eastAsia="Times New Roman" w:hAnsi="Calibri" w:cs="Calibri"/>
                <w:b/>
                <w:bCs/>
                <w:i/>
                <w:iCs/>
                <w:color w:val="D9D9D9" w:themeColor="background1" w:themeShade="D9"/>
                <w:sz w:val="14"/>
                <w:szCs w:val="14"/>
                <w:lang w:eastAsia="hr-HR"/>
              </w:rPr>
            </w:pPr>
            <w:r w:rsidRPr="00B67921">
              <w:rPr>
                <w:rFonts w:ascii="Calibri" w:eastAsia="Times New Roman" w:hAnsi="Calibri" w:cs="Calibri"/>
                <w:b/>
                <w:bCs/>
                <w:i/>
                <w:iCs/>
                <w:color w:val="D9D9D9" w:themeColor="background1" w:themeShade="D9"/>
                <w:sz w:val="14"/>
                <w:szCs w:val="14"/>
                <w:lang w:eastAsia="hr-HR"/>
              </w:rPr>
              <w:t>2</w:t>
            </w:r>
          </w:p>
        </w:tc>
        <w:tc>
          <w:tcPr>
            <w:tcW w:w="1490" w:type="dxa"/>
            <w:tcBorders>
              <w:top w:val="single" w:sz="4" w:space="0" w:color="auto"/>
              <w:bottom w:val="single" w:sz="4" w:space="0" w:color="auto"/>
            </w:tcBorders>
            <w:shd w:val="clear" w:color="auto" w:fill="auto"/>
            <w:noWrap/>
            <w:vAlign w:val="center"/>
          </w:tcPr>
          <w:p w14:paraId="3FCB3BB3" w14:textId="3F5435FD" w:rsidR="000B1275" w:rsidRPr="00B67921" w:rsidRDefault="000B1275" w:rsidP="000B1275">
            <w:pPr>
              <w:spacing w:after="0" w:line="240" w:lineRule="auto"/>
              <w:jc w:val="center"/>
              <w:rPr>
                <w:rFonts w:ascii="Calibri" w:eastAsia="Times New Roman" w:hAnsi="Calibri" w:cs="Calibri"/>
                <w:b/>
                <w:bCs/>
                <w:i/>
                <w:iCs/>
                <w:color w:val="D9D9D9" w:themeColor="background1" w:themeShade="D9"/>
                <w:sz w:val="14"/>
                <w:szCs w:val="14"/>
                <w:lang w:eastAsia="hr-HR"/>
              </w:rPr>
            </w:pPr>
            <w:r w:rsidRPr="00B67921">
              <w:rPr>
                <w:rFonts w:ascii="Calibri" w:eastAsia="Times New Roman" w:hAnsi="Calibri" w:cs="Calibri"/>
                <w:b/>
                <w:bCs/>
                <w:i/>
                <w:iCs/>
                <w:color w:val="D9D9D9" w:themeColor="background1" w:themeShade="D9"/>
                <w:sz w:val="14"/>
                <w:szCs w:val="14"/>
                <w:lang w:eastAsia="hr-HR"/>
              </w:rPr>
              <w:t>3</w:t>
            </w:r>
          </w:p>
        </w:tc>
        <w:tc>
          <w:tcPr>
            <w:tcW w:w="1490" w:type="dxa"/>
            <w:tcBorders>
              <w:top w:val="single" w:sz="4" w:space="0" w:color="auto"/>
              <w:bottom w:val="single" w:sz="4" w:space="0" w:color="auto"/>
            </w:tcBorders>
            <w:shd w:val="clear" w:color="auto" w:fill="auto"/>
            <w:noWrap/>
            <w:vAlign w:val="center"/>
          </w:tcPr>
          <w:p w14:paraId="72BE242E" w14:textId="1CA7FEC2" w:rsidR="000B1275" w:rsidRPr="00B67921" w:rsidRDefault="000B1275" w:rsidP="000B1275">
            <w:pPr>
              <w:spacing w:after="0" w:line="240" w:lineRule="auto"/>
              <w:jc w:val="center"/>
              <w:rPr>
                <w:rFonts w:eastAsia="Times New Roman" w:cstheme="minorHAnsi"/>
                <w:b/>
                <w:bCs/>
                <w:i/>
                <w:iCs/>
                <w:color w:val="D9D9D9" w:themeColor="background1" w:themeShade="D9"/>
                <w:sz w:val="14"/>
                <w:szCs w:val="14"/>
                <w:lang w:eastAsia="hr-HR"/>
              </w:rPr>
            </w:pPr>
            <w:r w:rsidRPr="00B67921">
              <w:rPr>
                <w:rFonts w:eastAsia="Times New Roman" w:cstheme="minorHAnsi"/>
                <w:b/>
                <w:bCs/>
                <w:i/>
                <w:iCs/>
                <w:color w:val="D9D9D9" w:themeColor="background1" w:themeShade="D9"/>
                <w:sz w:val="14"/>
                <w:szCs w:val="14"/>
                <w:lang w:eastAsia="hr-HR"/>
              </w:rPr>
              <w:t>4</w:t>
            </w:r>
          </w:p>
        </w:tc>
        <w:tc>
          <w:tcPr>
            <w:tcW w:w="1490" w:type="dxa"/>
            <w:tcBorders>
              <w:top w:val="single" w:sz="4" w:space="0" w:color="auto"/>
              <w:bottom w:val="single" w:sz="4" w:space="0" w:color="auto"/>
            </w:tcBorders>
            <w:shd w:val="clear" w:color="auto" w:fill="auto"/>
            <w:noWrap/>
            <w:vAlign w:val="center"/>
          </w:tcPr>
          <w:p w14:paraId="037EF6F8" w14:textId="73E515C4" w:rsidR="000B1275" w:rsidRPr="00B67921" w:rsidRDefault="000B1275" w:rsidP="000B1275">
            <w:pPr>
              <w:spacing w:after="0" w:line="240" w:lineRule="auto"/>
              <w:jc w:val="center"/>
              <w:rPr>
                <w:rFonts w:ascii="Calibri" w:eastAsia="Times New Roman" w:hAnsi="Calibri" w:cs="Calibri"/>
                <w:b/>
                <w:bCs/>
                <w:i/>
                <w:iCs/>
                <w:color w:val="D9D9D9" w:themeColor="background1" w:themeShade="D9"/>
                <w:sz w:val="14"/>
                <w:szCs w:val="14"/>
                <w:lang w:eastAsia="hr-HR"/>
              </w:rPr>
            </w:pPr>
            <w:r w:rsidRPr="00B67921">
              <w:rPr>
                <w:rFonts w:ascii="Calibri" w:eastAsia="Times New Roman" w:hAnsi="Calibri" w:cs="Calibri"/>
                <w:b/>
                <w:bCs/>
                <w:i/>
                <w:iCs/>
                <w:color w:val="D9D9D9" w:themeColor="background1" w:themeShade="D9"/>
                <w:sz w:val="14"/>
                <w:szCs w:val="14"/>
                <w:lang w:eastAsia="hr-HR"/>
              </w:rPr>
              <w:t>5</w:t>
            </w:r>
          </w:p>
        </w:tc>
        <w:tc>
          <w:tcPr>
            <w:tcW w:w="766" w:type="dxa"/>
            <w:tcBorders>
              <w:top w:val="single" w:sz="4" w:space="0" w:color="auto"/>
              <w:bottom w:val="single" w:sz="4" w:space="0" w:color="auto"/>
            </w:tcBorders>
            <w:shd w:val="clear" w:color="auto" w:fill="auto"/>
            <w:noWrap/>
            <w:vAlign w:val="center"/>
          </w:tcPr>
          <w:p w14:paraId="38D53E1E" w14:textId="3680F05F" w:rsidR="000B1275" w:rsidRPr="00B67921" w:rsidRDefault="000B1275" w:rsidP="000B1275">
            <w:pPr>
              <w:spacing w:after="0" w:line="240" w:lineRule="auto"/>
              <w:jc w:val="center"/>
              <w:rPr>
                <w:rFonts w:ascii="Calibri" w:eastAsia="Times New Roman" w:hAnsi="Calibri" w:cs="Calibri"/>
                <w:b/>
                <w:bCs/>
                <w:i/>
                <w:iCs/>
                <w:color w:val="D9D9D9" w:themeColor="background1" w:themeShade="D9"/>
                <w:sz w:val="14"/>
                <w:szCs w:val="14"/>
                <w:lang w:eastAsia="hr-HR"/>
              </w:rPr>
            </w:pPr>
            <w:r w:rsidRPr="00B67921">
              <w:rPr>
                <w:rFonts w:ascii="Calibri" w:eastAsia="Times New Roman" w:hAnsi="Calibri" w:cs="Calibri"/>
                <w:b/>
                <w:bCs/>
                <w:i/>
                <w:iCs/>
                <w:color w:val="D9D9D9" w:themeColor="background1" w:themeShade="D9"/>
                <w:sz w:val="14"/>
                <w:szCs w:val="14"/>
                <w:lang w:eastAsia="hr-HR"/>
              </w:rPr>
              <w:t>6</w:t>
            </w:r>
          </w:p>
        </w:tc>
        <w:tc>
          <w:tcPr>
            <w:tcW w:w="766" w:type="dxa"/>
            <w:tcBorders>
              <w:top w:val="single" w:sz="4" w:space="0" w:color="auto"/>
              <w:bottom w:val="single" w:sz="4" w:space="0" w:color="auto"/>
            </w:tcBorders>
            <w:shd w:val="clear" w:color="auto" w:fill="auto"/>
            <w:noWrap/>
            <w:vAlign w:val="center"/>
          </w:tcPr>
          <w:p w14:paraId="67BCDD50" w14:textId="0B924335" w:rsidR="000B1275" w:rsidRPr="00B67921" w:rsidRDefault="000B1275" w:rsidP="000B1275">
            <w:pPr>
              <w:spacing w:after="0" w:line="240" w:lineRule="auto"/>
              <w:jc w:val="center"/>
              <w:rPr>
                <w:rFonts w:ascii="Calibri" w:eastAsia="Times New Roman" w:hAnsi="Calibri" w:cs="Calibri"/>
                <w:b/>
                <w:bCs/>
                <w:i/>
                <w:iCs/>
                <w:color w:val="D9D9D9" w:themeColor="background1" w:themeShade="D9"/>
                <w:sz w:val="14"/>
                <w:szCs w:val="14"/>
                <w:lang w:eastAsia="hr-HR"/>
              </w:rPr>
            </w:pPr>
            <w:r w:rsidRPr="00B67921">
              <w:rPr>
                <w:rFonts w:ascii="Calibri" w:eastAsia="Times New Roman" w:hAnsi="Calibri" w:cs="Calibri"/>
                <w:b/>
                <w:bCs/>
                <w:i/>
                <w:iCs/>
                <w:color w:val="D9D9D9" w:themeColor="background1" w:themeShade="D9"/>
                <w:sz w:val="14"/>
                <w:szCs w:val="14"/>
                <w:lang w:eastAsia="hr-HR"/>
              </w:rPr>
              <w:t>7</w:t>
            </w:r>
          </w:p>
        </w:tc>
      </w:tr>
      <w:tr w:rsidR="00B67921" w:rsidRPr="00CD6835" w14:paraId="00AEB7E1" w14:textId="77777777" w:rsidTr="00B67921">
        <w:trPr>
          <w:trHeight w:val="340"/>
        </w:trPr>
        <w:tc>
          <w:tcPr>
            <w:tcW w:w="723" w:type="dxa"/>
            <w:tcBorders>
              <w:top w:val="single" w:sz="4" w:space="0" w:color="auto"/>
            </w:tcBorders>
            <w:shd w:val="clear" w:color="auto" w:fill="auto"/>
            <w:noWrap/>
            <w:vAlign w:val="bottom"/>
          </w:tcPr>
          <w:p w14:paraId="24CEDEDA" w14:textId="188B7057" w:rsidR="00B67921" w:rsidRPr="0013564D" w:rsidRDefault="00B67921" w:rsidP="00B67921">
            <w:pPr>
              <w:spacing w:after="0" w:line="240" w:lineRule="auto"/>
              <w:rPr>
                <w:rFonts w:ascii="Calibri" w:eastAsia="Times New Roman" w:hAnsi="Calibri" w:cs="Calibri"/>
                <w:b/>
                <w:bCs/>
                <w:sz w:val="18"/>
                <w:szCs w:val="18"/>
                <w:lang w:eastAsia="hr-HR"/>
              </w:rPr>
            </w:pPr>
            <w:r w:rsidRPr="0013564D">
              <w:rPr>
                <w:rFonts w:eastAsia="Times New Roman" w:cstheme="minorHAnsi"/>
                <w:b/>
                <w:bCs/>
                <w:sz w:val="18"/>
                <w:szCs w:val="18"/>
                <w:lang w:eastAsia="hr-HR"/>
              </w:rPr>
              <w:t>1.2</w:t>
            </w:r>
          </w:p>
        </w:tc>
        <w:tc>
          <w:tcPr>
            <w:tcW w:w="2981" w:type="dxa"/>
            <w:tcBorders>
              <w:top w:val="single" w:sz="4" w:space="0" w:color="auto"/>
            </w:tcBorders>
            <w:shd w:val="clear" w:color="auto" w:fill="auto"/>
            <w:noWrap/>
            <w:vAlign w:val="bottom"/>
          </w:tcPr>
          <w:p w14:paraId="2F48195A" w14:textId="49A02182" w:rsidR="00B67921" w:rsidRPr="0013564D" w:rsidRDefault="00B67921" w:rsidP="00B67921">
            <w:pPr>
              <w:spacing w:after="0" w:line="240" w:lineRule="auto"/>
              <w:rPr>
                <w:rFonts w:ascii="Calibri" w:eastAsia="Times New Roman" w:hAnsi="Calibri" w:cs="Calibri"/>
                <w:b/>
                <w:bCs/>
                <w:sz w:val="18"/>
                <w:szCs w:val="18"/>
                <w:lang w:eastAsia="hr-HR"/>
              </w:rPr>
            </w:pPr>
            <w:r w:rsidRPr="0013564D">
              <w:rPr>
                <w:rFonts w:ascii="Calibri" w:hAnsi="Calibri" w:cs="Calibri"/>
                <w:b/>
                <w:bCs/>
                <w:sz w:val="18"/>
                <w:szCs w:val="18"/>
              </w:rPr>
              <w:t>Ostali vanjski troškovi</w:t>
            </w:r>
          </w:p>
        </w:tc>
        <w:tc>
          <w:tcPr>
            <w:tcW w:w="1490" w:type="dxa"/>
            <w:tcBorders>
              <w:top w:val="single" w:sz="4" w:space="0" w:color="auto"/>
            </w:tcBorders>
            <w:shd w:val="clear" w:color="auto" w:fill="auto"/>
            <w:noWrap/>
            <w:vAlign w:val="bottom"/>
          </w:tcPr>
          <w:p w14:paraId="7C016875" w14:textId="5674B868" w:rsidR="00B67921" w:rsidRPr="00B67921" w:rsidRDefault="00B67921" w:rsidP="00B67921">
            <w:pPr>
              <w:spacing w:after="0" w:line="240" w:lineRule="auto"/>
              <w:jc w:val="center"/>
              <w:rPr>
                <w:rFonts w:eastAsia="Times New Roman" w:cstheme="minorHAnsi"/>
                <w:b/>
                <w:bCs/>
                <w:sz w:val="18"/>
                <w:szCs w:val="18"/>
                <w:lang w:eastAsia="hr-HR"/>
              </w:rPr>
            </w:pPr>
            <w:r w:rsidRPr="00B67921">
              <w:rPr>
                <w:rFonts w:cstheme="minorHAnsi"/>
                <w:b/>
                <w:bCs/>
                <w:sz w:val="18"/>
                <w:szCs w:val="18"/>
              </w:rPr>
              <w:t>4.724.591</w:t>
            </w:r>
          </w:p>
        </w:tc>
        <w:tc>
          <w:tcPr>
            <w:tcW w:w="1490" w:type="dxa"/>
            <w:tcBorders>
              <w:top w:val="single" w:sz="4" w:space="0" w:color="auto"/>
            </w:tcBorders>
            <w:shd w:val="clear" w:color="auto" w:fill="auto"/>
            <w:noWrap/>
            <w:vAlign w:val="bottom"/>
          </w:tcPr>
          <w:p w14:paraId="5D115DBE" w14:textId="0291EEE3" w:rsidR="00B67921" w:rsidRPr="00B67921" w:rsidRDefault="00B67921" w:rsidP="00B67921">
            <w:pPr>
              <w:spacing w:after="0" w:line="240" w:lineRule="auto"/>
              <w:jc w:val="center"/>
              <w:rPr>
                <w:rFonts w:eastAsia="Times New Roman" w:cstheme="minorHAnsi"/>
                <w:b/>
                <w:bCs/>
                <w:sz w:val="18"/>
                <w:szCs w:val="18"/>
                <w:lang w:eastAsia="hr-HR"/>
              </w:rPr>
            </w:pPr>
            <w:r w:rsidRPr="00B67921">
              <w:rPr>
                <w:rFonts w:cstheme="minorHAnsi"/>
                <w:b/>
                <w:bCs/>
                <w:sz w:val="18"/>
                <w:szCs w:val="18"/>
              </w:rPr>
              <w:t>5.252.893</w:t>
            </w:r>
          </w:p>
        </w:tc>
        <w:tc>
          <w:tcPr>
            <w:tcW w:w="1490" w:type="dxa"/>
            <w:tcBorders>
              <w:top w:val="single" w:sz="4" w:space="0" w:color="auto"/>
            </w:tcBorders>
            <w:shd w:val="clear" w:color="auto" w:fill="auto"/>
            <w:noWrap/>
            <w:vAlign w:val="bottom"/>
          </w:tcPr>
          <w:p w14:paraId="7E462AFF" w14:textId="3BE29C24" w:rsidR="00B67921" w:rsidRPr="00B67921" w:rsidRDefault="00B67921" w:rsidP="00B67921">
            <w:pPr>
              <w:spacing w:after="0" w:line="240" w:lineRule="auto"/>
              <w:jc w:val="center"/>
              <w:rPr>
                <w:rFonts w:eastAsia="Times New Roman" w:cstheme="minorHAnsi"/>
                <w:b/>
                <w:bCs/>
                <w:sz w:val="18"/>
                <w:szCs w:val="18"/>
                <w:lang w:eastAsia="hr-HR"/>
              </w:rPr>
            </w:pPr>
            <w:r w:rsidRPr="00B67921">
              <w:rPr>
                <w:rFonts w:cstheme="minorHAnsi"/>
                <w:b/>
                <w:bCs/>
                <w:sz w:val="18"/>
                <w:szCs w:val="18"/>
              </w:rPr>
              <w:t>5.059.398</w:t>
            </w:r>
          </w:p>
        </w:tc>
        <w:tc>
          <w:tcPr>
            <w:tcW w:w="766" w:type="dxa"/>
            <w:tcBorders>
              <w:top w:val="single" w:sz="4" w:space="0" w:color="auto"/>
            </w:tcBorders>
            <w:shd w:val="clear" w:color="auto" w:fill="auto"/>
            <w:noWrap/>
            <w:vAlign w:val="bottom"/>
          </w:tcPr>
          <w:p w14:paraId="64EC64D5" w14:textId="5CDDA260" w:rsidR="00B67921" w:rsidRPr="00B67921" w:rsidRDefault="00B67921" w:rsidP="00B67921">
            <w:pPr>
              <w:spacing w:after="0" w:line="240" w:lineRule="auto"/>
              <w:jc w:val="center"/>
              <w:rPr>
                <w:rFonts w:eastAsia="Times New Roman" w:cstheme="minorHAnsi"/>
                <w:b/>
                <w:bCs/>
                <w:sz w:val="18"/>
                <w:szCs w:val="18"/>
                <w:lang w:eastAsia="hr-HR"/>
              </w:rPr>
            </w:pPr>
            <w:r w:rsidRPr="00B67921">
              <w:rPr>
                <w:rFonts w:cstheme="minorHAnsi"/>
                <w:b/>
                <w:bCs/>
                <w:sz w:val="18"/>
                <w:szCs w:val="18"/>
              </w:rPr>
              <w:t>107%</w:t>
            </w:r>
          </w:p>
        </w:tc>
        <w:tc>
          <w:tcPr>
            <w:tcW w:w="766" w:type="dxa"/>
            <w:tcBorders>
              <w:top w:val="single" w:sz="4" w:space="0" w:color="auto"/>
            </w:tcBorders>
            <w:shd w:val="clear" w:color="auto" w:fill="auto"/>
            <w:noWrap/>
            <w:vAlign w:val="bottom"/>
          </w:tcPr>
          <w:p w14:paraId="5BE5244E" w14:textId="6C2247A5" w:rsidR="00B67921" w:rsidRPr="00B67921" w:rsidRDefault="00B67921" w:rsidP="00B67921">
            <w:pPr>
              <w:spacing w:after="0" w:line="240" w:lineRule="auto"/>
              <w:jc w:val="center"/>
              <w:rPr>
                <w:rFonts w:eastAsia="Times New Roman" w:cstheme="minorHAnsi"/>
                <w:b/>
                <w:bCs/>
                <w:sz w:val="18"/>
                <w:szCs w:val="18"/>
                <w:lang w:eastAsia="hr-HR"/>
              </w:rPr>
            </w:pPr>
            <w:r w:rsidRPr="00B67921">
              <w:rPr>
                <w:rFonts w:cstheme="minorHAnsi"/>
                <w:b/>
                <w:bCs/>
                <w:sz w:val="18"/>
                <w:szCs w:val="18"/>
              </w:rPr>
              <w:t>96%</w:t>
            </w:r>
          </w:p>
        </w:tc>
      </w:tr>
      <w:tr w:rsidR="00B67921" w:rsidRPr="00CD6835" w14:paraId="4F83D7AF" w14:textId="77777777" w:rsidTr="00B67921">
        <w:trPr>
          <w:trHeight w:val="340"/>
        </w:trPr>
        <w:tc>
          <w:tcPr>
            <w:tcW w:w="723" w:type="dxa"/>
            <w:shd w:val="clear" w:color="auto" w:fill="auto"/>
            <w:noWrap/>
            <w:vAlign w:val="bottom"/>
            <w:hideMark/>
          </w:tcPr>
          <w:p w14:paraId="13F87FC0" w14:textId="267AF7D9"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1.2.1</w:t>
            </w:r>
          </w:p>
        </w:tc>
        <w:tc>
          <w:tcPr>
            <w:tcW w:w="2981" w:type="dxa"/>
            <w:shd w:val="clear" w:color="auto" w:fill="auto"/>
            <w:noWrap/>
            <w:vAlign w:val="bottom"/>
            <w:hideMark/>
          </w:tcPr>
          <w:p w14:paraId="3F499362" w14:textId="492CD8B2"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Trošak telefona, prijevoza i sl.</w:t>
            </w:r>
          </w:p>
        </w:tc>
        <w:tc>
          <w:tcPr>
            <w:tcW w:w="1490" w:type="dxa"/>
            <w:shd w:val="clear" w:color="auto" w:fill="auto"/>
            <w:noWrap/>
            <w:vAlign w:val="bottom"/>
            <w:hideMark/>
          </w:tcPr>
          <w:p w14:paraId="04A7FE02" w14:textId="3C1FD793"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76.509</w:t>
            </w:r>
          </w:p>
        </w:tc>
        <w:tc>
          <w:tcPr>
            <w:tcW w:w="1490" w:type="dxa"/>
            <w:shd w:val="clear" w:color="auto" w:fill="auto"/>
            <w:noWrap/>
            <w:vAlign w:val="bottom"/>
            <w:hideMark/>
          </w:tcPr>
          <w:p w14:paraId="3BC83951" w14:textId="4147C633"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73.801</w:t>
            </w:r>
          </w:p>
        </w:tc>
        <w:tc>
          <w:tcPr>
            <w:tcW w:w="1490" w:type="dxa"/>
            <w:shd w:val="clear" w:color="auto" w:fill="auto"/>
            <w:noWrap/>
            <w:vAlign w:val="bottom"/>
            <w:hideMark/>
          </w:tcPr>
          <w:p w14:paraId="0B4BA0CF" w14:textId="7444E9C4"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70.416</w:t>
            </w:r>
          </w:p>
        </w:tc>
        <w:tc>
          <w:tcPr>
            <w:tcW w:w="766" w:type="dxa"/>
            <w:shd w:val="clear" w:color="auto" w:fill="auto"/>
            <w:noWrap/>
            <w:vAlign w:val="bottom"/>
            <w:hideMark/>
          </w:tcPr>
          <w:p w14:paraId="6F64EA81" w14:textId="4453602F"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92%</w:t>
            </w:r>
          </w:p>
        </w:tc>
        <w:tc>
          <w:tcPr>
            <w:tcW w:w="766" w:type="dxa"/>
            <w:shd w:val="clear" w:color="auto" w:fill="auto"/>
            <w:noWrap/>
            <w:vAlign w:val="bottom"/>
            <w:hideMark/>
          </w:tcPr>
          <w:p w14:paraId="0D8557BE" w14:textId="38CEB439"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95%</w:t>
            </w:r>
          </w:p>
        </w:tc>
      </w:tr>
      <w:tr w:rsidR="00B67921" w:rsidRPr="00CD6835" w14:paraId="0A240021" w14:textId="77777777" w:rsidTr="00B67921">
        <w:trPr>
          <w:trHeight w:val="340"/>
        </w:trPr>
        <w:tc>
          <w:tcPr>
            <w:tcW w:w="723" w:type="dxa"/>
            <w:shd w:val="clear" w:color="auto" w:fill="auto"/>
            <w:noWrap/>
            <w:vAlign w:val="bottom"/>
            <w:hideMark/>
          </w:tcPr>
          <w:p w14:paraId="0FF62F3E" w14:textId="2DF22A82"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1.2.2</w:t>
            </w:r>
          </w:p>
        </w:tc>
        <w:tc>
          <w:tcPr>
            <w:tcW w:w="2981" w:type="dxa"/>
            <w:shd w:val="clear" w:color="auto" w:fill="auto"/>
            <w:noWrap/>
            <w:vAlign w:val="bottom"/>
            <w:hideMark/>
          </w:tcPr>
          <w:p w14:paraId="727F08C1" w14:textId="227B6869" w:rsidR="00B67921" w:rsidRPr="0013564D" w:rsidRDefault="00B67921" w:rsidP="00B67921">
            <w:pPr>
              <w:spacing w:after="0" w:line="240" w:lineRule="auto"/>
              <w:rPr>
                <w:rFonts w:ascii="Calibri" w:eastAsia="Times New Roman" w:hAnsi="Calibri" w:cs="Calibri"/>
                <w:sz w:val="18"/>
                <w:szCs w:val="18"/>
                <w:lang w:eastAsia="hr-HR"/>
              </w:rPr>
            </w:pPr>
            <w:r>
              <w:rPr>
                <w:rFonts w:ascii="Calibri" w:hAnsi="Calibri" w:cs="Calibri"/>
                <w:sz w:val="18"/>
                <w:szCs w:val="18"/>
              </w:rPr>
              <w:t>Rad</w:t>
            </w:r>
            <w:r w:rsidRPr="0013564D">
              <w:rPr>
                <w:rFonts w:ascii="Calibri" w:hAnsi="Calibri" w:cs="Calibri"/>
                <w:sz w:val="18"/>
                <w:szCs w:val="18"/>
              </w:rPr>
              <w:t xml:space="preserve"> vanjskog osoblja i geodetske u</w:t>
            </w:r>
            <w:r>
              <w:rPr>
                <w:rFonts w:ascii="Calibri" w:hAnsi="Calibri" w:cs="Calibri"/>
                <w:sz w:val="18"/>
                <w:szCs w:val="18"/>
              </w:rPr>
              <w:t>sl.</w:t>
            </w:r>
          </w:p>
        </w:tc>
        <w:tc>
          <w:tcPr>
            <w:tcW w:w="1490" w:type="dxa"/>
            <w:shd w:val="clear" w:color="auto" w:fill="auto"/>
            <w:noWrap/>
            <w:vAlign w:val="bottom"/>
            <w:hideMark/>
          </w:tcPr>
          <w:p w14:paraId="0E7FCCE7" w14:textId="1FA0D80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43.487</w:t>
            </w:r>
          </w:p>
        </w:tc>
        <w:tc>
          <w:tcPr>
            <w:tcW w:w="1490" w:type="dxa"/>
            <w:shd w:val="clear" w:color="auto" w:fill="auto"/>
            <w:noWrap/>
            <w:vAlign w:val="bottom"/>
            <w:hideMark/>
          </w:tcPr>
          <w:p w14:paraId="57E465E6" w14:textId="35ACF0BB"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30.833</w:t>
            </w:r>
          </w:p>
        </w:tc>
        <w:tc>
          <w:tcPr>
            <w:tcW w:w="1490" w:type="dxa"/>
            <w:shd w:val="clear" w:color="auto" w:fill="auto"/>
            <w:noWrap/>
            <w:vAlign w:val="bottom"/>
            <w:hideMark/>
          </w:tcPr>
          <w:p w14:paraId="70261A4B" w14:textId="6C217015"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31.482</w:t>
            </w:r>
          </w:p>
        </w:tc>
        <w:tc>
          <w:tcPr>
            <w:tcW w:w="766" w:type="dxa"/>
            <w:shd w:val="clear" w:color="auto" w:fill="auto"/>
            <w:noWrap/>
            <w:vAlign w:val="bottom"/>
            <w:hideMark/>
          </w:tcPr>
          <w:p w14:paraId="00CBA51D" w14:textId="78EF7B5A"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72%</w:t>
            </w:r>
          </w:p>
        </w:tc>
        <w:tc>
          <w:tcPr>
            <w:tcW w:w="766" w:type="dxa"/>
            <w:shd w:val="clear" w:color="auto" w:fill="auto"/>
            <w:noWrap/>
            <w:vAlign w:val="bottom"/>
            <w:hideMark/>
          </w:tcPr>
          <w:p w14:paraId="1F89F260" w14:textId="65DF6CD3"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102%</w:t>
            </w:r>
          </w:p>
        </w:tc>
      </w:tr>
      <w:tr w:rsidR="00B67921" w:rsidRPr="00CD6835" w14:paraId="6B6E433A" w14:textId="77777777" w:rsidTr="00B67921">
        <w:trPr>
          <w:trHeight w:val="340"/>
        </w:trPr>
        <w:tc>
          <w:tcPr>
            <w:tcW w:w="723" w:type="dxa"/>
            <w:shd w:val="clear" w:color="auto" w:fill="auto"/>
            <w:noWrap/>
            <w:vAlign w:val="bottom"/>
            <w:hideMark/>
          </w:tcPr>
          <w:p w14:paraId="2225BA42" w14:textId="44E3A767"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1.2.3</w:t>
            </w:r>
          </w:p>
        </w:tc>
        <w:tc>
          <w:tcPr>
            <w:tcW w:w="2981" w:type="dxa"/>
            <w:shd w:val="clear" w:color="auto" w:fill="auto"/>
            <w:noWrap/>
            <w:vAlign w:val="bottom"/>
            <w:hideMark/>
          </w:tcPr>
          <w:p w14:paraId="1C674404" w14:textId="23160FC6"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 xml:space="preserve">Tekuće održavanje </w:t>
            </w:r>
          </w:p>
        </w:tc>
        <w:tc>
          <w:tcPr>
            <w:tcW w:w="1490" w:type="dxa"/>
            <w:shd w:val="clear" w:color="auto" w:fill="auto"/>
            <w:noWrap/>
            <w:vAlign w:val="bottom"/>
            <w:hideMark/>
          </w:tcPr>
          <w:p w14:paraId="40A91AF7" w14:textId="197B1DB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755.255</w:t>
            </w:r>
          </w:p>
        </w:tc>
        <w:tc>
          <w:tcPr>
            <w:tcW w:w="1490" w:type="dxa"/>
            <w:shd w:val="clear" w:color="auto" w:fill="auto"/>
            <w:noWrap/>
            <w:vAlign w:val="bottom"/>
            <w:hideMark/>
          </w:tcPr>
          <w:p w14:paraId="327C5F31" w14:textId="74358A69"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1.034.645</w:t>
            </w:r>
          </w:p>
        </w:tc>
        <w:tc>
          <w:tcPr>
            <w:tcW w:w="1490" w:type="dxa"/>
            <w:shd w:val="clear" w:color="auto" w:fill="auto"/>
            <w:noWrap/>
            <w:vAlign w:val="bottom"/>
            <w:hideMark/>
          </w:tcPr>
          <w:p w14:paraId="685CBAB5" w14:textId="6FB7982F"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884.806</w:t>
            </w:r>
          </w:p>
        </w:tc>
        <w:tc>
          <w:tcPr>
            <w:tcW w:w="766" w:type="dxa"/>
            <w:shd w:val="clear" w:color="auto" w:fill="auto"/>
            <w:noWrap/>
            <w:vAlign w:val="bottom"/>
            <w:hideMark/>
          </w:tcPr>
          <w:p w14:paraId="48739EC6" w14:textId="11241D60"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117%</w:t>
            </w:r>
          </w:p>
        </w:tc>
        <w:tc>
          <w:tcPr>
            <w:tcW w:w="766" w:type="dxa"/>
            <w:shd w:val="clear" w:color="auto" w:fill="auto"/>
            <w:noWrap/>
            <w:vAlign w:val="bottom"/>
            <w:hideMark/>
          </w:tcPr>
          <w:p w14:paraId="169EF6C9" w14:textId="3A1E9B32"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86%</w:t>
            </w:r>
          </w:p>
        </w:tc>
      </w:tr>
      <w:tr w:rsidR="00B67921" w:rsidRPr="00CD6835" w14:paraId="357AF2E9" w14:textId="77777777" w:rsidTr="00B67921">
        <w:trPr>
          <w:trHeight w:val="340"/>
        </w:trPr>
        <w:tc>
          <w:tcPr>
            <w:tcW w:w="723" w:type="dxa"/>
            <w:shd w:val="clear" w:color="auto" w:fill="auto"/>
            <w:noWrap/>
            <w:vAlign w:val="bottom"/>
            <w:hideMark/>
          </w:tcPr>
          <w:p w14:paraId="0015E97B" w14:textId="4C6614DA"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1.2.4</w:t>
            </w:r>
          </w:p>
        </w:tc>
        <w:tc>
          <w:tcPr>
            <w:tcW w:w="2981" w:type="dxa"/>
            <w:shd w:val="clear" w:color="auto" w:fill="auto"/>
            <w:noWrap/>
            <w:vAlign w:val="bottom"/>
            <w:hideMark/>
          </w:tcPr>
          <w:p w14:paraId="63AACC41" w14:textId="77A7F7D1"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Usluge održavanja  i zaštite</w:t>
            </w:r>
          </w:p>
        </w:tc>
        <w:tc>
          <w:tcPr>
            <w:tcW w:w="1490" w:type="dxa"/>
            <w:shd w:val="clear" w:color="auto" w:fill="auto"/>
            <w:noWrap/>
            <w:vAlign w:val="bottom"/>
            <w:hideMark/>
          </w:tcPr>
          <w:p w14:paraId="2A6AB8C6" w14:textId="56D7D8F2"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128.430</w:t>
            </w:r>
          </w:p>
        </w:tc>
        <w:tc>
          <w:tcPr>
            <w:tcW w:w="1490" w:type="dxa"/>
            <w:shd w:val="clear" w:color="auto" w:fill="auto"/>
            <w:noWrap/>
            <w:vAlign w:val="bottom"/>
            <w:hideMark/>
          </w:tcPr>
          <w:p w14:paraId="5B3F5F44" w14:textId="7BC0B66F"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146.888</w:t>
            </w:r>
          </w:p>
        </w:tc>
        <w:tc>
          <w:tcPr>
            <w:tcW w:w="1490" w:type="dxa"/>
            <w:shd w:val="clear" w:color="auto" w:fill="auto"/>
            <w:noWrap/>
            <w:vAlign w:val="bottom"/>
            <w:hideMark/>
          </w:tcPr>
          <w:p w14:paraId="29369DA7" w14:textId="1295AFB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147.221</w:t>
            </w:r>
          </w:p>
        </w:tc>
        <w:tc>
          <w:tcPr>
            <w:tcW w:w="766" w:type="dxa"/>
            <w:shd w:val="clear" w:color="auto" w:fill="auto"/>
            <w:noWrap/>
            <w:vAlign w:val="bottom"/>
            <w:hideMark/>
          </w:tcPr>
          <w:p w14:paraId="2F4AE35D" w14:textId="13584962"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115%</w:t>
            </w:r>
          </w:p>
        </w:tc>
        <w:tc>
          <w:tcPr>
            <w:tcW w:w="766" w:type="dxa"/>
            <w:shd w:val="clear" w:color="auto" w:fill="auto"/>
            <w:noWrap/>
            <w:vAlign w:val="bottom"/>
            <w:hideMark/>
          </w:tcPr>
          <w:p w14:paraId="67013C80" w14:textId="5C609C9D"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100%</w:t>
            </w:r>
          </w:p>
        </w:tc>
      </w:tr>
      <w:tr w:rsidR="00B67921" w:rsidRPr="00CD6835" w14:paraId="62C0F4A7" w14:textId="77777777" w:rsidTr="00B67921">
        <w:trPr>
          <w:trHeight w:val="340"/>
        </w:trPr>
        <w:tc>
          <w:tcPr>
            <w:tcW w:w="723" w:type="dxa"/>
            <w:shd w:val="clear" w:color="auto" w:fill="auto"/>
            <w:noWrap/>
            <w:vAlign w:val="bottom"/>
            <w:hideMark/>
          </w:tcPr>
          <w:p w14:paraId="48C5AA83" w14:textId="188FE31D"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1.2.5</w:t>
            </w:r>
          </w:p>
        </w:tc>
        <w:tc>
          <w:tcPr>
            <w:tcW w:w="2981" w:type="dxa"/>
            <w:shd w:val="clear" w:color="auto" w:fill="auto"/>
            <w:vAlign w:val="bottom"/>
            <w:hideMark/>
          </w:tcPr>
          <w:p w14:paraId="622B4392" w14:textId="03CAC55B"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 xml:space="preserve">Us. </w:t>
            </w:r>
            <w:r>
              <w:rPr>
                <w:rFonts w:ascii="Calibri" w:hAnsi="Calibri" w:cs="Calibri"/>
                <w:sz w:val="18"/>
                <w:szCs w:val="18"/>
              </w:rPr>
              <w:t>r</w:t>
            </w:r>
            <w:r w:rsidRPr="0013564D">
              <w:rPr>
                <w:rFonts w:ascii="Calibri" w:hAnsi="Calibri" w:cs="Calibri"/>
                <w:sz w:val="18"/>
                <w:szCs w:val="18"/>
              </w:rPr>
              <w:t>egistracije</w:t>
            </w:r>
            <w:r>
              <w:rPr>
                <w:rFonts w:ascii="Calibri" w:hAnsi="Calibri" w:cs="Calibri"/>
                <w:sz w:val="18"/>
                <w:szCs w:val="18"/>
              </w:rPr>
              <w:t>, licenci i pristojba</w:t>
            </w:r>
          </w:p>
        </w:tc>
        <w:tc>
          <w:tcPr>
            <w:tcW w:w="1490" w:type="dxa"/>
            <w:shd w:val="clear" w:color="auto" w:fill="auto"/>
            <w:noWrap/>
            <w:vAlign w:val="bottom"/>
            <w:hideMark/>
          </w:tcPr>
          <w:p w14:paraId="30CC2C08" w14:textId="1F55006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20.838</w:t>
            </w:r>
          </w:p>
        </w:tc>
        <w:tc>
          <w:tcPr>
            <w:tcW w:w="1490" w:type="dxa"/>
            <w:shd w:val="clear" w:color="auto" w:fill="auto"/>
            <w:noWrap/>
            <w:vAlign w:val="bottom"/>
            <w:hideMark/>
          </w:tcPr>
          <w:p w14:paraId="23C1E947" w14:textId="797BC787"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27.683</w:t>
            </w:r>
          </w:p>
        </w:tc>
        <w:tc>
          <w:tcPr>
            <w:tcW w:w="1490" w:type="dxa"/>
            <w:shd w:val="clear" w:color="auto" w:fill="auto"/>
            <w:noWrap/>
            <w:vAlign w:val="bottom"/>
            <w:hideMark/>
          </w:tcPr>
          <w:p w14:paraId="611F0F60" w14:textId="2381CF7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27.811</w:t>
            </w:r>
          </w:p>
        </w:tc>
        <w:tc>
          <w:tcPr>
            <w:tcW w:w="766" w:type="dxa"/>
            <w:shd w:val="clear" w:color="auto" w:fill="auto"/>
            <w:noWrap/>
            <w:vAlign w:val="bottom"/>
            <w:hideMark/>
          </w:tcPr>
          <w:p w14:paraId="7F9DB3C2" w14:textId="244ACAA5"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133%</w:t>
            </w:r>
          </w:p>
        </w:tc>
        <w:tc>
          <w:tcPr>
            <w:tcW w:w="766" w:type="dxa"/>
            <w:shd w:val="clear" w:color="auto" w:fill="auto"/>
            <w:noWrap/>
            <w:vAlign w:val="bottom"/>
            <w:hideMark/>
          </w:tcPr>
          <w:p w14:paraId="60060A2B" w14:textId="74788E1D"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100%</w:t>
            </w:r>
          </w:p>
        </w:tc>
      </w:tr>
      <w:tr w:rsidR="00B67921" w:rsidRPr="00CD6835" w14:paraId="4FE9E82C" w14:textId="77777777" w:rsidTr="00B67921">
        <w:trPr>
          <w:trHeight w:val="340"/>
        </w:trPr>
        <w:tc>
          <w:tcPr>
            <w:tcW w:w="723" w:type="dxa"/>
            <w:shd w:val="clear" w:color="auto" w:fill="auto"/>
            <w:noWrap/>
            <w:vAlign w:val="bottom"/>
            <w:hideMark/>
          </w:tcPr>
          <w:p w14:paraId="1F768D20" w14:textId="31F44B52"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1.2.6</w:t>
            </w:r>
          </w:p>
        </w:tc>
        <w:tc>
          <w:tcPr>
            <w:tcW w:w="2981" w:type="dxa"/>
            <w:shd w:val="clear" w:color="auto" w:fill="auto"/>
            <w:noWrap/>
            <w:vAlign w:val="bottom"/>
            <w:hideMark/>
          </w:tcPr>
          <w:p w14:paraId="2210D207" w14:textId="554A7A4D"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Troškovi zakupa - leasinga</w:t>
            </w:r>
          </w:p>
        </w:tc>
        <w:tc>
          <w:tcPr>
            <w:tcW w:w="1490" w:type="dxa"/>
            <w:shd w:val="clear" w:color="auto" w:fill="auto"/>
            <w:noWrap/>
            <w:vAlign w:val="bottom"/>
            <w:hideMark/>
          </w:tcPr>
          <w:p w14:paraId="7A56225E" w14:textId="685A01F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7.522</w:t>
            </w:r>
          </w:p>
        </w:tc>
        <w:tc>
          <w:tcPr>
            <w:tcW w:w="1490" w:type="dxa"/>
            <w:shd w:val="clear" w:color="auto" w:fill="auto"/>
            <w:noWrap/>
            <w:vAlign w:val="bottom"/>
            <w:hideMark/>
          </w:tcPr>
          <w:p w14:paraId="55716975" w14:textId="7F961153"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48.628</w:t>
            </w:r>
          </w:p>
        </w:tc>
        <w:tc>
          <w:tcPr>
            <w:tcW w:w="1490" w:type="dxa"/>
            <w:shd w:val="clear" w:color="auto" w:fill="auto"/>
            <w:noWrap/>
            <w:vAlign w:val="bottom"/>
            <w:hideMark/>
          </w:tcPr>
          <w:p w14:paraId="7AE78A56" w14:textId="60A05A7F"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48.383</w:t>
            </w:r>
          </w:p>
        </w:tc>
        <w:tc>
          <w:tcPr>
            <w:tcW w:w="766" w:type="dxa"/>
            <w:shd w:val="clear" w:color="auto" w:fill="auto"/>
            <w:noWrap/>
            <w:vAlign w:val="bottom"/>
            <w:hideMark/>
          </w:tcPr>
          <w:p w14:paraId="1FB30778" w14:textId="19433B73"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643%</w:t>
            </w:r>
          </w:p>
        </w:tc>
        <w:tc>
          <w:tcPr>
            <w:tcW w:w="766" w:type="dxa"/>
            <w:shd w:val="clear" w:color="auto" w:fill="auto"/>
            <w:noWrap/>
            <w:vAlign w:val="bottom"/>
            <w:hideMark/>
          </w:tcPr>
          <w:p w14:paraId="323254BF" w14:textId="65BA15EA"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99%</w:t>
            </w:r>
          </w:p>
        </w:tc>
      </w:tr>
      <w:tr w:rsidR="00B67921" w:rsidRPr="00CD6835" w14:paraId="5D54229A" w14:textId="77777777" w:rsidTr="00B67921">
        <w:trPr>
          <w:trHeight w:val="340"/>
        </w:trPr>
        <w:tc>
          <w:tcPr>
            <w:tcW w:w="723" w:type="dxa"/>
            <w:shd w:val="clear" w:color="auto" w:fill="auto"/>
            <w:noWrap/>
            <w:vAlign w:val="bottom"/>
            <w:hideMark/>
          </w:tcPr>
          <w:p w14:paraId="5B7CB015" w14:textId="49EE6E18"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1.2.7</w:t>
            </w:r>
          </w:p>
        </w:tc>
        <w:tc>
          <w:tcPr>
            <w:tcW w:w="2981" w:type="dxa"/>
            <w:shd w:val="clear" w:color="auto" w:fill="auto"/>
            <w:noWrap/>
            <w:vAlign w:val="bottom"/>
            <w:hideMark/>
          </w:tcPr>
          <w:p w14:paraId="597BF623" w14:textId="7BAD8590"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Troškovi promidžbe</w:t>
            </w:r>
          </w:p>
        </w:tc>
        <w:tc>
          <w:tcPr>
            <w:tcW w:w="1490" w:type="dxa"/>
            <w:shd w:val="clear" w:color="auto" w:fill="auto"/>
            <w:noWrap/>
            <w:vAlign w:val="bottom"/>
            <w:hideMark/>
          </w:tcPr>
          <w:p w14:paraId="039E74C2" w14:textId="04E40A63"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18.690</w:t>
            </w:r>
          </w:p>
        </w:tc>
        <w:tc>
          <w:tcPr>
            <w:tcW w:w="1490" w:type="dxa"/>
            <w:shd w:val="clear" w:color="auto" w:fill="auto"/>
            <w:noWrap/>
            <w:vAlign w:val="bottom"/>
            <w:hideMark/>
          </w:tcPr>
          <w:p w14:paraId="70F1FA5C" w14:textId="31727047"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10.992</w:t>
            </w:r>
          </w:p>
        </w:tc>
        <w:tc>
          <w:tcPr>
            <w:tcW w:w="1490" w:type="dxa"/>
            <w:shd w:val="clear" w:color="auto" w:fill="auto"/>
            <w:noWrap/>
            <w:vAlign w:val="bottom"/>
            <w:hideMark/>
          </w:tcPr>
          <w:p w14:paraId="0E1E8AFE" w14:textId="4D4442DA"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10.448</w:t>
            </w:r>
          </w:p>
        </w:tc>
        <w:tc>
          <w:tcPr>
            <w:tcW w:w="766" w:type="dxa"/>
            <w:shd w:val="clear" w:color="auto" w:fill="auto"/>
            <w:noWrap/>
            <w:vAlign w:val="bottom"/>
            <w:hideMark/>
          </w:tcPr>
          <w:p w14:paraId="44C6F795" w14:textId="0BDAB499"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56%</w:t>
            </w:r>
          </w:p>
        </w:tc>
        <w:tc>
          <w:tcPr>
            <w:tcW w:w="766" w:type="dxa"/>
            <w:shd w:val="clear" w:color="auto" w:fill="auto"/>
            <w:noWrap/>
            <w:vAlign w:val="bottom"/>
            <w:hideMark/>
          </w:tcPr>
          <w:p w14:paraId="2014E9A5" w14:textId="52202684"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95%</w:t>
            </w:r>
          </w:p>
        </w:tc>
      </w:tr>
      <w:tr w:rsidR="00B67921" w:rsidRPr="00CD6835" w14:paraId="426FC8F4" w14:textId="77777777" w:rsidTr="00B67921">
        <w:trPr>
          <w:trHeight w:val="340"/>
        </w:trPr>
        <w:tc>
          <w:tcPr>
            <w:tcW w:w="723" w:type="dxa"/>
            <w:shd w:val="clear" w:color="auto" w:fill="auto"/>
            <w:noWrap/>
            <w:vAlign w:val="bottom"/>
            <w:hideMark/>
          </w:tcPr>
          <w:p w14:paraId="7FC0489B" w14:textId="3F170BDC"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1.2.8</w:t>
            </w:r>
          </w:p>
        </w:tc>
        <w:tc>
          <w:tcPr>
            <w:tcW w:w="2981" w:type="dxa"/>
            <w:shd w:val="clear" w:color="auto" w:fill="auto"/>
            <w:vAlign w:val="bottom"/>
            <w:hideMark/>
          </w:tcPr>
          <w:p w14:paraId="0EAE5A46" w14:textId="103FB14A"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 xml:space="preserve">Intelektualne usluge </w:t>
            </w:r>
          </w:p>
        </w:tc>
        <w:tc>
          <w:tcPr>
            <w:tcW w:w="1490" w:type="dxa"/>
            <w:shd w:val="clear" w:color="auto" w:fill="auto"/>
            <w:noWrap/>
            <w:vAlign w:val="bottom"/>
            <w:hideMark/>
          </w:tcPr>
          <w:p w14:paraId="51C9DB90" w14:textId="62E665FF"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195.326</w:t>
            </w:r>
          </w:p>
        </w:tc>
        <w:tc>
          <w:tcPr>
            <w:tcW w:w="1490" w:type="dxa"/>
            <w:shd w:val="clear" w:color="auto" w:fill="auto"/>
            <w:noWrap/>
            <w:vAlign w:val="bottom"/>
            <w:hideMark/>
          </w:tcPr>
          <w:p w14:paraId="47F8FCA0" w14:textId="2FD7C513"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158.758</w:t>
            </w:r>
          </w:p>
        </w:tc>
        <w:tc>
          <w:tcPr>
            <w:tcW w:w="1490" w:type="dxa"/>
            <w:shd w:val="clear" w:color="auto" w:fill="auto"/>
            <w:noWrap/>
            <w:vAlign w:val="bottom"/>
            <w:hideMark/>
          </w:tcPr>
          <w:p w14:paraId="360073BF" w14:textId="19664141"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160.711</w:t>
            </w:r>
          </w:p>
        </w:tc>
        <w:tc>
          <w:tcPr>
            <w:tcW w:w="766" w:type="dxa"/>
            <w:shd w:val="clear" w:color="auto" w:fill="auto"/>
            <w:noWrap/>
            <w:vAlign w:val="bottom"/>
            <w:hideMark/>
          </w:tcPr>
          <w:p w14:paraId="4A653643" w14:textId="36688CD6"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82%</w:t>
            </w:r>
          </w:p>
        </w:tc>
        <w:tc>
          <w:tcPr>
            <w:tcW w:w="766" w:type="dxa"/>
            <w:shd w:val="clear" w:color="auto" w:fill="auto"/>
            <w:noWrap/>
            <w:vAlign w:val="bottom"/>
            <w:hideMark/>
          </w:tcPr>
          <w:p w14:paraId="27DF73F2" w14:textId="00F685BD"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101%</w:t>
            </w:r>
          </w:p>
        </w:tc>
      </w:tr>
      <w:tr w:rsidR="00B67921" w:rsidRPr="00CD6835" w14:paraId="36E472CF" w14:textId="77777777" w:rsidTr="00B67921">
        <w:trPr>
          <w:trHeight w:val="340"/>
        </w:trPr>
        <w:tc>
          <w:tcPr>
            <w:tcW w:w="723" w:type="dxa"/>
            <w:shd w:val="clear" w:color="auto" w:fill="auto"/>
            <w:noWrap/>
            <w:vAlign w:val="bottom"/>
            <w:hideMark/>
          </w:tcPr>
          <w:p w14:paraId="557D21C4" w14:textId="2F432EDB"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1.2.9</w:t>
            </w:r>
          </w:p>
        </w:tc>
        <w:tc>
          <w:tcPr>
            <w:tcW w:w="2981" w:type="dxa"/>
            <w:shd w:val="clear" w:color="auto" w:fill="auto"/>
            <w:vAlign w:val="bottom"/>
            <w:hideMark/>
          </w:tcPr>
          <w:p w14:paraId="3C852FF9" w14:textId="0222DA1D"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Troškovi komunalnih usluga</w:t>
            </w:r>
          </w:p>
        </w:tc>
        <w:tc>
          <w:tcPr>
            <w:tcW w:w="1490" w:type="dxa"/>
            <w:shd w:val="clear" w:color="auto" w:fill="auto"/>
            <w:noWrap/>
            <w:vAlign w:val="bottom"/>
            <w:hideMark/>
          </w:tcPr>
          <w:p w14:paraId="5C8E4024" w14:textId="0CCD8931"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1.931.712</w:t>
            </w:r>
          </w:p>
        </w:tc>
        <w:tc>
          <w:tcPr>
            <w:tcW w:w="1490" w:type="dxa"/>
            <w:shd w:val="clear" w:color="auto" w:fill="auto"/>
            <w:noWrap/>
            <w:vAlign w:val="bottom"/>
            <w:hideMark/>
          </w:tcPr>
          <w:p w14:paraId="583F995E" w14:textId="702ED6E0"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1.619.828</w:t>
            </w:r>
          </w:p>
        </w:tc>
        <w:tc>
          <w:tcPr>
            <w:tcW w:w="1490" w:type="dxa"/>
            <w:shd w:val="clear" w:color="auto" w:fill="auto"/>
            <w:noWrap/>
            <w:vAlign w:val="bottom"/>
            <w:hideMark/>
          </w:tcPr>
          <w:p w14:paraId="1AEB8165" w14:textId="37D34D07"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1.622.162</w:t>
            </w:r>
          </w:p>
        </w:tc>
        <w:tc>
          <w:tcPr>
            <w:tcW w:w="766" w:type="dxa"/>
            <w:shd w:val="clear" w:color="auto" w:fill="auto"/>
            <w:noWrap/>
            <w:vAlign w:val="bottom"/>
            <w:hideMark/>
          </w:tcPr>
          <w:p w14:paraId="57CFB5CA" w14:textId="4582B5FE"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84%</w:t>
            </w:r>
          </w:p>
        </w:tc>
        <w:tc>
          <w:tcPr>
            <w:tcW w:w="766" w:type="dxa"/>
            <w:shd w:val="clear" w:color="auto" w:fill="auto"/>
            <w:noWrap/>
            <w:vAlign w:val="bottom"/>
            <w:hideMark/>
          </w:tcPr>
          <w:p w14:paraId="567DE5C4" w14:textId="27DB3CBD"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100%</w:t>
            </w:r>
          </w:p>
        </w:tc>
      </w:tr>
      <w:tr w:rsidR="00B67921" w:rsidRPr="00CD6835" w14:paraId="133F4981" w14:textId="77777777" w:rsidTr="00B67921">
        <w:trPr>
          <w:trHeight w:val="340"/>
        </w:trPr>
        <w:tc>
          <w:tcPr>
            <w:tcW w:w="723" w:type="dxa"/>
            <w:shd w:val="clear" w:color="auto" w:fill="auto"/>
            <w:noWrap/>
            <w:vAlign w:val="bottom"/>
            <w:hideMark/>
          </w:tcPr>
          <w:p w14:paraId="75154A89" w14:textId="62AC1F32"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1.2.10</w:t>
            </w:r>
          </w:p>
        </w:tc>
        <w:tc>
          <w:tcPr>
            <w:tcW w:w="2981" w:type="dxa"/>
            <w:shd w:val="clear" w:color="auto" w:fill="auto"/>
            <w:noWrap/>
            <w:vAlign w:val="bottom"/>
            <w:hideMark/>
          </w:tcPr>
          <w:p w14:paraId="4CD953B8" w14:textId="3A8CDAC3"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Trošak zbrinjavanja GIO</w:t>
            </w:r>
          </w:p>
        </w:tc>
        <w:tc>
          <w:tcPr>
            <w:tcW w:w="1490" w:type="dxa"/>
            <w:shd w:val="clear" w:color="auto" w:fill="auto"/>
            <w:noWrap/>
            <w:vAlign w:val="bottom"/>
            <w:hideMark/>
          </w:tcPr>
          <w:p w14:paraId="486D8DB0" w14:textId="7B7EEC8C"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1.263.700</w:t>
            </w:r>
          </w:p>
        </w:tc>
        <w:tc>
          <w:tcPr>
            <w:tcW w:w="1490" w:type="dxa"/>
            <w:shd w:val="clear" w:color="auto" w:fill="auto"/>
            <w:noWrap/>
            <w:vAlign w:val="bottom"/>
            <w:hideMark/>
          </w:tcPr>
          <w:p w14:paraId="2DE17C98" w14:textId="3DA433FB"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1.794.183</w:t>
            </w:r>
          </w:p>
        </w:tc>
        <w:tc>
          <w:tcPr>
            <w:tcW w:w="1490" w:type="dxa"/>
            <w:shd w:val="clear" w:color="auto" w:fill="auto"/>
            <w:noWrap/>
            <w:vAlign w:val="bottom"/>
            <w:hideMark/>
          </w:tcPr>
          <w:p w14:paraId="3E759D06" w14:textId="25892A66"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1.742.227</w:t>
            </w:r>
          </w:p>
        </w:tc>
        <w:tc>
          <w:tcPr>
            <w:tcW w:w="766" w:type="dxa"/>
            <w:shd w:val="clear" w:color="auto" w:fill="auto"/>
            <w:noWrap/>
            <w:vAlign w:val="bottom"/>
            <w:hideMark/>
          </w:tcPr>
          <w:p w14:paraId="4115C5CC" w14:textId="30C07E0D"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138%</w:t>
            </w:r>
          </w:p>
        </w:tc>
        <w:tc>
          <w:tcPr>
            <w:tcW w:w="766" w:type="dxa"/>
            <w:shd w:val="clear" w:color="auto" w:fill="auto"/>
            <w:noWrap/>
            <w:vAlign w:val="bottom"/>
            <w:hideMark/>
          </w:tcPr>
          <w:p w14:paraId="7B51FC0C" w14:textId="054A2EA3"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97%</w:t>
            </w:r>
          </w:p>
        </w:tc>
      </w:tr>
      <w:tr w:rsidR="00B67921" w:rsidRPr="00CD6835" w14:paraId="3DB91D66" w14:textId="77777777" w:rsidTr="00B67921">
        <w:trPr>
          <w:trHeight w:val="340"/>
        </w:trPr>
        <w:tc>
          <w:tcPr>
            <w:tcW w:w="723" w:type="dxa"/>
            <w:shd w:val="clear" w:color="auto" w:fill="auto"/>
            <w:noWrap/>
            <w:vAlign w:val="bottom"/>
            <w:hideMark/>
          </w:tcPr>
          <w:p w14:paraId="7DF39820" w14:textId="2D0549B3"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1.2.11</w:t>
            </w:r>
          </w:p>
        </w:tc>
        <w:tc>
          <w:tcPr>
            <w:tcW w:w="2981" w:type="dxa"/>
            <w:shd w:val="clear" w:color="auto" w:fill="auto"/>
            <w:noWrap/>
            <w:vAlign w:val="bottom"/>
            <w:hideMark/>
          </w:tcPr>
          <w:p w14:paraId="052001A9" w14:textId="683DF99F"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Reprezentacija</w:t>
            </w:r>
          </w:p>
        </w:tc>
        <w:tc>
          <w:tcPr>
            <w:tcW w:w="1490" w:type="dxa"/>
            <w:shd w:val="clear" w:color="auto" w:fill="auto"/>
            <w:noWrap/>
            <w:vAlign w:val="bottom"/>
            <w:hideMark/>
          </w:tcPr>
          <w:p w14:paraId="37EC5197" w14:textId="3A2A585C"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3.627</w:t>
            </w:r>
          </w:p>
        </w:tc>
        <w:tc>
          <w:tcPr>
            <w:tcW w:w="1490" w:type="dxa"/>
            <w:shd w:val="clear" w:color="auto" w:fill="auto"/>
            <w:noWrap/>
            <w:vAlign w:val="bottom"/>
            <w:hideMark/>
          </w:tcPr>
          <w:p w14:paraId="0002D33E" w14:textId="7AA9737D"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6.500</w:t>
            </w:r>
          </w:p>
        </w:tc>
        <w:tc>
          <w:tcPr>
            <w:tcW w:w="1490" w:type="dxa"/>
            <w:shd w:val="clear" w:color="auto" w:fill="auto"/>
            <w:noWrap/>
            <w:vAlign w:val="bottom"/>
            <w:hideMark/>
          </w:tcPr>
          <w:p w14:paraId="076EACA5" w14:textId="5F238C71"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7.555</w:t>
            </w:r>
          </w:p>
        </w:tc>
        <w:tc>
          <w:tcPr>
            <w:tcW w:w="766" w:type="dxa"/>
            <w:shd w:val="clear" w:color="auto" w:fill="auto"/>
            <w:noWrap/>
            <w:vAlign w:val="bottom"/>
            <w:hideMark/>
          </w:tcPr>
          <w:p w14:paraId="3BE1F57C" w14:textId="480F1851"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208%</w:t>
            </w:r>
          </w:p>
        </w:tc>
        <w:tc>
          <w:tcPr>
            <w:tcW w:w="766" w:type="dxa"/>
            <w:shd w:val="clear" w:color="auto" w:fill="auto"/>
            <w:noWrap/>
            <w:vAlign w:val="bottom"/>
            <w:hideMark/>
          </w:tcPr>
          <w:p w14:paraId="6693588E" w14:textId="48BB09D7"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116%</w:t>
            </w:r>
          </w:p>
        </w:tc>
      </w:tr>
      <w:tr w:rsidR="00B67921" w:rsidRPr="00CD6835" w14:paraId="782904B7" w14:textId="77777777" w:rsidTr="00B67921">
        <w:trPr>
          <w:trHeight w:val="340"/>
        </w:trPr>
        <w:tc>
          <w:tcPr>
            <w:tcW w:w="723" w:type="dxa"/>
            <w:shd w:val="clear" w:color="auto" w:fill="auto"/>
            <w:noWrap/>
            <w:vAlign w:val="bottom"/>
            <w:hideMark/>
          </w:tcPr>
          <w:p w14:paraId="01A9956B" w14:textId="051D1FCE"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1.2.12</w:t>
            </w:r>
          </w:p>
        </w:tc>
        <w:tc>
          <w:tcPr>
            <w:tcW w:w="2981" w:type="dxa"/>
            <w:shd w:val="clear" w:color="auto" w:fill="auto"/>
            <w:noWrap/>
            <w:vAlign w:val="bottom"/>
            <w:hideMark/>
          </w:tcPr>
          <w:p w14:paraId="61D5E8A9" w14:textId="5B4DC207" w:rsidR="00B67921" w:rsidRPr="0013564D" w:rsidRDefault="00B67921" w:rsidP="00B67921">
            <w:pPr>
              <w:spacing w:after="0" w:line="240" w:lineRule="auto"/>
              <w:rPr>
                <w:rFonts w:ascii="Calibri" w:eastAsia="Times New Roman" w:hAnsi="Calibri" w:cs="Calibri"/>
                <w:sz w:val="18"/>
                <w:szCs w:val="18"/>
                <w:lang w:eastAsia="hr-HR"/>
              </w:rPr>
            </w:pPr>
            <w:r w:rsidRPr="0013564D">
              <w:rPr>
                <w:rFonts w:ascii="Calibri" w:hAnsi="Calibri" w:cs="Calibri"/>
                <w:sz w:val="18"/>
                <w:szCs w:val="18"/>
              </w:rPr>
              <w:t>Troškovi ostalih vanjskih usluga</w:t>
            </w:r>
          </w:p>
        </w:tc>
        <w:tc>
          <w:tcPr>
            <w:tcW w:w="1490" w:type="dxa"/>
            <w:shd w:val="clear" w:color="auto" w:fill="auto"/>
            <w:noWrap/>
            <w:vAlign w:val="bottom"/>
            <w:hideMark/>
          </w:tcPr>
          <w:p w14:paraId="664B7D7A" w14:textId="14A63BCB"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279.496</w:t>
            </w:r>
          </w:p>
        </w:tc>
        <w:tc>
          <w:tcPr>
            <w:tcW w:w="1490" w:type="dxa"/>
            <w:shd w:val="clear" w:color="auto" w:fill="auto"/>
            <w:noWrap/>
            <w:vAlign w:val="bottom"/>
            <w:hideMark/>
          </w:tcPr>
          <w:p w14:paraId="79198DB4" w14:textId="56B4A3A2"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300.154</w:t>
            </w:r>
          </w:p>
        </w:tc>
        <w:tc>
          <w:tcPr>
            <w:tcW w:w="1490" w:type="dxa"/>
            <w:shd w:val="clear" w:color="auto" w:fill="auto"/>
            <w:noWrap/>
            <w:vAlign w:val="bottom"/>
            <w:hideMark/>
          </w:tcPr>
          <w:p w14:paraId="645E312B" w14:textId="0BD341D5" w:rsidR="00B67921" w:rsidRPr="00B67921" w:rsidRDefault="00B67921" w:rsidP="00B67921">
            <w:pPr>
              <w:spacing w:after="0" w:line="240" w:lineRule="auto"/>
              <w:jc w:val="center"/>
              <w:rPr>
                <w:rFonts w:eastAsia="Times New Roman" w:cstheme="minorHAnsi"/>
                <w:sz w:val="18"/>
                <w:szCs w:val="18"/>
                <w:lang w:eastAsia="hr-HR"/>
              </w:rPr>
            </w:pPr>
            <w:r w:rsidRPr="00B67921">
              <w:rPr>
                <w:rFonts w:cstheme="minorHAnsi"/>
                <w:sz w:val="18"/>
                <w:szCs w:val="18"/>
              </w:rPr>
              <w:t>306.177</w:t>
            </w:r>
          </w:p>
        </w:tc>
        <w:tc>
          <w:tcPr>
            <w:tcW w:w="766" w:type="dxa"/>
            <w:shd w:val="clear" w:color="auto" w:fill="auto"/>
            <w:noWrap/>
            <w:vAlign w:val="bottom"/>
            <w:hideMark/>
          </w:tcPr>
          <w:p w14:paraId="0C91255A" w14:textId="59AF06D9"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110%</w:t>
            </w:r>
          </w:p>
        </w:tc>
        <w:tc>
          <w:tcPr>
            <w:tcW w:w="766" w:type="dxa"/>
            <w:shd w:val="clear" w:color="auto" w:fill="auto"/>
            <w:noWrap/>
            <w:vAlign w:val="bottom"/>
            <w:hideMark/>
          </w:tcPr>
          <w:p w14:paraId="3752A24C" w14:textId="558310B8" w:rsidR="00B67921" w:rsidRPr="00B67921" w:rsidRDefault="00B67921" w:rsidP="00B67921">
            <w:pPr>
              <w:spacing w:after="0" w:line="240" w:lineRule="auto"/>
              <w:jc w:val="center"/>
              <w:rPr>
                <w:rFonts w:eastAsia="Times New Roman" w:cstheme="minorHAnsi"/>
                <w:color w:val="000000"/>
                <w:sz w:val="18"/>
                <w:szCs w:val="18"/>
                <w:lang w:eastAsia="hr-HR"/>
              </w:rPr>
            </w:pPr>
            <w:r w:rsidRPr="00B67921">
              <w:rPr>
                <w:rFonts w:cstheme="minorHAnsi"/>
                <w:sz w:val="18"/>
                <w:szCs w:val="18"/>
              </w:rPr>
              <w:t>102%</w:t>
            </w:r>
          </w:p>
        </w:tc>
      </w:tr>
    </w:tbl>
    <w:p w14:paraId="6C247721" w14:textId="10C7E23C" w:rsidR="004D38D2" w:rsidRPr="00F0123B" w:rsidRDefault="004D38D2" w:rsidP="00A62779">
      <w:pPr>
        <w:spacing w:before="240" w:after="240" w:line="360" w:lineRule="auto"/>
        <w:jc w:val="both"/>
      </w:pPr>
      <w:r w:rsidRPr="00F0123B">
        <w:t>Iz analitički prikazanih troškova ostvarenih u 202</w:t>
      </w:r>
      <w:r w:rsidR="00A7002B">
        <w:t>4</w:t>
      </w:r>
      <w:r w:rsidRPr="00F0123B">
        <w:t>. godini u odnosu na ostvarenje u 20</w:t>
      </w:r>
      <w:r w:rsidR="003A02C2" w:rsidRPr="00F0123B">
        <w:t>2</w:t>
      </w:r>
      <w:r w:rsidR="00A7002B">
        <w:t>3</w:t>
      </w:r>
      <w:r w:rsidRPr="00F0123B">
        <w:t xml:space="preserve">. godini može se zaključiti da su </w:t>
      </w:r>
      <w:r w:rsidR="00F26FEA" w:rsidRPr="00F0123B">
        <w:t xml:space="preserve">ostali vanjski troškovi </w:t>
      </w:r>
      <w:r w:rsidRPr="00F0123B">
        <w:t xml:space="preserve">povećani </w:t>
      </w:r>
      <w:r w:rsidR="003A02C2" w:rsidRPr="00F0123B">
        <w:t>u vidu troškova</w:t>
      </w:r>
      <w:r w:rsidRPr="00F0123B">
        <w:t>:</w:t>
      </w:r>
    </w:p>
    <w:p w14:paraId="7D2F1A73" w14:textId="3D427976" w:rsidR="00595DF2" w:rsidRDefault="00595DF2">
      <w:pPr>
        <w:pStyle w:val="ListParagraph"/>
        <w:numPr>
          <w:ilvl w:val="0"/>
          <w:numId w:val="4"/>
        </w:numPr>
        <w:spacing w:line="360" w:lineRule="auto"/>
        <w:ind w:left="1060" w:hanging="357"/>
        <w:contextualSpacing w:val="0"/>
        <w:jc w:val="both"/>
        <w:rPr>
          <w:rFonts w:asciiTheme="minorHAnsi" w:hAnsiTheme="minorHAnsi" w:cstheme="minorHAnsi"/>
          <w:sz w:val="22"/>
          <w:szCs w:val="22"/>
        </w:rPr>
      </w:pPr>
      <w:r>
        <w:rPr>
          <w:rFonts w:asciiTheme="minorHAnsi" w:hAnsiTheme="minorHAnsi" w:cstheme="minorHAnsi"/>
          <w:sz w:val="22"/>
          <w:szCs w:val="22"/>
        </w:rPr>
        <w:t>tekućeg održavanja</w:t>
      </w:r>
      <w:r w:rsidR="0014238C">
        <w:rPr>
          <w:rFonts w:asciiTheme="minorHAnsi" w:hAnsiTheme="minorHAnsi" w:cstheme="minorHAnsi"/>
          <w:sz w:val="22"/>
          <w:szCs w:val="22"/>
        </w:rPr>
        <w:t xml:space="preserve"> </w:t>
      </w:r>
      <w:r w:rsidR="0014238C" w:rsidRPr="0014238C">
        <w:rPr>
          <w:rFonts w:asciiTheme="minorHAnsi" w:hAnsiTheme="minorHAnsi" w:cstheme="minorHAnsi"/>
          <w:sz w:val="22"/>
          <w:szCs w:val="22"/>
        </w:rPr>
        <w:t>(+17%)</w:t>
      </w:r>
      <w:r w:rsidR="0014238C">
        <w:rPr>
          <w:rFonts w:asciiTheme="minorHAnsi" w:hAnsiTheme="minorHAnsi" w:cstheme="minorHAnsi"/>
          <w:sz w:val="22"/>
          <w:szCs w:val="22"/>
        </w:rPr>
        <w:t xml:space="preserve"> </w:t>
      </w:r>
    </w:p>
    <w:p w14:paraId="02A118D3" w14:textId="6E99C3F8" w:rsidR="00A7002B" w:rsidRPr="00A7002B" w:rsidRDefault="00A7002B">
      <w:pPr>
        <w:pStyle w:val="ListParagraph"/>
        <w:numPr>
          <w:ilvl w:val="0"/>
          <w:numId w:val="4"/>
        </w:numPr>
        <w:spacing w:line="360" w:lineRule="auto"/>
        <w:ind w:left="1060" w:hanging="357"/>
        <w:contextualSpacing w:val="0"/>
        <w:jc w:val="both"/>
        <w:rPr>
          <w:rFonts w:asciiTheme="minorHAnsi" w:hAnsiTheme="minorHAnsi" w:cstheme="minorHAnsi"/>
          <w:sz w:val="22"/>
          <w:szCs w:val="22"/>
        </w:rPr>
      </w:pPr>
      <w:r>
        <w:rPr>
          <w:rFonts w:asciiTheme="minorHAnsi" w:hAnsiTheme="minorHAnsi" w:cstheme="minorHAnsi"/>
          <w:sz w:val="22"/>
          <w:szCs w:val="22"/>
        </w:rPr>
        <w:t>održavanja i zaštite</w:t>
      </w:r>
      <w:r w:rsidR="0014238C">
        <w:rPr>
          <w:rFonts w:asciiTheme="minorHAnsi" w:hAnsiTheme="minorHAnsi" w:cstheme="minorHAnsi"/>
          <w:sz w:val="22"/>
          <w:szCs w:val="22"/>
        </w:rPr>
        <w:t xml:space="preserve"> </w:t>
      </w:r>
      <w:r w:rsidR="0014238C" w:rsidRPr="0014238C">
        <w:rPr>
          <w:rFonts w:asciiTheme="minorHAnsi" w:hAnsiTheme="minorHAnsi" w:cstheme="minorHAnsi"/>
          <w:sz w:val="22"/>
          <w:szCs w:val="22"/>
        </w:rPr>
        <w:t>(+15%)</w:t>
      </w:r>
      <w:r w:rsidR="0014238C">
        <w:rPr>
          <w:rFonts w:asciiTheme="minorHAnsi" w:hAnsiTheme="minorHAnsi" w:cstheme="minorHAnsi"/>
          <w:sz w:val="22"/>
          <w:szCs w:val="22"/>
        </w:rPr>
        <w:t xml:space="preserve"> </w:t>
      </w:r>
    </w:p>
    <w:p w14:paraId="33DE8244" w14:textId="7900E023" w:rsidR="00E73924" w:rsidRDefault="00E73924">
      <w:pPr>
        <w:pStyle w:val="ListParagraph"/>
        <w:numPr>
          <w:ilvl w:val="0"/>
          <w:numId w:val="4"/>
        </w:numPr>
        <w:spacing w:line="360" w:lineRule="auto"/>
        <w:jc w:val="both"/>
        <w:rPr>
          <w:rFonts w:asciiTheme="minorHAnsi" w:hAnsiTheme="minorHAnsi" w:cstheme="minorHAnsi"/>
          <w:sz w:val="22"/>
          <w:szCs w:val="22"/>
        </w:rPr>
      </w:pPr>
      <w:r w:rsidRPr="00461E33">
        <w:rPr>
          <w:rFonts w:asciiTheme="minorHAnsi" w:hAnsiTheme="minorHAnsi" w:cstheme="minorHAnsi"/>
          <w:sz w:val="22"/>
          <w:szCs w:val="22"/>
        </w:rPr>
        <w:lastRenderedPageBreak/>
        <w:t xml:space="preserve">registracije, dozvola (licenci) i pristojbi </w:t>
      </w:r>
      <w:r w:rsidR="0014238C" w:rsidRPr="0014238C">
        <w:rPr>
          <w:rFonts w:asciiTheme="minorHAnsi" w:hAnsiTheme="minorHAnsi" w:cstheme="minorHAnsi"/>
          <w:sz w:val="22"/>
          <w:szCs w:val="22"/>
        </w:rPr>
        <w:t>(+33%)</w:t>
      </w:r>
    </w:p>
    <w:p w14:paraId="59DB0D06" w14:textId="1BFFEB1F" w:rsidR="00A7002B" w:rsidRDefault="00A7002B">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zakupa</w:t>
      </w:r>
      <w:r w:rsidR="0014238C">
        <w:rPr>
          <w:rFonts w:asciiTheme="minorHAnsi" w:hAnsiTheme="minorHAnsi" w:cstheme="minorHAnsi"/>
          <w:sz w:val="22"/>
          <w:szCs w:val="22"/>
        </w:rPr>
        <w:t xml:space="preserve">/leasinga </w:t>
      </w:r>
      <w:r w:rsidR="0014238C" w:rsidRPr="0014238C">
        <w:rPr>
          <w:rFonts w:asciiTheme="minorHAnsi" w:hAnsiTheme="minorHAnsi" w:cstheme="minorHAnsi"/>
          <w:sz w:val="22"/>
          <w:szCs w:val="22"/>
        </w:rPr>
        <w:t>(+543%)</w:t>
      </w:r>
      <w:r w:rsidR="0014238C">
        <w:rPr>
          <w:rFonts w:asciiTheme="minorHAnsi" w:hAnsiTheme="minorHAnsi" w:cstheme="minorHAnsi"/>
          <w:sz w:val="22"/>
          <w:szCs w:val="22"/>
        </w:rPr>
        <w:t xml:space="preserve"> </w:t>
      </w:r>
    </w:p>
    <w:p w14:paraId="71C4FCB6" w14:textId="294B8B8F" w:rsidR="00A7002B" w:rsidRDefault="00A7002B">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zbrinjavanja GIO-a</w:t>
      </w:r>
      <w:r w:rsidR="0014238C">
        <w:rPr>
          <w:rFonts w:asciiTheme="minorHAnsi" w:hAnsiTheme="minorHAnsi" w:cstheme="minorHAnsi"/>
          <w:sz w:val="22"/>
          <w:szCs w:val="22"/>
        </w:rPr>
        <w:t xml:space="preserve"> (+38%)</w:t>
      </w:r>
    </w:p>
    <w:p w14:paraId="1600C43A" w14:textId="716C771E" w:rsidR="00A7002B" w:rsidRDefault="00A7002B">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reprezentacije</w:t>
      </w:r>
      <w:r w:rsidR="0014238C">
        <w:rPr>
          <w:rFonts w:asciiTheme="minorHAnsi" w:hAnsiTheme="minorHAnsi" w:cstheme="minorHAnsi"/>
          <w:sz w:val="22"/>
          <w:szCs w:val="22"/>
        </w:rPr>
        <w:t xml:space="preserve"> (+108%)</w:t>
      </w:r>
    </w:p>
    <w:p w14:paraId="462DC492" w14:textId="35DE160D" w:rsidR="00A7002B" w:rsidRPr="0014238C" w:rsidRDefault="00A7002B">
      <w:pPr>
        <w:pStyle w:val="ListParagraph"/>
        <w:numPr>
          <w:ilvl w:val="0"/>
          <w:numId w:val="4"/>
        </w:numPr>
        <w:spacing w:line="360" w:lineRule="auto"/>
        <w:ind w:left="1060" w:hanging="357"/>
        <w:contextualSpacing w:val="0"/>
        <w:jc w:val="both"/>
        <w:rPr>
          <w:rFonts w:asciiTheme="minorHAnsi" w:hAnsiTheme="minorHAnsi" w:cstheme="minorHAnsi"/>
          <w:sz w:val="22"/>
          <w:szCs w:val="22"/>
        </w:rPr>
      </w:pPr>
      <w:r w:rsidRPr="00A7002B">
        <w:rPr>
          <w:rFonts w:asciiTheme="minorHAnsi" w:hAnsiTheme="minorHAnsi" w:cstheme="minorHAnsi"/>
          <w:sz w:val="22"/>
          <w:szCs w:val="22"/>
        </w:rPr>
        <w:t>ostale vanjske usluge</w:t>
      </w:r>
      <w:r w:rsidR="0014238C">
        <w:rPr>
          <w:rFonts w:asciiTheme="minorHAnsi" w:hAnsiTheme="minorHAnsi" w:cstheme="minorHAnsi"/>
          <w:sz w:val="22"/>
          <w:szCs w:val="22"/>
        </w:rPr>
        <w:t xml:space="preserve"> (+10%)</w:t>
      </w:r>
    </w:p>
    <w:p w14:paraId="0740A210" w14:textId="4EA35CA3" w:rsidR="00A7002B" w:rsidRDefault="00A7002B" w:rsidP="00A7002B">
      <w:pPr>
        <w:spacing w:before="240" w:after="240" w:line="360" w:lineRule="auto"/>
        <w:jc w:val="both"/>
      </w:pPr>
      <w:r w:rsidRPr="00F0123B">
        <w:t>Iz analitički prikazanih troškova ostvarenih u 202</w:t>
      </w:r>
      <w:r>
        <w:t>4</w:t>
      </w:r>
      <w:r w:rsidRPr="00F0123B">
        <w:t>. godini u odnosu na ostvarenje u 202</w:t>
      </w:r>
      <w:r>
        <w:t>3</w:t>
      </w:r>
      <w:r w:rsidRPr="00F0123B">
        <w:t xml:space="preserve">. godini može se zaključiti da su ostali vanjski troškovi </w:t>
      </w:r>
      <w:r>
        <w:t>smanjeni</w:t>
      </w:r>
      <w:r w:rsidRPr="00F0123B">
        <w:t xml:space="preserve"> u vidu troškova:</w:t>
      </w:r>
    </w:p>
    <w:p w14:paraId="7FFCA66B" w14:textId="30D266C9" w:rsidR="00A7002B" w:rsidRDefault="00A7002B">
      <w:pPr>
        <w:pStyle w:val="ListParagraph"/>
        <w:numPr>
          <w:ilvl w:val="0"/>
          <w:numId w:val="4"/>
        </w:numPr>
        <w:spacing w:line="360" w:lineRule="auto"/>
        <w:contextualSpacing w:val="0"/>
        <w:jc w:val="both"/>
        <w:rPr>
          <w:rFonts w:asciiTheme="minorHAnsi" w:hAnsiTheme="minorHAnsi" w:cstheme="minorHAnsi"/>
          <w:sz w:val="22"/>
          <w:szCs w:val="22"/>
        </w:rPr>
      </w:pPr>
      <w:r>
        <w:rPr>
          <w:rFonts w:asciiTheme="minorHAnsi" w:hAnsiTheme="minorHAnsi" w:cstheme="minorHAnsi"/>
          <w:sz w:val="22"/>
          <w:szCs w:val="22"/>
        </w:rPr>
        <w:t>telefona, prijevoz</w:t>
      </w:r>
      <w:r w:rsidR="0014238C">
        <w:rPr>
          <w:rFonts w:asciiTheme="minorHAnsi" w:hAnsiTheme="minorHAnsi" w:cstheme="minorHAnsi"/>
          <w:sz w:val="22"/>
          <w:szCs w:val="22"/>
        </w:rPr>
        <w:t>a</w:t>
      </w:r>
      <w:r>
        <w:rPr>
          <w:rFonts w:asciiTheme="minorHAnsi" w:hAnsiTheme="minorHAnsi" w:cstheme="minorHAnsi"/>
          <w:sz w:val="22"/>
          <w:szCs w:val="22"/>
        </w:rPr>
        <w:t xml:space="preserve"> </w:t>
      </w:r>
      <w:r w:rsidR="002076FB">
        <w:rPr>
          <w:rFonts w:asciiTheme="minorHAnsi" w:hAnsiTheme="minorHAnsi" w:cstheme="minorHAnsi"/>
          <w:sz w:val="22"/>
          <w:szCs w:val="22"/>
        </w:rPr>
        <w:t>(-8%)</w:t>
      </w:r>
    </w:p>
    <w:p w14:paraId="3AABF8F0" w14:textId="281B64DA" w:rsidR="002076FB" w:rsidRDefault="002076FB">
      <w:pPr>
        <w:pStyle w:val="ListParagraph"/>
        <w:numPr>
          <w:ilvl w:val="0"/>
          <w:numId w:val="4"/>
        </w:numPr>
        <w:spacing w:line="360" w:lineRule="auto"/>
        <w:contextualSpacing w:val="0"/>
        <w:jc w:val="both"/>
        <w:rPr>
          <w:rFonts w:asciiTheme="minorHAnsi" w:hAnsiTheme="minorHAnsi" w:cstheme="minorHAnsi"/>
          <w:sz w:val="22"/>
          <w:szCs w:val="22"/>
        </w:rPr>
      </w:pPr>
      <w:r>
        <w:rPr>
          <w:rFonts w:asciiTheme="minorHAnsi" w:hAnsiTheme="minorHAnsi" w:cstheme="minorHAnsi"/>
          <w:sz w:val="22"/>
          <w:szCs w:val="22"/>
        </w:rPr>
        <w:t>rad vanjskog osoblja i geodetske usluge (-28%)</w:t>
      </w:r>
    </w:p>
    <w:p w14:paraId="0A1BF474" w14:textId="76854ECD" w:rsidR="002076FB" w:rsidRPr="00A7002B" w:rsidRDefault="002076FB">
      <w:pPr>
        <w:pStyle w:val="ListParagraph"/>
        <w:numPr>
          <w:ilvl w:val="0"/>
          <w:numId w:val="4"/>
        </w:numPr>
        <w:spacing w:line="360" w:lineRule="auto"/>
        <w:contextualSpacing w:val="0"/>
        <w:jc w:val="both"/>
        <w:rPr>
          <w:rFonts w:asciiTheme="minorHAnsi" w:hAnsiTheme="minorHAnsi" w:cstheme="minorHAnsi"/>
          <w:sz w:val="22"/>
          <w:szCs w:val="22"/>
        </w:rPr>
      </w:pPr>
      <w:r>
        <w:rPr>
          <w:rFonts w:asciiTheme="minorHAnsi" w:hAnsiTheme="minorHAnsi" w:cstheme="minorHAnsi"/>
          <w:sz w:val="22"/>
          <w:szCs w:val="22"/>
        </w:rPr>
        <w:t>promidžbe (-44%)</w:t>
      </w:r>
    </w:p>
    <w:p w14:paraId="14C1800F" w14:textId="060332B5" w:rsidR="00F923EC" w:rsidRPr="00E91807" w:rsidRDefault="00F923EC">
      <w:pPr>
        <w:pStyle w:val="ListParagraph"/>
        <w:numPr>
          <w:ilvl w:val="0"/>
          <w:numId w:val="4"/>
        </w:numPr>
        <w:spacing w:line="360" w:lineRule="auto"/>
        <w:ind w:left="1060" w:hanging="357"/>
        <w:contextualSpacing w:val="0"/>
        <w:jc w:val="both"/>
        <w:rPr>
          <w:rFonts w:asciiTheme="minorHAnsi" w:hAnsiTheme="minorHAnsi" w:cstheme="minorHAnsi"/>
          <w:sz w:val="20"/>
          <w:szCs w:val="20"/>
        </w:rPr>
      </w:pPr>
      <w:r w:rsidRPr="00E91807">
        <w:rPr>
          <w:rFonts w:asciiTheme="minorHAnsi" w:hAnsiTheme="minorHAnsi" w:cstheme="minorHAnsi"/>
          <w:sz w:val="22"/>
          <w:szCs w:val="22"/>
        </w:rPr>
        <w:t>intelektualnih usluga</w:t>
      </w:r>
      <w:r w:rsidR="002076FB">
        <w:rPr>
          <w:rFonts w:asciiTheme="minorHAnsi" w:hAnsiTheme="minorHAnsi" w:cstheme="minorHAnsi"/>
          <w:sz w:val="22"/>
          <w:szCs w:val="22"/>
        </w:rPr>
        <w:t xml:space="preserve"> (-18%)</w:t>
      </w:r>
    </w:p>
    <w:p w14:paraId="6D99500B" w14:textId="13B5E8CF" w:rsidR="00595DF2" w:rsidRDefault="00595DF2">
      <w:pPr>
        <w:pStyle w:val="ListParagraph"/>
        <w:numPr>
          <w:ilvl w:val="0"/>
          <w:numId w:val="4"/>
        </w:numPr>
        <w:spacing w:line="360" w:lineRule="auto"/>
        <w:ind w:left="1060" w:hanging="357"/>
        <w:contextualSpacing w:val="0"/>
        <w:jc w:val="both"/>
        <w:rPr>
          <w:rFonts w:asciiTheme="minorHAnsi" w:hAnsiTheme="minorHAnsi" w:cstheme="minorHAnsi"/>
          <w:sz w:val="22"/>
          <w:szCs w:val="22"/>
        </w:rPr>
      </w:pPr>
      <w:r>
        <w:rPr>
          <w:rFonts w:asciiTheme="minorHAnsi" w:hAnsiTheme="minorHAnsi" w:cstheme="minorHAnsi"/>
          <w:sz w:val="22"/>
          <w:szCs w:val="22"/>
        </w:rPr>
        <w:t>komunalnih i sličnih usluga</w:t>
      </w:r>
      <w:r w:rsidR="002076FB">
        <w:rPr>
          <w:rFonts w:asciiTheme="minorHAnsi" w:hAnsiTheme="minorHAnsi" w:cstheme="minorHAnsi"/>
          <w:sz w:val="22"/>
          <w:szCs w:val="22"/>
        </w:rPr>
        <w:t xml:space="preserve"> (-16%)</w:t>
      </w:r>
    </w:p>
    <w:p w14:paraId="18AA7394" w14:textId="631A75C7" w:rsidR="00344E76" w:rsidRPr="0013373B" w:rsidRDefault="00B4096C" w:rsidP="0013373B">
      <w:pPr>
        <w:pStyle w:val="Caption"/>
        <w:spacing w:before="240" w:after="360"/>
        <w:rPr>
          <w:rFonts w:asciiTheme="minorHAnsi" w:eastAsiaTheme="minorHAnsi" w:hAnsiTheme="minorHAnsi" w:cstheme="minorHAnsi"/>
          <w:b w:val="0"/>
          <w:bCs w:val="0"/>
          <w:sz w:val="22"/>
          <w:szCs w:val="22"/>
        </w:rPr>
      </w:pPr>
      <w:r w:rsidRPr="00B4096C">
        <w:rPr>
          <w:rFonts w:asciiTheme="minorHAnsi" w:eastAsiaTheme="minorHAnsi" w:hAnsiTheme="minorHAnsi" w:cstheme="minorHAnsi"/>
          <w:b w:val="0"/>
          <w:bCs w:val="0"/>
          <w:sz w:val="22"/>
          <w:szCs w:val="22"/>
        </w:rPr>
        <w:t>U nastavku slijedi tablični prikaz svih pojedinačnih kategorija ostalih vanjskih troškova iz Tablice 20.</w:t>
      </w:r>
    </w:p>
    <w:p w14:paraId="3039F133" w14:textId="0637557A" w:rsidR="00DC16B1" w:rsidRPr="00840E6B" w:rsidRDefault="00DC16B1" w:rsidP="005266B1">
      <w:pPr>
        <w:pStyle w:val="Caption"/>
        <w:spacing w:before="240" w:after="360"/>
        <w:rPr>
          <w:rFonts w:asciiTheme="minorHAnsi" w:hAnsiTheme="minorHAnsi" w:cstheme="minorHAnsi"/>
          <w:sz w:val="22"/>
          <w:szCs w:val="22"/>
        </w:rPr>
      </w:pPr>
      <w:bookmarkStart w:id="61" w:name="_Toc200366459"/>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21</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telefona, prijevoza i sl.</w:t>
      </w:r>
      <w:bookmarkEnd w:id="61"/>
    </w:p>
    <w:tbl>
      <w:tblPr>
        <w:tblW w:w="91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4"/>
        <w:gridCol w:w="3376"/>
        <w:gridCol w:w="1194"/>
        <w:gridCol w:w="1194"/>
        <w:gridCol w:w="1194"/>
        <w:gridCol w:w="675"/>
        <w:gridCol w:w="728"/>
      </w:tblGrid>
      <w:tr w:rsidR="008770DF" w:rsidRPr="00DC16B1" w14:paraId="1F8A90BE" w14:textId="77777777" w:rsidTr="00D64831">
        <w:trPr>
          <w:trHeight w:val="817"/>
        </w:trPr>
        <w:tc>
          <w:tcPr>
            <w:tcW w:w="744" w:type="dxa"/>
            <w:tcBorders>
              <w:top w:val="single" w:sz="4" w:space="0" w:color="auto"/>
              <w:bottom w:val="single" w:sz="4" w:space="0" w:color="auto"/>
            </w:tcBorders>
            <w:shd w:val="clear" w:color="auto" w:fill="auto"/>
            <w:noWrap/>
            <w:vAlign w:val="center"/>
            <w:hideMark/>
          </w:tcPr>
          <w:p w14:paraId="75E6C35D" w14:textId="235C17F9" w:rsidR="00C818FC" w:rsidRPr="00840E6B" w:rsidRDefault="00C818FC" w:rsidP="00C818FC">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R. br.</w:t>
            </w:r>
          </w:p>
        </w:tc>
        <w:tc>
          <w:tcPr>
            <w:tcW w:w="3376" w:type="dxa"/>
            <w:tcBorders>
              <w:top w:val="single" w:sz="4" w:space="0" w:color="auto"/>
              <w:bottom w:val="single" w:sz="4" w:space="0" w:color="auto"/>
            </w:tcBorders>
            <w:shd w:val="clear" w:color="auto" w:fill="auto"/>
            <w:noWrap/>
            <w:vAlign w:val="center"/>
            <w:hideMark/>
          </w:tcPr>
          <w:p w14:paraId="30E1ACB0" w14:textId="48FC70FF" w:rsidR="00C818FC" w:rsidRPr="00840E6B" w:rsidRDefault="00C818FC" w:rsidP="00C818FC">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 p i s</w:t>
            </w:r>
          </w:p>
        </w:tc>
        <w:tc>
          <w:tcPr>
            <w:tcW w:w="1194" w:type="dxa"/>
            <w:tcBorders>
              <w:top w:val="single" w:sz="4" w:space="0" w:color="auto"/>
              <w:bottom w:val="single" w:sz="4" w:space="0" w:color="auto"/>
            </w:tcBorders>
            <w:shd w:val="clear" w:color="auto" w:fill="auto"/>
            <w:noWrap/>
            <w:vAlign w:val="center"/>
            <w:hideMark/>
          </w:tcPr>
          <w:p w14:paraId="5CAAB6F9" w14:textId="7A440684" w:rsidR="00C818FC" w:rsidRPr="00840E6B" w:rsidRDefault="00C818FC" w:rsidP="00C818FC">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sidR="006B1D48">
              <w:rPr>
                <w:rFonts w:eastAsia="Times New Roman" w:cstheme="minorHAnsi"/>
                <w:b/>
                <w:bCs/>
                <w:sz w:val="18"/>
                <w:szCs w:val="18"/>
                <w:lang w:eastAsia="hr-HR"/>
              </w:rPr>
              <w:t>3</w:t>
            </w:r>
          </w:p>
        </w:tc>
        <w:tc>
          <w:tcPr>
            <w:tcW w:w="1194" w:type="dxa"/>
            <w:tcBorders>
              <w:top w:val="single" w:sz="4" w:space="0" w:color="auto"/>
              <w:bottom w:val="single" w:sz="4" w:space="0" w:color="auto"/>
            </w:tcBorders>
            <w:shd w:val="clear" w:color="auto" w:fill="auto"/>
            <w:noWrap/>
            <w:vAlign w:val="center"/>
            <w:hideMark/>
          </w:tcPr>
          <w:p w14:paraId="1C3A62E6" w14:textId="06E3BE73" w:rsidR="00C818FC" w:rsidRPr="00840E6B" w:rsidRDefault="00C818FC" w:rsidP="00C818FC">
            <w:pPr>
              <w:spacing w:before="120" w:after="0" w:line="240" w:lineRule="auto"/>
              <w:jc w:val="center"/>
              <w:rPr>
                <w:rFonts w:ascii="Calibri" w:eastAsia="Times New Roman" w:hAnsi="Calibri" w:cs="Calibr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sidR="006B1D48">
              <w:rPr>
                <w:rFonts w:eastAsia="Times New Roman" w:cstheme="minorHAnsi"/>
                <w:b/>
                <w:bCs/>
                <w:sz w:val="18"/>
                <w:szCs w:val="18"/>
                <w:lang w:eastAsia="hr-HR"/>
              </w:rPr>
              <w:t>4</w:t>
            </w:r>
          </w:p>
        </w:tc>
        <w:tc>
          <w:tcPr>
            <w:tcW w:w="1194" w:type="dxa"/>
            <w:tcBorders>
              <w:top w:val="single" w:sz="4" w:space="0" w:color="auto"/>
              <w:bottom w:val="single" w:sz="4" w:space="0" w:color="auto"/>
            </w:tcBorders>
            <w:shd w:val="clear" w:color="auto" w:fill="auto"/>
            <w:noWrap/>
            <w:vAlign w:val="center"/>
            <w:hideMark/>
          </w:tcPr>
          <w:p w14:paraId="06F0CF60" w14:textId="3552A71B" w:rsidR="00C818FC" w:rsidRPr="00840E6B" w:rsidRDefault="00C818FC" w:rsidP="00C818FC">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sidR="006B1D48">
              <w:rPr>
                <w:rFonts w:eastAsia="Times New Roman" w:cstheme="minorHAnsi"/>
                <w:b/>
                <w:bCs/>
                <w:sz w:val="18"/>
                <w:szCs w:val="18"/>
                <w:lang w:eastAsia="hr-HR"/>
              </w:rPr>
              <w:t>4</w:t>
            </w:r>
          </w:p>
        </w:tc>
        <w:tc>
          <w:tcPr>
            <w:tcW w:w="675" w:type="dxa"/>
            <w:tcBorders>
              <w:top w:val="single" w:sz="4" w:space="0" w:color="auto"/>
              <w:bottom w:val="single" w:sz="4" w:space="0" w:color="auto"/>
            </w:tcBorders>
            <w:shd w:val="clear" w:color="auto" w:fill="auto"/>
            <w:noWrap/>
            <w:vAlign w:val="center"/>
            <w:hideMark/>
          </w:tcPr>
          <w:p w14:paraId="5F5043BB" w14:textId="326EDDB6" w:rsidR="00C818FC" w:rsidRPr="00840E6B" w:rsidRDefault="00C818FC" w:rsidP="00C818FC">
            <w:pPr>
              <w:spacing w:before="120" w:after="0" w:line="240" w:lineRule="auto"/>
              <w:jc w:val="center"/>
              <w:rPr>
                <w:rFonts w:ascii="Calibri" w:eastAsia="Times New Roman" w:hAnsi="Calibri" w:cs="Calibri"/>
                <w:color w:val="000000"/>
                <w:sz w:val="20"/>
                <w:szCs w:val="20"/>
                <w:lang w:eastAsia="hr-HR"/>
              </w:rPr>
            </w:pPr>
            <w:r w:rsidRPr="00264869">
              <w:rPr>
                <w:rFonts w:eastAsia="Times New Roman" w:cstheme="minorHAnsi"/>
                <w:b/>
                <w:bCs/>
                <w:color w:val="000000"/>
                <w:sz w:val="18"/>
                <w:szCs w:val="18"/>
                <w:lang w:eastAsia="hr-HR"/>
              </w:rPr>
              <w:t>index   (5/3)</w:t>
            </w:r>
          </w:p>
        </w:tc>
        <w:tc>
          <w:tcPr>
            <w:tcW w:w="728" w:type="dxa"/>
            <w:tcBorders>
              <w:top w:val="single" w:sz="4" w:space="0" w:color="auto"/>
              <w:bottom w:val="single" w:sz="4" w:space="0" w:color="auto"/>
            </w:tcBorders>
            <w:shd w:val="clear" w:color="auto" w:fill="auto"/>
            <w:noWrap/>
            <w:vAlign w:val="center"/>
            <w:hideMark/>
          </w:tcPr>
          <w:p w14:paraId="25433D12" w14:textId="406B6982" w:rsidR="00C818FC" w:rsidRPr="00840E6B" w:rsidRDefault="00C818FC" w:rsidP="00C818FC">
            <w:pPr>
              <w:spacing w:before="120" w:after="0" w:line="240" w:lineRule="auto"/>
              <w:jc w:val="center"/>
              <w:rPr>
                <w:rFonts w:ascii="Calibri" w:eastAsia="Times New Roman" w:hAnsi="Calibri" w:cs="Calibri"/>
                <w:color w:val="000000"/>
                <w:sz w:val="20"/>
                <w:szCs w:val="20"/>
                <w:lang w:eastAsia="hr-HR"/>
              </w:rPr>
            </w:pPr>
            <w:r w:rsidRPr="00264869">
              <w:rPr>
                <w:rFonts w:eastAsia="Times New Roman" w:cstheme="minorHAnsi"/>
                <w:b/>
                <w:bCs/>
                <w:color w:val="000000"/>
                <w:sz w:val="18"/>
                <w:szCs w:val="18"/>
                <w:lang w:eastAsia="hr-HR"/>
              </w:rPr>
              <w:t>indeks (5/4)</w:t>
            </w:r>
          </w:p>
        </w:tc>
      </w:tr>
      <w:tr w:rsidR="008770DF" w:rsidRPr="00DC16B1" w14:paraId="621B5939" w14:textId="77777777" w:rsidTr="00D64831">
        <w:trPr>
          <w:trHeight w:val="219"/>
        </w:trPr>
        <w:tc>
          <w:tcPr>
            <w:tcW w:w="744" w:type="dxa"/>
            <w:tcBorders>
              <w:top w:val="single" w:sz="4" w:space="0" w:color="auto"/>
              <w:bottom w:val="single" w:sz="4" w:space="0" w:color="auto"/>
            </w:tcBorders>
            <w:shd w:val="clear" w:color="auto" w:fill="auto"/>
            <w:noWrap/>
          </w:tcPr>
          <w:p w14:paraId="59632C55" w14:textId="2B5F6844" w:rsidR="00C845B2" w:rsidRPr="008770DF" w:rsidRDefault="00C845B2" w:rsidP="0039343B">
            <w:pPr>
              <w:spacing w:after="0" w:line="240" w:lineRule="auto"/>
              <w:jc w:val="center"/>
              <w:rPr>
                <w:rFonts w:ascii="Calibri" w:eastAsia="Times New Roman" w:hAnsi="Calibri" w:cs="Calibri"/>
                <w:b/>
                <w:bCs/>
                <w:sz w:val="14"/>
                <w:szCs w:val="14"/>
                <w:lang w:eastAsia="hr-HR"/>
              </w:rPr>
            </w:pPr>
            <w:r w:rsidRPr="008770DF">
              <w:rPr>
                <w:rFonts w:eastAsia="Times New Roman" w:cstheme="minorHAnsi"/>
                <w:i/>
                <w:iCs/>
                <w:color w:val="BFBFBF"/>
                <w:sz w:val="14"/>
                <w:szCs w:val="14"/>
                <w:lang w:eastAsia="hr-HR"/>
              </w:rPr>
              <w:t>1</w:t>
            </w:r>
          </w:p>
        </w:tc>
        <w:tc>
          <w:tcPr>
            <w:tcW w:w="3376" w:type="dxa"/>
            <w:tcBorders>
              <w:top w:val="single" w:sz="4" w:space="0" w:color="auto"/>
              <w:bottom w:val="single" w:sz="4" w:space="0" w:color="auto"/>
            </w:tcBorders>
            <w:shd w:val="clear" w:color="auto" w:fill="auto"/>
            <w:noWrap/>
            <w:vAlign w:val="center"/>
          </w:tcPr>
          <w:p w14:paraId="4CA8B050" w14:textId="062FD0BF" w:rsidR="00C845B2" w:rsidRPr="008770DF" w:rsidRDefault="00C845B2" w:rsidP="0039343B">
            <w:pPr>
              <w:spacing w:after="0" w:line="240" w:lineRule="auto"/>
              <w:jc w:val="center"/>
              <w:rPr>
                <w:rFonts w:ascii="Calibri" w:eastAsia="Times New Roman" w:hAnsi="Calibri" w:cs="Calibri"/>
                <w:b/>
                <w:bCs/>
                <w:sz w:val="14"/>
                <w:szCs w:val="14"/>
                <w:lang w:eastAsia="hr-HR"/>
              </w:rPr>
            </w:pPr>
            <w:r w:rsidRPr="008770DF">
              <w:rPr>
                <w:rFonts w:eastAsia="Times New Roman" w:cstheme="minorHAnsi"/>
                <w:i/>
                <w:iCs/>
                <w:color w:val="BFBFBF"/>
                <w:sz w:val="14"/>
                <w:szCs w:val="14"/>
                <w:lang w:eastAsia="hr-HR"/>
              </w:rPr>
              <w:t>2</w:t>
            </w:r>
          </w:p>
        </w:tc>
        <w:tc>
          <w:tcPr>
            <w:tcW w:w="1194" w:type="dxa"/>
            <w:tcBorders>
              <w:top w:val="single" w:sz="4" w:space="0" w:color="auto"/>
              <w:bottom w:val="single" w:sz="4" w:space="0" w:color="auto"/>
            </w:tcBorders>
            <w:shd w:val="clear" w:color="auto" w:fill="auto"/>
            <w:noWrap/>
            <w:vAlign w:val="center"/>
          </w:tcPr>
          <w:p w14:paraId="7E80DB6E" w14:textId="7367F345" w:rsidR="00C845B2" w:rsidRPr="008770DF" w:rsidRDefault="00C845B2" w:rsidP="0039343B">
            <w:pPr>
              <w:spacing w:after="0" w:line="240" w:lineRule="auto"/>
              <w:jc w:val="center"/>
              <w:rPr>
                <w:rFonts w:ascii="Calibri" w:eastAsia="Times New Roman" w:hAnsi="Calibri" w:cs="Calibri"/>
                <w:b/>
                <w:bCs/>
                <w:sz w:val="14"/>
                <w:szCs w:val="14"/>
                <w:lang w:eastAsia="hr-HR"/>
              </w:rPr>
            </w:pPr>
            <w:r w:rsidRPr="008770DF">
              <w:rPr>
                <w:rFonts w:eastAsia="Times New Roman" w:cstheme="minorHAnsi"/>
                <w:i/>
                <w:iCs/>
                <w:color w:val="BFBFBF"/>
                <w:sz w:val="14"/>
                <w:szCs w:val="14"/>
                <w:lang w:eastAsia="hr-HR"/>
              </w:rPr>
              <w:t>3</w:t>
            </w:r>
          </w:p>
        </w:tc>
        <w:tc>
          <w:tcPr>
            <w:tcW w:w="1194" w:type="dxa"/>
            <w:tcBorders>
              <w:top w:val="single" w:sz="4" w:space="0" w:color="auto"/>
              <w:bottom w:val="single" w:sz="4" w:space="0" w:color="auto"/>
            </w:tcBorders>
            <w:shd w:val="clear" w:color="auto" w:fill="auto"/>
            <w:noWrap/>
            <w:vAlign w:val="center"/>
          </w:tcPr>
          <w:p w14:paraId="306EFA28" w14:textId="75EC8DA2" w:rsidR="00C845B2" w:rsidRPr="008770DF" w:rsidRDefault="00C845B2" w:rsidP="0039343B">
            <w:pPr>
              <w:spacing w:after="0" w:line="240" w:lineRule="auto"/>
              <w:jc w:val="center"/>
              <w:rPr>
                <w:rFonts w:eastAsia="Times New Roman" w:cstheme="minorHAnsi"/>
                <w:b/>
                <w:bCs/>
                <w:sz w:val="14"/>
                <w:szCs w:val="14"/>
                <w:lang w:eastAsia="hr-HR"/>
              </w:rPr>
            </w:pPr>
            <w:r w:rsidRPr="008770DF">
              <w:rPr>
                <w:rFonts w:eastAsia="Times New Roman" w:cstheme="minorHAnsi"/>
                <w:i/>
                <w:iCs/>
                <w:color w:val="BFBFBF"/>
                <w:sz w:val="14"/>
                <w:szCs w:val="14"/>
                <w:lang w:eastAsia="hr-HR"/>
              </w:rPr>
              <w:t>4</w:t>
            </w:r>
          </w:p>
        </w:tc>
        <w:tc>
          <w:tcPr>
            <w:tcW w:w="1194" w:type="dxa"/>
            <w:tcBorders>
              <w:top w:val="single" w:sz="4" w:space="0" w:color="auto"/>
              <w:bottom w:val="single" w:sz="4" w:space="0" w:color="auto"/>
            </w:tcBorders>
            <w:shd w:val="clear" w:color="auto" w:fill="auto"/>
            <w:noWrap/>
            <w:vAlign w:val="center"/>
          </w:tcPr>
          <w:p w14:paraId="2C7F994A" w14:textId="0F026B87" w:rsidR="00C845B2" w:rsidRPr="008770DF" w:rsidRDefault="00C845B2" w:rsidP="0039343B">
            <w:pPr>
              <w:spacing w:after="0" w:line="240" w:lineRule="auto"/>
              <w:jc w:val="center"/>
              <w:rPr>
                <w:rFonts w:ascii="Calibri" w:eastAsia="Times New Roman" w:hAnsi="Calibri" w:cs="Calibri"/>
                <w:b/>
                <w:bCs/>
                <w:sz w:val="14"/>
                <w:szCs w:val="14"/>
                <w:lang w:eastAsia="hr-HR"/>
              </w:rPr>
            </w:pPr>
            <w:r w:rsidRPr="008770DF">
              <w:rPr>
                <w:rFonts w:eastAsia="Times New Roman" w:cstheme="minorHAnsi"/>
                <w:i/>
                <w:iCs/>
                <w:color w:val="BFBFBF"/>
                <w:sz w:val="14"/>
                <w:szCs w:val="14"/>
                <w:lang w:eastAsia="hr-HR"/>
              </w:rPr>
              <w:t>5</w:t>
            </w:r>
          </w:p>
        </w:tc>
        <w:tc>
          <w:tcPr>
            <w:tcW w:w="675" w:type="dxa"/>
            <w:tcBorders>
              <w:top w:val="single" w:sz="4" w:space="0" w:color="auto"/>
              <w:bottom w:val="single" w:sz="4" w:space="0" w:color="auto"/>
            </w:tcBorders>
            <w:shd w:val="clear" w:color="auto" w:fill="auto"/>
            <w:noWrap/>
            <w:vAlign w:val="center"/>
          </w:tcPr>
          <w:p w14:paraId="36286DAC" w14:textId="6AE3CE44" w:rsidR="00C845B2" w:rsidRPr="008770DF" w:rsidRDefault="00C845B2" w:rsidP="0039343B">
            <w:pPr>
              <w:spacing w:after="0" w:line="240" w:lineRule="auto"/>
              <w:jc w:val="center"/>
              <w:rPr>
                <w:rFonts w:ascii="Calibri" w:eastAsia="Times New Roman" w:hAnsi="Calibri" w:cs="Calibri"/>
                <w:b/>
                <w:bCs/>
                <w:color w:val="000000"/>
                <w:sz w:val="14"/>
                <w:szCs w:val="14"/>
                <w:lang w:eastAsia="hr-HR"/>
              </w:rPr>
            </w:pPr>
            <w:r w:rsidRPr="008770DF">
              <w:rPr>
                <w:rFonts w:eastAsia="Times New Roman" w:cstheme="minorHAnsi"/>
                <w:i/>
                <w:iCs/>
                <w:color w:val="BFBFBF"/>
                <w:sz w:val="14"/>
                <w:szCs w:val="14"/>
                <w:lang w:eastAsia="hr-HR"/>
              </w:rPr>
              <w:t>6</w:t>
            </w:r>
          </w:p>
        </w:tc>
        <w:tc>
          <w:tcPr>
            <w:tcW w:w="728" w:type="dxa"/>
            <w:tcBorders>
              <w:top w:val="single" w:sz="4" w:space="0" w:color="auto"/>
              <w:bottom w:val="single" w:sz="4" w:space="0" w:color="auto"/>
            </w:tcBorders>
            <w:shd w:val="clear" w:color="auto" w:fill="auto"/>
            <w:noWrap/>
            <w:vAlign w:val="center"/>
          </w:tcPr>
          <w:p w14:paraId="48042564" w14:textId="406CF7B2" w:rsidR="00C845B2" w:rsidRPr="008770DF" w:rsidRDefault="00C845B2" w:rsidP="0039343B">
            <w:pPr>
              <w:spacing w:after="0" w:line="240" w:lineRule="auto"/>
              <w:jc w:val="center"/>
              <w:rPr>
                <w:rFonts w:ascii="Calibri" w:eastAsia="Times New Roman" w:hAnsi="Calibri" w:cs="Calibri"/>
                <w:b/>
                <w:bCs/>
                <w:color w:val="000000"/>
                <w:sz w:val="14"/>
                <w:szCs w:val="14"/>
                <w:lang w:eastAsia="hr-HR"/>
              </w:rPr>
            </w:pPr>
            <w:r w:rsidRPr="008770DF">
              <w:rPr>
                <w:rFonts w:eastAsia="Times New Roman" w:cstheme="minorHAnsi"/>
                <w:i/>
                <w:iCs/>
                <w:color w:val="BFBFBF"/>
                <w:sz w:val="14"/>
                <w:szCs w:val="14"/>
                <w:lang w:eastAsia="hr-HR"/>
              </w:rPr>
              <w:t>7</w:t>
            </w:r>
          </w:p>
        </w:tc>
      </w:tr>
      <w:tr w:rsidR="006B1D48" w:rsidRPr="00DC16B1" w14:paraId="7FDD252D" w14:textId="77777777" w:rsidTr="00131DE4">
        <w:trPr>
          <w:trHeight w:val="340"/>
        </w:trPr>
        <w:tc>
          <w:tcPr>
            <w:tcW w:w="744" w:type="dxa"/>
            <w:tcBorders>
              <w:top w:val="single" w:sz="4" w:space="0" w:color="auto"/>
            </w:tcBorders>
            <w:shd w:val="clear" w:color="auto" w:fill="auto"/>
            <w:noWrap/>
            <w:vAlign w:val="bottom"/>
            <w:hideMark/>
          </w:tcPr>
          <w:p w14:paraId="21DF7B27" w14:textId="77777777" w:rsidR="006B1D48" w:rsidRPr="00F0098C" w:rsidRDefault="006B1D48" w:rsidP="00D64831">
            <w:pPr>
              <w:spacing w:before="120" w:after="0" w:line="240" w:lineRule="auto"/>
              <w:rPr>
                <w:rFonts w:ascii="Calibri" w:eastAsia="Times New Roman" w:hAnsi="Calibri" w:cs="Calibri"/>
                <w:b/>
                <w:bCs/>
                <w:sz w:val="18"/>
                <w:szCs w:val="18"/>
                <w:lang w:eastAsia="hr-HR"/>
              </w:rPr>
            </w:pPr>
            <w:r w:rsidRPr="00F0098C">
              <w:rPr>
                <w:rFonts w:ascii="Calibri" w:eastAsia="Times New Roman" w:hAnsi="Calibri" w:cs="Calibri"/>
                <w:b/>
                <w:bCs/>
                <w:sz w:val="18"/>
                <w:szCs w:val="18"/>
                <w:lang w:eastAsia="hr-HR"/>
              </w:rPr>
              <w:t>1.2.1</w:t>
            </w:r>
          </w:p>
        </w:tc>
        <w:tc>
          <w:tcPr>
            <w:tcW w:w="3376" w:type="dxa"/>
            <w:tcBorders>
              <w:top w:val="single" w:sz="4" w:space="0" w:color="auto"/>
            </w:tcBorders>
            <w:shd w:val="clear" w:color="auto" w:fill="auto"/>
            <w:noWrap/>
            <w:vAlign w:val="bottom"/>
            <w:hideMark/>
          </w:tcPr>
          <w:p w14:paraId="15844E81" w14:textId="04ACD73E" w:rsidR="006B1D48" w:rsidRPr="00F0098C" w:rsidRDefault="006B1D48" w:rsidP="006B1D48">
            <w:pPr>
              <w:spacing w:before="120" w:after="0" w:line="240" w:lineRule="auto"/>
              <w:rPr>
                <w:rFonts w:ascii="Calibri" w:eastAsia="Times New Roman" w:hAnsi="Calibri" w:cs="Calibri"/>
                <w:b/>
                <w:bCs/>
                <w:sz w:val="18"/>
                <w:szCs w:val="18"/>
                <w:lang w:eastAsia="hr-HR"/>
              </w:rPr>
            </w:pPr>
            <w:r w:rsidRPr="00F0098C">
              <w:rPr>
                <w:rFonts w:ascii="Calibri" w:hAnsi="Calibri" w:cs="Calibri"/>
                <w:b/>
                <w:bCs/>
                <w:sz w:val="18"/>
                <w:szCs w:val="18"/>
              </w:rPr>
              <w:t>Trošak telefona, prijevoza i sl.</w:t>
            </w:r>
          </w:p>
        </w:tc>
        <w:tc>
          <w:tcPr>
            <w:tcW w:w="1194" w:type="dxa"/>
            <w:tcBorders>
              <w:top w:val="single" w:sz="4" w:space="0" w:color="auto"/>
            </w:tcBorders>
            <w:shd w:val="clear" w:color="auto" w:fill="auto"/>
            <w:noWrap/>
            <w:vAlign w:val="bottom"/>
            <w:hideMark/>
          </w:tcPr>
          <w:p w14:paraId="0FC45B58" w14:textId="0C17699C" w:rsidR="006B1D48" w:rsidRPr="006B1D48" w:rsidRDefault="006B1D48" w:rsidP="006B1D48">
            <w:pPr>
              <w:spacing w:before="120" w:after="0" w:line="240" w:lineRule="auto"/>
              <w:jc w:val="center"/>
              <w:rPr>
                <w:rFonts w:ascii="Calibri" w:eastAsia="Times New Roman" w:hAnsi="Calibri" w:cs="Calibri"/>
                <w:b/>
                <w:bCs/>
                <w:sz w:val="18"/>
                <w:szCs w:val="18"/>
                <w:lang w:eastAsia="hr-HR"/>
              </w:rPr>
            </w:pPr>
            <w:r w:rsidRPr="006B1D48">
              <w:rPr>
                <w:b/>
                <w:bCs/>
                <w:sz w:val="18"/>
                <w:szCs w:val="18"/>
              </w:rPr>
              <w:t>76.509</w:t>
            </w:r>
          </w:p>
        </w:tc>
        <w:tc>
          <w:tcPr>
            <w:tcW w:w="1194" w:type="dxa"/>
            <w:tcBorders>
              <w:top w:val="single" w:sz="4" w:space="0" w:color="auto"/>
            </w:tcBorders>
            <w:shd w:val="clear" w:color="auto" w:fill="auto"/>
            <w:noWrap/>
            <w:vAlign w:val="bottom"/>
            <w:hideMark/>
          </w:tcPr>
          <w:p w14:paraId="7AF10672" w14:textId="6F34A22C" w:rsidR="006B1D48" w:rsidRPr="006B1D48" w:rsidRDefault="006B1D48" w:rsidP="006B1D48">
            <w:pPr>
              <w:spacing w:before="120" w:after="0" w:line="240" w:lineRule="auto"/>
              <w:jc w:val="center"/>
              <w:rPr>
                <w:rFonts w:ascii="Calibri" w:eastAsia="Times New Roman" w:hAnsi="Calibri" w:cs="Calibri"/>
                <w:b/>
                <w:bCs/>
                <w:sz w:val="18"/>
                <w:szCs w:val="18"/>
                <w:lang w:eastAsia="hr-HR"/>
              </w:rPr>
            </w:pPr>
            <w:r w:rsidRPr="006B1D48">
              <w:rPr>
                <w:b/>
                <w:bCs/>
                <w:sz w:val="18"/>
                <w:szCs w:val="18"/>
              </w:rPr>
              <w:t>73.801</w:t>
            </w:r>
          </w:p>
        </w:tc>
        <w:tc>
          <w:tcPr>
            <w:tcW w:w="1194" w:type="dxa"/>
            <w:tcBorders>
              <w:top w:val="single" w:sz="4" w:space="0" w:color="auto"/>
            </w:tcBorders>
            <w:shd w:val="clear" w:color="auto" w:fill="auto"/>
            <w:noWrap/>
            <w:vAlign w:val="bottom"/>
            <w:hideMark/>
          </w:tcPr>
          <w:p w14:paraId="0B914E8F" w14:textId="63F46A14" w:rsidR="006B1D48" w:rsidRPr="006B1D48" w:rsidRDefault="006B1D48" w:rsidP="006B1D48">
            <w:pPr>
              <w:spacing w:before="120" w:after="0" w:line="240" w:lineRule="auto"/>
              <w:jc w:val="center"/>
              <w:rPr>
                <w:rFonts w:ascii="Calibri" w:eastAsia="Times New Roman" w:hAnsi="Calibri" w:cs="Calibri"/>
                <w:b/>
                <w:bCs/>
                <w:sz w:val="18"/>
                <w:szCs w:val="18"/>
                <w:lang w:eastAsia="hr-HR"/>
              </w:rPr>
            </w:pPr>
            <w:r w:rsidRPr="006B1D48">
              <w:rPr>
                <w:b/>
                <w:bCs/>
                <w:sz w:val="18"/>
                <w:szCs w:val="18"/>
              </w:rPr>
              <w:t>70.416</w:t>
            </w:r>
          </w:p>
        </w:tc>
        <w:tc>
          <w:tcPr>
            <w:tcW w:w="675" w:type="dxa"/>
            <w:tcBorders>
              <w:top w:val="single" w:sz="4" w:space="0" w:color="auto"/>
            </w:tcBorders>
            <w:shd w:val="clear" w:color="auto" w:fill="auto"/>
            <w:noWrap/>
            <w:vAlign w:val="bottom"/>
            <w:hideMark/>
          </w:tcPr>
          <w:p w14:paraId="607F8343" w14:textId="5098E54B" w:rsidR="006B1D48" w:rsidRPr="006B1D48" w:rsidRDefault="006B1D48" w:rsidP="006B1D48">
            <w:pPr>
              <w:spacing w:before="120" w:after="0" w:line="240" w:lineRule="auto"/>
              <w:jc w:val="center"/>
              <w:rPr>
                <w:rFonts w:ascii="Calibri" w:eastAsia="Times New Roman" w:hAnsi="Calibri" w:cs="Calibri"/>
                <w:b/>
                <w:bCs/>
                <w:color w:val="000000"/>
                <w:sz w:val="18"/>
                <w:szCs w:val="18"/>
                <w:lang w:eastAsia="hr-HR"/>
              </w:rPr>
            </w:pPr>
            <w:r w:rsidRPr="006B1D48">
              <w:rPr>
                <w:b/>
                <w:bCs/>
                <w:sz w:val="18"/>
                <w:szCs w:val="18"/>
              </w:rPr>
              <w:t>92%</w:t>
            </w:r>
          </w:p>
        </w:tc>
        <w:tc>
          <w:tcPr>
            <w:tcW w:w="728" w:type="dxa"/>
            <w:tcBorders>
              <w:top w:val="single" w:sz="4" w:space="0" w:color="auto"/>
            </w:tcBorders>
            <w:shd w:val="clear" w:color="auto" w:fill="auto"/>
            <w:noWrap/>
            <w:vAlign w:val="bottom"/>
            <w:hideMark/>
          </w:tcPr>
          <w:p w14:paraId="16DB8DD7" w14:textId="0CDE0892" w:rsidR="006B1D48" w:rsidRPr="006B1D48" w:rsidRDefault="006B1D48" w:rsidP="006B1D48">
            <w:pPr>
              <w:spacing w:before="120" w:after="0" w:line="240" w:lineRule="auto"/>
              <w:jc w:val="center"/>
              <w:rPr>
                <w:rFonts w:ascii="Calibri" w:eastAsia="Times New Roman" w:hAnsi="Calibri" w:cs="Calibri"/>
                <w:b/>
                <w:bCs/>
                <w:color w:val="000000"/>
                <w:sz w:val="18"/>
                <w:szCs w:val="18"/>
                <w:lang w:eastAsia="hr-HR"/>
              </w:rPr>
            </w:pPr>
            <w:r w:rsidRPr="006B1D48">
              <w:rPr>
                <w:b/>
                <w:bCs/>
                <w:sz w:val="18"/>
                <w:szCs w:val="18"/>
              </w:rPr>
              <w:t>95%</w:t>
            </w:r>
          </w:p>
        </w:tc>
      </w:tr>
      <w:tr w:rsidR="006B1D48" w:rsidRPr="00DC16B1" w14:paraId="6ADA2CF8" w14:textId="77777777" w:rsidTr="00131DE4">
        <w:trPr>
          <w:trHeight w:val="340"/>
        </w:trPr>
        <w:tc>
          <w:tcPr>
            <w:tcW w:w="744" w:type="dxa"/>
            <w:shd w:val="clear" w:color="auto" w:fill="auto"/>
            <w:noWrap/>
            <w:vAlign w:val="bottom"/>
            <w:hideMark/>
          </w:tcPr>
          <w:p w14:paraId="61E838C4" w14:textId="77777777" w:rsidR="006B1D48" w:rsidRPr="008770DF" w:rsidRDefault="006B1D48" w:rsidP="00D64831">
            <w:pPr>
              <w:spacing w:before="120" w:after="0" w:line="240" w:lineRule="auto"/>
              <w:rPr>
                <w:rFonts w:ascii="Calibri" w:eastAsia="Times New Roman" w:hAnsi="Calibri" w:cs="Calibri"/>
                <w:sz w:val="18"/>
                <w:szCs w:val="18"/>
                <w:lang w:eastAsia="hr-HR"/>
              </w:rPr>
            </w:pPr>
            <w:r w:rsidRPr="008770DF">
              <w:rPr>
                <w:rFonts w:ascii="Calibri" w:eastAsia="Times New Roman" w:hAnsi="Calibri" w:cs="Calibri"/>
                <w:sz w:val="18"/>
                <w:szCs w:val="18"/>
                <w:lang w:eastAsia="hr-HR"/>
              </w:rPr>
              <w:t>1.2.1.1</w:t>
            </w:r>
          </w:p>
        </w:tc>
        <w:tc>
          <w:tcPr>
            <w:tcW w:w="3376" w:type="dxa"/>
            <w:shd w:val="clear" w:color="auto" w:fill="auto"/>
            <w:noWrap/>
            <w:vAlign w:val="bottom"/>
            <w:hideMark/>
          </w:tcPr>
          <w:p w14:paraId="24D69624" w14:textId="4EDF7872" w:rsidR="006B1D48" w:rsidRPr="008770DF" w:rsidRDefault="006B1D48" w:rsidP="006B1D48">
            <w:pPr>
              <w:spacing w:before="120" w:after="0" w:line="240" w:lineRule="auto"/>
              <w:rPr>
                <w:rFonts w:ascii="Calibri" w:eastAsia="Times New Roman" w:hAnsi="Calibri" w:cs="Calibri"/>
                <w:sz w:val="18"/>
                <w:szCs w:val="18"/>
                <w:lang w:eastAsia="hr-HR"/>
              </w:rPr>
            </w:pPr>
            <w:r w:rsidRPr="008770DF">
              <w:rPr>
                <w:rFonts w:ascii="Calibri" w:hAnsi="Calibri" w:cs="Calibri"/>
                <w:color w:val="000000"/>
                <w:sz w:val="18"/>
                <w:szCs w:val="18"/>
              </w:rPr>
              <w:t>Usluge telefona interneta i sl.</w:t>
            </w:r>
          </w:p>
        </w:tc>
        <w:tc>
          <w:tcPr>
            <w:tcW w:w="1194" w:type="dxa"/>
            <w:shd w:val="clear" w:color="auto" w:fill="auto"/>
            <w:noWrap/>
            <w:vAlign w:val="bottom"/>
            <w:hideMark/>
          </w:tcPr>
          <w:p w14:paraId="574A9BDF" w14:textId="15D951A8"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17.337</w:t>
            </w:r>
          </w:p>
        </w:tc>
        <w:tc>
          <w:tcPr>
            <w:tcW w:w="1194" w:type="dxa"/>
            <w:shd w:val="clear" w:color="auto" w:fill="auto"/>
            <w:noWrap/>
            <w:vAlign w:val="bottom"/>
            <w:hideMark/>
          </w:tcPr>
          <w:p w14:paraId="644AAE13" w14:textId="1E70A753" w:rsidR="006B1D48" w:rsidRPr="006B1D48" w:rsidRDefault="006B1D48" w:rsidP="006B1D48">
            <w:pPr>
              <w:spacing w:before="120" w:after="0" w:line="240" w:lineRule="auto"/>
              <w:jc w:val="center"/>
              <w:rPr>
                <w:rFonts w:ascii="Calibri" w:eastAsia="Times New Roman" w:hAnsi="Calibri" w:cs="Calibri"/>
                <w:sz w:val="18"/>
                <w:szCs w:val="18"/>
                <w:lang w:eastAsia="hr-HR"/>
              </w:rPr>
            </w:pPr>
            <w:r w:rsidRPr="006B1D48">
              <w:rPr>
                <w:sz w:val="18"/>
                <w:szCs w:val="18"/>
              </w:rPr>
              <w:t>18.078</w:t>
            </w:r>
          </w:p>
        </w:tc>
        <w:tc>
          <w:tcPr>
            <w:tcW w:w="1194" w:type="dxa"/>
            <w:shd w:val="clear" w:color="auto" w:fill="auto"/>
            <w:noWrap/>
            <w:vAlign w:val="bottom"/>
            <w:hideMark/>
          </w:tcPr>
          <w:p w14:paraId="2004F69B" w14:textId="5A30DCE8"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18.114</w:t>
            </w:r>
          </w:p>
        </w:tc>
        <w:tc>
          <w:tcPr>
            <w:tcW w:w="675" w:type="dxa"/>
            <w:shd w:val="clear" w:color="auto" w:fill="auto"/>
            <w:noWrap/>
            <w:vAlign w:val="bottom"/>
            <w:hideMark/>
          </w:tcPr>
          <w:p w14:paraId="79755AC4" w14:textId="174C4E63"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104%</w:t>
            </w:r>
          </w:p>
        </w:tc>
        <w:tc>
          <w:tcPr>
            <w:tcW w:w="728" w:type="dxa"/>
            <w:shd w:val="clear" w:color="auto" w:fill="auto"/>
            <w:noWrap/>
            <w:vAlign w:val="bottom"/>
            <w:hideMark/>
          </w:tcPr>
          <w:p w14:paraId="262815D4" w14:textId="60AB38EA"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100%</w:t>
            </w:r>
          </w:p>
        </w:tc>
      </w:tr>
      <w:tr w:rsidR="006B1D48" w:rsidRPr="00DC16B1" w14:paraId="7A080068" w14:textId="77777777" w:rsidTr="00131DE4">
        <w:trPr>
          <w:trHeight w:val="340"/>
        </w:trPr>
        <w:tc>
          <w:tcPr>
            <w:tcW w:w="744" w:type="dxa"/>
            <w:shd w:val="clear" w:color="auto" w:fill="auto"/>
            <w:noWrap/>
            <w:vAlign w:val="bottom"/>
            <w:hideMark/>
          </w:tcPr>
          <w:p w14:paraId="4EFC26D2" w14:textId="77777777" w:rsidR="006B1D48" w:rsidRPr="008770DF" w:rsidRDefault="006B1D48" w:rsidP="00D64831">
            <w:pPr>
              <w:spacing w:before="120" w:after="0" w:line="240" w:lineRule="auto"/>
              <w:rPr>
                <w:rFonts w:ascii="Calibri" w:eastAsia="Times New Roman" w:hAnsi="Calibri" w:cs="Calibri"/>
                <w:sz w:val="18"/>
                <w:szCs w:val="18"/>
                <w:lang w:eastAsia="hr-HR"/>
              </w:rPr>
            </w:pPr>
            <w:r w:rsidRPr="008770DF">
              <w:rPr>
                <w:rFonts w:ascii="Calibri" w:eastAsia="Times New Roman" w:hAnsi="Calibri" w:cs="Calibri"/>
                <w:sz w:val="18"/>
                <w:szCs w:val="18"/>
                <w:lang w:eastAsia="hr-HR"/>
              </w:rPr>
              <w:t>1.2.1.2</w:t>
            </w:r>
          </w:p>
        </w:tc>
        <w:tc>
          <w:tcPr>
            <w:tcW w:w="3376" w:type="dxa"/>
            <w:shd w:val="clear" w:color="auto" w:fill="auto"/>
            <w:noWrap/>
            <w:vAlign w:val="bottom"/>
            <w:hideMark/>
          </w:tcPr>
          <w:p w14:paraId="3A6A2287" w14:textId="061D02BF" w:rsidR="006B1D48" w:rsidRPr="008770DF" w:rsidRDefault="006B1D48" w:rsidP="006B1D48">
            <w:pPr>
              <w:spacing w:before="120" w:after="0" w:line="240" w:lineRule="auto"/>
              <w:rPr>
                <w:rFonts w:ascii="Calibri" w:eastAsia="Times New Roman" w:hAnsi="Calibri" w:cs="Calibri"/>
                <w:color w:val="000000"/>
                <w:sz w:val="18"/>
                <w:szCs w:val="18"/>
                <w:lang w:eastAsia="hr-HR"/>
              </w:rPr>
            </w:pPr>
            <w:r w:rsidRPr="008770DF">
              <w:rPr>
                <w:rFonts w:ascii="Calibri" w:hAnsi="Calibri" w:cs="Calibri"/>
                <w:color w:val="000000"/>
                <w:sz w:val="18"/>
                <w:szCs w:val="18"/>
              </w:rPr>
              <w:t>Poštanske usluge</w:t>
            </w:r>
          </w:p>
        </w:tc>
        <w:tc>
          <w:tcPr>
            <w:tcW w:w="1194" w:type="dxa"/>
            <w:shd w:val="clear" w:color="auto" w:fill="auto"/>
            <w:noWrap/>
            <w:vAlign w:val="bottom"/>
            <w:hideMark/>
          </w:tcPr>
          <w:p w14:paraId="14BB5F86" w14:textId="319393ED"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742</w:t>
            </w:r>
          </w:p>
        </w:tc>
        <w:tc>
          <w:tcPr>
            <w:tcW w:w="1194" w:type="dxa"/>
            <w:shd w:val="clear" w:color="auto" w:fill="auto"/>
            <w:noWrap/>
            <w:vAlign w:val="bottom"/>
            <w:hideMark/>
          </w:tcPr>
          <w:p w14:paraId="734C6048" w14:textId="32A34EA7"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664</w:t>
            </w:r>
          </w:p>
        </w:tc>
        <w:tc>
          <w:tcPr>
            <w:tcW w:w="1194" w:type="dxa"/>
            <w:shd w:val="clear" w:color="auto" w:fill="auto"/>
            <w:noWrap/>
            <w:vAlign w:val="bottom"/>
            <w:hideMark/>
          </w:tcPr>
          <w:p w14:paraId="5416AABB" w14:textId="182DF63A"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668</w:t>
            </w:r>
          </w:p>
        </w:tc>
        <w:tc>
          <w:tcPr>
            <w:tcW w:w="675" w:type="dxa"/>
            <w:shd w:val="clear" w:color="auto" w:fill="auto"/>
            <w:noWrap/>
            <w:vAlign w:val="bottom"/>
            <w:hideMark/>
          </w:tcPr>
          <w:p w14:paraId="04A0BC73" w14:textId="134DE837"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90%</w:t>
            </w:r>
          </w:p>
        </w:tc>
        <w:tc>
          <w:tcPr>
            <w:tcW w:w="728" w:type="dxa"/>
            <w:shd w:val="clear" w:color="auto" w:fill="auto"/>
            <w:noWrap/>
            <w:vAlign w:val="bottom"/>
            <w:hideMark/>
          </w:tcPr>
          <w:p w14:paraId="256A4C90" w14:textId="542955B3"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101%</w:t>
            </w:r>
          </w:p>
        </w:tc>
      </w:tr>
      <w:tr w:rsidR="006B1D48" w:rsidRPr="00DC16B1" w14:paraId="644E0BF8" w14:textId="77777777" w:rsidTr="00131DE4">
        <w:trPr>
          <w:trHeight w:val="340"/>
        </w:trPr>
        <w:tc>
          <w:tcPr>
            <w:tcW w:w="744" w:type="dxa"/>
            <w:shd w:val="clear" w:color="auto" w:fill="auto"/>
            <w:noWrap/>
            <w:vAlign w:val="bottom"/>
            <w:hideMark/>
          </w:tcPr>
          <w:p w14:paraId="20049CA8" w14:textId="77777777" w:rsidR="006B1D48" w:rsidRPr="008770DF" w:rsidRDefault="006B1D48" w:rsidP="00D64831">
            <w:pPr>
              <w:spacing w:before="120" w:after="0" w:line="240" w:lineRule="auto"/>
              <w:rPr>
                <w:rFonts w:ascii="Calibri" w:eastAsia="Times New Roman" w:hAnsi="Calibri" w:cs="Calibri"/>
                <w:sz w:val="18"/>
                <w:szCs w:val="18"/>
                <w:lang w:eastAsia="hr-HR"/>
              </w:rPr>
            </w:pPr>
            <w:r w:rsidRPr="008770DF">
              <w:rPr>
                <w:rFonts w:ascii="Calibri" w:eastAsia="Times New Roman" w:hAnsi="Calibri" w:cs="Calibri"/>
                <w:sz w:val="18"/>
                <w:szCs w:val="18"/>
                <w:lang w:eastAsia="hr-HR"/>
              </w:rPr>
              <w:t>1.2.1.3</w:t>
            </w:r>
          </w:p>
        </w:tc>
        <w:tc>
          <w:tcPr>
            <w:tcW w:w="3376" w:type="dxa"/>
            <w:shd w:val="clear" w:color="auto" w:fill="auto"/>
            <w:noWrap/>
            <w:vAlign w:val="bottom"/>
            <w:hideMark/>
          </w:tcPr>
          <w:p w14:paraId="6BFA8AB5" w14:textId="53D56C04" w:rsidR="006B1D48" w:rsidRPr="008770DF" w:rsidRDefault="006B1D48" w:rsidP="006B1D48">
            <w:pPr>
              <w:spacing w:before="120" w:after="0" w:line="240" w:lineRule="auto"/>
              <w:rPr>
                <w:rFonts w:ascii="Calibri" w:eastAsia="Times New Roman" w:hAnsi="Calibri" w:cs="Calibri"/>
                <w:sz w:val="18"/>
                <w:szCs w:val="18"/>
                <w:lang w:eastAsia="hr-HR"/>
              </w:rPr>
            </w:pPr>
            <w:r w:rsidRPr="008770DF">
              <w:rPr>
                <w:rFonts w:ascii="Calibri" w:hAnsi="Calibri" w:cs="Calibri"/>
                <w:color w:val="000000"/>
                <w:sz w:val="18"/>
                <w:szCs w:val="18"/>
              </w:rPr>
              <w:t xml:space="preserve">Ostale usluge prijevoza </w:t>
            </w:r>
          </w:p>
        </w:tc>
        <w:tc>
          <w:tcPr>
            <w:tcW w:w="1194" w:type="dxa"/>
            <w:shd w:val="clear" w:color="auto" w:fill="auto"/>
            <w:noWrap/>
            <w:vAlign w:val="bottom"/>
            <w:hideMark/>
          </w:tcPr>
          <w:p w14:paraId="05A82C02" w14:textId="5E547AD4"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58.430</w:t>
            </w:r>
          </w:p>
        </w:tc>
        <w:tc>
          <w:tcPr>
            <w:tcW w:w="1194" w:type="dxa"/>
            <w:shd w:val="clear" w:color="auto" w:fill="auto"/>
            <w:noWrap/>
            <w:vAlign w:val="bottom"/>
            <w:hideMark/>
          </w:tcPr>
          <w:p w14:paraId="1FACEBB8" w14:textId="11648EE5" w:rsidR="006B1D48" w:rsidRPr="006B1D48" w:rsidRDefault="006B1D48" w:rsidP="006B1D48">
            <w:pPr>
              <w:spacing w:before="120" w:after="0" w:line="240" w:lineRule="auto"/>
              <w:jc w:val="center"/>
              <w:rPr>
                <w:rFonts w:ascii="Calibri" w:eastAsia="Times New Roman" w:hAnsi="Calibri" w:cs="Calibri"/>
                <w:sz w:val="18"/>
                <w:szCs w:val="18"/>
                <w:lang w:eastAsia="hr-HR"/>
              </w:rPr>
            </w:pPr>
            <w:r w:rsidRPr="006B1D48">
              <w:rPr>
                <w:sz w:val="18"/>
                <w:szCs w:val="18"/>
              </w:rPr>
              <w:t>55.058</w:t>
            </w:r>
          </w:p>
        </w:tc>
        <w:tc>
          <w:tcPr>
            <w:tcW w:w="1194" w:type="dxa"/>
            <w:shd w:val="clear" w:color="auto" w:fill="auto"/>
            <w:noWrap/>
            <w:vAlign w:val="bottom"/>
            <w:hideMark/>
          </w:tcPr>
          <w:p w14:paraId="47DBC504" w14:textId="4B7A10DB"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51.633</w:t>
            </w:r>
          </w:p>
        </w:tc>
        <w:tc>
          <w:tcPr>
            <w:tcW w:w="675" w:type="dxa"/>
            <w:shd w:val="clear" w:color="auto" w:fill="auto"/>
            <w:noWrap/>
            <w:vAlign w:val="bottom"/>
            <w:hideMark/>
          </w:tcPr>
          <w:p w14:paraId="5521F5C1" w14:textId="11CD3477"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88%</w:t>
            </w:r>
          </w:p>
        </w:tc>
        <w:tc>
          <w:tcPr>
            <w:tcW w:w="728" w:type="dxa"/>
            <w:shd w:val="clear" w:color="auto" w:fill="auto"/>
            <w:noWrap/>
            <w:vAlign w:val="bottom"/>
            <w:hideMark/>
          </w:tcPr>
          <w:p w14:paraId="12DDDC03" w14:textId="426453C3" w:rsidR="006B1D48" w:rsidRPr="006B1D48" w:rsidRDefault="006B1D48" w:rsidP="006B1D48">
            <w:pPr>
              <w:spacing w:before="120" w:after="0" w:line="240" w:lineRule="auto"/>
              <w:jc w:val="center"/>
              <w:rPr>
                <w:rFonts w:ascii="Calibri" w:eastAsia="Times New Roman" w:hAnsi="Calibri" w:cs="Calibri"/>
                <w:color w:val="000000"/>
                <w:sz w:val="18"/>
                <w:szCs w:val="18"/>
                <w:lang w:eastAsia="hr-HR"/>
              </w:rPr>
            </w:pPr>
            <w:r w:rsidRPr="006B1D48">
              <w:rPr>
                <w:sz w:val="18"/>
                <w:szCs w:val="18"/>
              </w:rPr>
              <w:t>94%</w:t>
            </w:r>
          </w:p>
        </w:tc>
      </w:tr>
    </w:tbl>
    <w:p w14:paraId="57149F3C" w14:textId="77777777" w:rsidR="00CD6FAD" w:rsidRDefault="00CD6FAD" w:rsidP="00CD6FAD">
      <w:pPr>
        <w:spacing w:before="120" w:after="120" w:line="360" w:lineRule="auto"/>
        <w:jc w:val="both"/>
        <w:rPr>
          <w:rFonts w:cstheme="minorHAnsi"/>
        </w:rPr>
      </w:pPr>
    </w:p>
    <w:p w14:paraId="70BE277A" w14:textId="1A94BC9D" w:rsidR="004353C0" w:rsidRDefault="004353C0" w:rsidP="00CD6FAD">
      <w:pPr>
        <w:spacing w:before="120" w:after="120" w:line="360" w:lineRule="auto"/>
        <w:jc w:val="both"/>
        <w:rPr>
          <w:rFonts w:cstheme="minorHAnsi"/>
        </w:rPr>
      </w:pPr>
      <w:r w:rsidRPr="004353C0">
        <w:rPr>
          <w:rFonts w:cstheme="minorHAnsi"/>
        </w:rPr>
        <w:t>Iz Tablice 21. vidljivo je da su troškovi telefona, prijevoza i sličnih usluga u 2024. godini iznosili ukupno 70.416 eura, što predstavlja smanjenje od 8% u odnosu na prethodnu godinu te 5% u odnosu na rebalans plana.</w:t>
      </w:r>
    </w:p>
    <w:p w14:paraId="55304E6F" w14:textId="77777777" w:rsidR="00C126A5" w:rsidRDefault="00A30CCC" w:rsidP="00C126A5">
      <w:pPr>
        <w:spacing w:before="120" w:after="0" w:line="360" w:lineRule="auto"/>
        <w:jc w:val="both"/>
        <w:rPr>
          <w:rFonts w:cstheme="minorHAnsi"/>
        </w:rPr>
      </w:pPr>
      <w:r w:rsidRPr="00A30CCC">
        <w:rPr>
          <w:rFonts w:cstheme="minorHAnsi"/>
        </w:rPr>
        <w:t xml:space="preserve">Najveći dio ovih troškova odnosi se na ostale usluge prijevoza, u ukupnom iznosu od 51.633 eura, pri čemu je najznačajnija usluga prijevoza auto dizalicom </w:t>
      </w:r>
      <w:r>
        <w:rPr>
          <w:rFonts w:cstheme="minorHAnsi"/>
        </w:rPr>
        <w:t>prilikom</w:t>
      </w:r>
      <w:r w:rsidRPr="00A30CCC">
        <w:rPr>
          <w:rFonts w:cstheme="minorHAnsi"/>
        </w:rPr>
        <w:t xml:space="preserve"> ukrcaja </w:t>
      </w:r>
      <w:r>
        <w:rPr>
          <w:rFonts w:cstheme="minorHAnsi"/>
        </w:rPr>
        <w:t>goriva iz otpada</w:t>
      </w:r>
      <w:r w:rsidRPr="00A30CCC">
        <w:rPr>
          <w:rFonts w:cstheme="minorHAnsi"/>
        </w:rPr>
        <w:t>.</w:t>
      </w:r>
      <w:r w:rsidR="004353C0" w:rsidRPr="004353C0">
        <w:rPr>
          <w:rFonts w:cstheme="minorHAnsi"/>
        </w:rPr>
        <w:t xml:space="preserve"> S obzirom na to da je </w:t>
      </w:r>
      <w:r w:rsidR="00CD6FAD">
        <w:rPr>
          <w:rFonts w:cstheme="minorHAnsi"/>
        </w:rPr>
        <w:t>gorivo</w:t>
      </w:r>
      <w:r w:rsidR="004353C0" w:rsidRPr="004353C0">
        <w:rPr>
          <w:rFonts w:cstheme="minorHAnsi"/>
        </w:rPr>
        <w:t xml:space="preserve"> u rasutom stanju, radi optimalnog iskorištenja kapaciteta prikolice, potreban je pritisak materijala dizalicom kako bi se omogućio siguran i učinkovit transport.</w:t>
      </w:r>
    </w:p>
    <w:p w14:paraId="7C63854D" w14:textId="62B1DFF1" w:rsidR="00131DE4" w:rsidRDefault="004353C0" w:rsidP="00C126A5">
      <w:pPr>
        <w:spacing w:before="120" w:after="0" w:line="360" w:lineRule="auto"/>
        <w:jc w:val="both"/>
        <w:rPr>
          <w:rFonts w:cstheme="minorHAnsi"/>
        </w:rPr>
      </w:pPr>
      <w:r w:rsidRPr="004353C0">
        <w:rPr>
          <w:rFonts w:cstheme="minorHAnsi"/>
        </w:rPr>
        <w:t>Usluge telefona i interneta iznose 18.114 eura</w:t>
      </w:r>
      <w:r w:rsidR="00CD6FAD">
        <w:rPr>
          <w:rFonts w:cstheme="minorHAnsi"/>
        </w:rPr>
        <w:t xml:space="preserve"> </w:t>
      </w:r>
      <w:r w:rsidR="00A30CCC">
        <w:rPr>
          <w:rFonts w:cstheme="minorHAnsi"/>
        </w:rPr>
        <w:t>d</w:t>
      </w:r>
      <w:r w:rsidR="00CD6FAD" w:rsidRPr="004353C0">
        <w:rPr>
          <w:rFonts w:cstheme="minorHAnsi"/>
        </w:rPr>
        <w:t>ok poštanske usluge</w:t>
      </w:r>
      <w:r w:rsidR="00CD6FAD">
        <w:rPr>
          <w:rFonts w:cstheme="minorHAnsi"/>
        </w:rPr>
        <w:t xml:space="preserve"> iznose 668 eura</w:t>
      </w:r>
      <w:r w:rsidRPr="004353C0">
        <w:rPr>
          <w:rFonts w:cstheme="minorHAnsi"/>
        </w:rPr>
        <w:t>, što je ujednačeno s rebalansom plana</w:t>
      </w:r>
      <w:r w:rsidR="00CD6FAD">
        <w:rPr>
          <w:rFonts w:cstheme="minorHAnsi"/>
        </w:rPr>
        <w:t>.</w:t>
      </w:r>
    </w:p>
    <w:p w14:paraId="0FFC2F7F" w14:textId="5D0DD59D" w:rsidR="002076FB" w:rsidRPr="008E1207" w:rsidRDefault="002076FB" w:rsidP="005266B1">
      <w:pPr>
        <w:pStyle w:val="Caption"/>
        <w:spacing w:before="240" w:after="360"/>
        <w:rPr>
          <w:rFonts w:asciiTheme="minorHAnsi" w:hAnsiTheme="minorHAnsi" w:cstheme="minorHAnsi"/>
          <w:b w:val="0"/>
          <w:bCs w:val="0"/>
          <w:sz w:val="22"/>
          <w:szCs w:val="22"/>
        </w:rPr>
      </w:pPr>
      <w:bookmarkStart w:id="62" w:name="_Toc200366460"/>
      <w:r w:rsidRPr="008E1207">
        <w:rPr>
          <w:rFonts w:asciiTheme="minorHAnsi" w:hAnsiTheme="minorHAnsi" w:cstheme="minorHAnsi"/>
          <w:sz w:val="22"/>
          <w:szCs w:val="22"/>
        </w:rPr>
        <w:lastRenderedPageBreak/>
        <w:t xml:space="preserve">Tablica </w:t>
      </w:r>
      <w:r w:rsidRPr="008E1207">
        <w:rPr>
          <w:rFonts w:asciiTheme="minorHAnsi" w:hAnsiTheme="minorHAnsi" w:cstheme="minorHAnsi"/>
          <w:sz w:val="22"/>
          <w:szCs w:val="22"/>
        </w:rPr>
        <w:fldChar w:fldCharType="begin"/>
      </w:r>
      <w:r w:rsidRPr="008E1207">
        <w:rPr>
          <w:rFonts w:asciiTheme="minorHAnsi" w:hAnsiTheme="minorHAnsi" w:cstheme="minorHAnsi"/>
          <w:sz w:val="22"/>
          <w:szCs w:val="22"/>
        </w:rPr>
        <w:instrText xml:space="preserve"> SEQ Tablica \* ARABIC </w:instrText>
      </w:r>
      <w:r w:rsidRPr="008E1207">
        <w:rPr>
          <w:rFonts w:asciiTheme="minorHAnsi" w:hAnsiTheme="minorHAnsi" w:cstheme="minorHAnsi"/>
          <w:sz w:val="22"/>
          <w:szCs w:val="22"/>
        </w:rPr>
        <w:fldChar w:fldCharType="separate"/>
      </w:r>
      <w:r w:rsidR="00A1075A">
        <w:rPr>
          <w:rFonts w:asciiTheme="minorHAnsi" w:hAnsiTheme="minorHAnsi" w:cstheme="minorHAnsi"/>
          <w:noProof/>
          <w:sz w:val="22"/>
          <w:szCs w:val="22"/>
        </w:rPr>
        <w:t>22</w:t>
      </w:r>
      <w:r w:rsidRPr="008E1207">
        <w:rPr>
          <w:rFonts w:asciiTheme="minorHAnsi" w:hAnsiTheme="minorHAnsi" w:cstheme="minorHAnsi"/>
          <w:sz w:val="22"/>
          <w:szCs w:val="22"/>
        </w:rPr>
        <w:fldChar w:fldCharType="end"/>
      </w:r>
      <w:r w:rsidRPr="008E1207">
        <w:rPr>
          <w:rFonts w:asciiTheme="minorHAnsi" w:hAnsiTheme="minorHAnsi" w:cstheme="minorHAnsi"/>
          <w:sz w:val="22"/>
          <w:szCs w:val="22"/>
        </w:rPr>
        <w:t xml:space="preserve">. </w:t>
      </w:r>
      <w:r w:rsidRPr="008E1207">
        <w:rPr>
          <w:rFonts w:asciiTheme="minorHAnsi" w:hAnsiTheme="minorHAnsi" w:cstheme="minorHAnsi"/>
          <w:b w:val="0"/>
          <w:bCs w:val="0"/>
          <w:sz w:val="22"/>
          <w:szCs w:val="22"/>
        </w:rPr>
        <w:t xml:space="preserve">Usluge rada vanjskog osoblja i </w:t>
      </w:r>
      <w:r w:rsidR="00BC7833">
        <w:rPr>
          <w:rFonts w:asciiTheme="minorHAnsi" w:hAnsiTheme="minorHAnsi" w:cstheme="minorHAnsi"/>
          <w:b w:val="0"/>
          <w:bCs w:val="0"/>
          <w:sz w:val="22"/>
          <w:szCs w:val="22"/>
        </w:rPr>
        <w:t>geodetske usluge</w:t>
      </w:r>
      <w:bookmarkEnd w:id="62"/>
    </w:p>
    <w:tbl>
      <w:tblPr>
        <w:tblW w:w="912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3"/>
        <w:gridCol w:w="3206"/>
        <w:gridCol w:w="1254"/>
        <w:gridCol w:w="1254"/>
        <w:gridCol w:w="1254"/>
        <w:gridCol w:w="709"/>
        <w:gridCol w:w="709"/>
      </w:tblGrid>
      <w:tr w:rsidR="0013373B" w:rsidRPr="00916981" w14:paraId="40E72F93" w14:textId="77777777" w:rsidTr="00131DE4">
        <w:trPr>
          <w:trHeight w:val="680"/>
        </w:trPr>
        <w:tc>
          <w:tcPr>
            <w:tcW w:w="743" w:type="dxa"/>
            <w:tcBorders>
              <w:top w:val="single" w:sz="4" w:space="0" w:color="auto"/>
              <w:bottom w:val="single" w:sz="4" w:space="0" w:color="auto"/>
            </w:tcBorders>
            <w:shd w:val="clear" w:color="auto" w:fill="auto"/>
            <w:noWrap/>
            <w:vAlign w:val="center"/>
            <w:hideMark/>
          </w:tcPr>
          <w:p w14:paraId="58B6C9D1" w14:textId="77777777"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R. br.</w:t>
            </w:r>
          </w:p>
        </w:tc>
        <w:tc>
          <w:tcPr>
            <w:tcW w:w="3206" w:type="dxa"/>
            <w:tcBorders>
              <w:top w:val="single" w:sz="4" w:space="0" w:color="auto"/>
              <w:bottom w:val="single" w:sz="4" w:space="0" w:color="auto"/>
            </w:tcBorders>
            <w:shd w:val="clear" w:color="auto" w:fill="auto"/>
            <w:noWrap/>
            <w:vAlign w:val="center"/>
            <w:hideMark/>
          </w:tcPr>
          <w:p w14:paraId="776936FB" w14:textId="77777777"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 xml:space="preserve">O p i s </w:t>
            </w:r>
          </w:p>
        </w:tc>
        <w:tc>
          <w:tcPr>
            <w:tcW w:w="1254" w:type="dxa"/>
            <w:tcBorders>
              <w:top w:val="single" w:sz="4" w:space="0" w:color="auto"/>
              <w:bottom w:val="single" w:sz="4" w:space="0" w:color="auto"/>
            </w:tcBorders>
            <w:shd w:val="clear" w:color="auto" w:fill="auto"/>
            <w:noWrap/>
            <w:vAlign w:val="center"/>
            <w:hideMark/>
          </w:tcPr>
          <w:p w14:paraId="1A6F3625" w14:textId="70AD66E6"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54" w:type="dxa"/>
            <w:tcBorders>
              <w:top w:val="single" w:sz="4" w:space="0" w:color="auto"/>
              <w:bottom w:val="single" w:sz="4" w:space="0" w:color="auto"/>
            </w:tcBorders>
            <w:shd w:val="clear" w:color="auto" w:fill="auto"/>
            <w:noWrap/>
            <w:vAlign w:val="center"/>
            <w:hideMark/>
          </w:tcPr>
          <w:p w14:paraId="377CDFC4" w14:textId="1E234E30"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54" w:type="dxa"/>
            <w:tcBorders>
              <w:top w:val="single" w:sz="4" w:space="0" w:color="auto"/>
              <w:bottom w:val="single" w:sz="4" w:space="0" w:color="auto"/>
            </w:tcBorders>
            <w:shd w:val="clear" w:color="auto" w:fill="auto"/>
            <w:noWrap/>
            <w:vAlign w:val="center"/>
            <w:hideMark/>
          </w:tcPr>
          <w:p w14:paraId="4CA13021" w14:textId="541C7752"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09" w:type="dxa"/>
            <w:tcBorders>
              <w:top w:val="single" w:sz="4" w:space="0" w:color="auto"/>
              <w:bottom w:val="single" w:sz="4" w:space="0" w:color="auto"/>
            </w:tcBorders>
            <w:shd w:val="clear" w:color="auto" w:fill="auto"/>
            <w:noWrap/>
            <w:vAlign w:val="center"/>
            <w:hideMark/>
          </w:tcPr>
          <w:p w14:paraId="5EC0383B" w14:textId="77777777"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color w:val="000000"/>
                <w:sz w:val="18"/>
                <w:szCs w:val="18"/>
                <w:lang w:eastAsia="hr-HR"/>
              </w:rPr>
              <w:t>index   (5/3)</w:t>
            </w:r>
          </w:p>
        </w:tc>
        <w:tc>
          <w:tcPr>
            <w:tcW w:w="709" w:type="dxa"/>
            <w:tcBorders>
              <w:top w:val="single" w:sz="4" w:space="0" w:color="auto"/>
              <w:bottom w:val="single" w:sz="4" w:space="0" w:color="auto"/>
            </w:tcBorders>
            <w:shd w:val="clear" w:color="auto" w:fill="auto"/>
            <w:noWrap/>
            <w:vAlign w:val="center"/>
            <w:hideMark/>
          </w:tcPr>
          <w:p w14:paraId="0F3A0BE6" w14:textId="77777777" w:rsidR="0013373B" w:rsidRPr="00840E6B" w:rsidRDefault="0013373B" w:rsidP="0013373B">
            <w:pPr>
              <w:spacing w:before="120" w:after="0" w:line="240" w:lineRule="auto"/>
              <w:jc w:val="center"/>
              <w:rPr>
                <w:rFonts w:ascii="Calibri" w:eastAsia="Times New Roman" w:hAnsi="Calibri" w:cs="Calibri"/>
                <w:b/>
                <w:bCs/>
                <w:sz w:val="20"/>
                <w:szCs w:val="20"/>
                <w:lang w:eastAsia="hr-HR"/>
              </w:rPr>
            </w:pPr>
            <w:r w:rsidRPr="00264869">
              <w:rPr>
                <w:rFonts w:eastAsia="Times New Roman" w:cstheme="minorHAnsi"/>
                <w:b/>
                <w:bCs/>
                <w:color w:val="000000"/>
                <w:sz w:val="18"/>
                <w:szCs w:val="18"/>
                <w:lang w:eastAsia="hr-HR"/>
              </w:rPr>
              <w:t>indeks (5/4)</w:t>
            </w:r>
          </w:p>
        </w:tc>
      </w:tr>
      <w:tr w:rsidR="002076FB" w:rsidRPr="00916981" w14:paraId="20DE7DA8" w14:textId="77777777" w:rsidTr="00131DE4">
        <w:trPr>
          <w:trHeight w:val="123"/>
        </w:trPr>
        <w:tc>
          <w:tcPr>
            <w:tcW w:w="743" w:type="dxa"/>
            <w:tcBorders>
              <w:top w:val="single" w:sz="4" w:space="0" w:color="auto"/>
              <w:bottom w:val="single" w:sz="4" w:space="0" w:color="auto"/>
            </w:tcBorders>
            <w:shd w:val="clear" w:color="auto" w:fill="auto"/>
            <w:noWrap/>
            <w:vAlign w:val="center"/>
          </w:tcPr>
          <w:p w14:paraId="0018FD03"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1</w:t>
            </w:r>
          </w:p>
        </w:tc>
        <w:tc>
          <w:tcPr>
            <w:tcW w:w="3206" w:type="dxa"/>
            <w:tcBorders>
              <w:top w:val="single" w:sz="4" w:space="0" w:color="auto"/>
              <w:bottom w:val="single" w:sz="4" w:space="0" w:color="auto"/>
            </w:tcBorders>
            <w:shd w:val="clear" w:color="auto" w:fill="auto"/>
            <w:noWrap/>
            <w:vAlign w:val="center"/>
          </w:tcPr>
          <w:p w14:paraId="59AF1110"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2</w:t>
            </w:r>
          </w:p>
        </w:tc>
        <w:tc>
          <w:tcPr>
            <w:tcW w:w="1254" w:type="dxa"/>
            <w:tcBorders>
              <w:top w:val="single" w:sz="4" w:space="0" w:color="auto"/>
              <w:bottom w:val="single" w:sz="4" w:space="0" w:color="auto"/>
            </w:tcBorders>
            <w:shd w:val="clear" w:color="auto" w:fill="auto"/>
            <w:noWrap/>
            <w:vAlign w:val="center"/>
          </w:tcPr>
          <w:p w14:paraId="2C2E7CC4"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3</w:t>
            </w:r>
          </w:p>
        </w:tc>
        <w:tc>
          <w:tcPr>
            <w:tcW w:w="1254" w:type="dxa"/>
            <w:tcBorders>
              <w:top w:val="single" w:sz="4" w:space="0" w:color="auto"/>
              <w:bottom w:val="single" w:sz="4" w:space="0" w:color="auto"/>
            </w:tcBorders>
            <w:shd w:val="clear" w:color="auto" w:fill="auto"/>
            <w:noWrap/>
            <w:vAlign w:val="center"/>
          </w:tcPr>
          <w:p w14:paraId="0E75262D"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4</w:t>
            </w:r>
          </w:p>
        </w:tc>
        <w:tc>
          <w:tcPr>
            <w:tcW w:w="1254" w:type="dxa"/>
            <w:tcBorders>
              <w:top w:val="single" w:sz="4" w:space="0" w:color="auto"/>
              <w:bottom w:val="single" w:sz="4" w:space="0" w:color="auto"/>
            </w:tcBorders>
            <w:shd w:val="clear" w:color="auto" w:fill="auto"/>
            <w:noWrap/>
            <w:vAlign w:val="center"/>
          </w:tcPr>
          <w:p w14:paraId="3F463DF3"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5</w:t>
            </w:r>
          </w:p>
        </w:tc>
        <w:tc>
          <w:tcPr>
            <w:tcW w:w="709" w:type="dxa"/>
            <w:tcBorders>
              <w:top w:val="single" w:sz="4" w:space="0" w:color="auto"/>
              <w:bottom w:val="single" w:sz="4" w:space="0" w:color="auto"/>
            </w:tcBorders>
            <w:shd w:val="clear" w:color="auto" w:fill="auto"/>
            <w:noWrap/>
            <w:vAlign w:val="center"/>
          </w:tcPr>
          <w:p w14:paraId="04C37690"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6</w:t>
            </w:r>
          </w:p>
        </w:tc>
        <w:tc>
          <w:tcPr>
            <w:tcW w:w="709" w:type="dxa"/>
            <w:tcBorders>
              <w:top w:val="single" w:sz="4" w:space="0" w:color="auto"/>
              <w:bottom w:val="single" w:sz="4" w:space="0" w:color="auto"/>
            </w:tcBorders>
            <w:shd w:val="clear" w:color="auto" w:fill="auto"/>
            <w:noWrap/>
            <w:vAlign w:val="center"/>
          </w:tcPr>
          <w:p w14:paraId="59A81946" w14:textId="77777777" w:rsidR="002076FB" w:rsidRPr="00A91A44" w:rsidRDefault="002076FB" w:rsidP="009F3D2D">
            <w:pPr>
              <w:spacing w:after="0" w:line="240" w:lineRule="auto"/>
              <w:jc w:val="center"/>
              <w:rPr>
                <w:rFonts w:ascii="Calibri" w:eastAsia="Times New Roman" w:hAnsi="Calibri" w:cs="Calibri"/>
                <w:b/>
                <w:bCs/>
                <w:sz w:val="14"/>
                <w:szCs w:val="14"/>
                <w:lang w:eastAsia="hr-HR"/>
              </w:rPr>
            </w:pPr>
            <w:r w:rsidRPr="00A91A44">
              <w:rPr>
                <w:rFonts w:eastAsia="Times New Roman" w:cstheme="minorHAnsi"/>
                <w:i/>
                <w:iCs/>
                <w:color w:val="BFBFBF"/>
                <w:sz w:val="14"/>
                <w:szCs w:val="14"/>
                <w:lang w:eastAsia="hr-HR"/>
              </w:rPr>
              <w:t>7</w:t>
            </w:r>
          </w:p>
        </w:tc>
      </w:tr>
      <w:tr w:rsidR="00D64831" w:rsidRPr="00916981" w14:paraId="587454EA" w14:textId="77777777" w:rsidTr="00131DE4">
        <w:trPr>
          <w:trHeight w:val="370"/>
        </w:trPr>
        <w:tc>
          <w:tcPr>
            <w:tcW w:w="743" w:type="dxa"/>
            <w:tcBorders>
              <w:top w:val="single" w:sz="4" w:space="0" w:color="auto"/>
            </w:tcBorders>
            <w:shd w:val="clear" w:color="auto" w:fill="auto"/>
            <w:noWrap/>
            <w:vAlign w:val="bottom"/>
          </w:tcPr>
          <w:p w14:paraId="128746BD" w14:textId="77777777" w:rsidR="00D64831" w:rsidRPr="00A91A44" w:rsidRDefault="00D64831" w:rsidP="00131DE4">
            <w:pPr>
              <w:spacing w:before="120" w:after="0" w:line="240" w:lineRule="auto"/>
              <w:rPr>
                <w:rFonts w:ascii="Calibri" w:eastAsia="Times New Roman" w:hAnsi="Calibri" w:cs="Calibri"/>
                <w:b/>
                <w:bCs/>
                <w:sz w:val="18"/>
                <w:szCs w:val="18"/>
                <w:lang w:eastAsia="hr-HR"/>
              </w:rPr>
            </w:pPr>
            <w:r w:rsidRPr="00A91A44">
              <w:rPr>
                <w:rFonts w:ascii="Calibri" w:eastAsia="Times New Roman" w:hAnsi="Calibri" w:cs="Calibri"/>
                <w:b/>
                <w:bCs/>
                <w:sz w:val="18"/>
                <w:szCs w:val="18"/>
                <w:lang w:eastAsia="hr-HR"/>
              </w:rPr>
              <w:t>1.2.2</w:t>
            </w:r>
          </w:p>
        </w:tc>
        <w:tc>
          <w:tcPr>
            <w:tcW w:w="3206" w:type="dxa"/>
            <w:tcBorders>
              <w:top w:val="single" w:sz="4" w:space="0" w:color="auto"/>
            </w:tcBorders>
            <w:shd w:val="clear" w:color="auto" w:fill="auto"/>
            <w:noWrap/>
            <w:vAlign w:val="bottom"/>
          </w:tcPr>
          <w:p w14:paraId="6AB176AE" w14:textId="77777777" w:rsidR="00D64831" w:rsidRPr="00A91A44" w:rsidRDefault="00D64831" w:rsidP="00131DE4">
            <w:pPr>
              <w:spacing w:before="120" w:after="0" w:line="240" w:lineRule="auto"/>
              <w:rPr>
                <w:rFonts w:ascii="Calibri" w:eastAsia="Times New Roman" w:hAnsi="Calibri" w:cs="Calibri"/>
                <w:b/>
                <w:bCs/>
                <w:sz w:val="18"/>
                <w:szCs w:val="18"/>
                <w:lang w:eastAsia="hr-HR"/>
              </w:rPr>
            </w:pPr>
            <w:r w:rsidRPr="00A91A44">
              <w:rPr>
                <w:rFonts w:ascii="Calibri" w:hAnsi="Calibri" w:cs="Calibri"/>
                <w:b/>
                <w:bCs/>
                <w:sz w:val="18"/>
                <w:szCs w:val="18"/>
              </w:rPr>
              <w:t>Rad vanjskog osoblja i geodetske usluge</w:t>
            </w:r>
          </w:p>
        </w:tc>
        <w:tc>
          <w:tcPr>
            <w:tcW w:w="1254" w:type="dxa"/>
            <w:tcBorders>
              <w:top w:val="single" w:sz="4" w:space="0" w:color="auto"/>
            </w:tcBorders>
            <w:shd w:val="clear" w:color="auto" w:fill="auto"/>
            <w:noWrap/>
            <w:vAlign w:val="bottom"/>
          </w:tcPr>
          <w:p w14:paraId="3522EFFE" w14:textId="3A0940D4" w:rsidR="00D64831" w:rsidRPr="00D64831" w:rsidRDefault="00D64831" w:rsidP="00131DE4">
            <w:pPr>
              <w:spacing w:before="120" w:after="0" w:line="240" w:lineRule="auto"/>
              <w:jc w:val="center"/>
              <w:rPr>
                <w:rFonts w:ascii="Calibri" w:eastAsia="Times New Roman" w:hAnsi="Calibri" w:cs="Calibri"/>
                <w:b/>
                <w:bCs/>
                <w:sz w:val="18"/>
                <w:szCs w:val="18"/>
                <w:lang w:eastAsia="hr-HR"/>
              </w:rPr>
            </w:pPr>
            <w:r w:rsidRPr="00D64831">
              <w:rPr>
                <w:rFonts w:ascii="Calibri" w:hAnsi="Calibri" w:cs="Calibri"/>
                <w:b/>
                <w:bCs/>
                <w:sz w:val="18"/>
                <w:szCs w:val="18"/>
              </w:rPr>
              <w:t>43.487</w:t>
            </w:r>
          </w:p>
        </w:tc>
        <w:tc>
          <w:tcPr>
            <w:tcW w:w="1254" w:type="dxa"/>
            <w:tcBorders>
              <w:top w:val="single" w:sz="4" w:space="0" w:color="auto"/>
            </w:tcBorders>
            <w:shd w:val="clear" w:color="auto" w:fill="auto"/>
            <w:noWrap/>
            <w:vAlign w:val="bottom"/>
          </w:tcPr>
          <w:p w14:paraId="185DA3A4" w14:textId="410695F6" w:rsidR="00D64831" w:rsidRPr="00D64831" w:rsidRDefault="00D64831" w:rsidP="00131DE4">
            <w:pPr>
              <w:spacing w:before="120" w:after="0" w:line="240" w:lineRule="auto"/>
              <w:jc w:val="center"/>
              <w:rPr>
                <w:rFonts w:ascii="Calibri" w:eastAsia="Times New Roman" w:hAnsi="Calibri" w:cs="Calibri"/>
                <w:b/>
                <w:bCs/>
                <w:sz w:val="18"/>
                <w:szCs w:val="18"/>
                <w:lang w:eastAsia="hr-HR"/>
              </w:rPr>
            </w:pPr>
            <w:r w:rsidRPr="00D64831">
              <w:rPr>
                <w:rFonts w:ascii="Calibri" w:hAnsi="Calibri" w:cs="Calibri"/>
                <w:b/>
                <w:bCs/>
                <w:sz w:val="18"/>
                <w:szCs w:val="18"/>
              </w:rPr>
              <w:t>30.833</w:t>
            </w:r>
          </w:p>
        </w:tc>
        <w:tc>
          <w:tcPr>
            <w:tcW w:w="1254" w:type="dxa"/>
            <w:tcBorders>
              <w:top w:val="single" w:sz="4" w:space="0" w:color="auto"/>
            </w:tcBorders>
            <w:shd w:val="clear" w:color="auto" w:fill="auto"/>
            <w:noWrap/>
            <w:vAlign w:val="bottom"/>
          </w:tcPr>
          <w:p w14:paraId="5B5B7F2D" w14:textId="72605C16" w:rsidR="00D64831" w:rsidRPr="00D64831" w:rsidRDefault="00D64831" w:rsidP="00131DE4">
            <w:pPr>
              <w:spacing w:before="120" w:after="0" w:line="240" w:lineRule="auto"/>
              <w:jc w:val="center"/>
              <w:rPr>
                <w:rFonts w:ascii="Calibri" w:eastAsia="Times New Roman" w:hAnsi="Calibri" w:cs="Calibri"/>
                <w:b/>
                <w:bCs/>
                <w:sz w:val="18"/>
                <w:szCs w:val="18"/>
                <w:lang w:eastAsia="hr-HR"/>
              </w:rPr>
            </w:pPr>
            <w:r w:rsidRPr="00D64831">
              <w:rPr>
                <w:rFonts w:ascii="Calibri" w:hAnsi="Calibri" w:cs="Calibri"/>
                <w:b/>
                <w:bCs/>
                <w:sz w:val="18"/>
                <w:szCs w:val="18"/>
              </w:rPr>
              <w:t>31.482</w:t>
            </w:r>
          </w:p>
        </w:tc>
        <w:tc>
          <w:tcPr>
            <w:tcW w:w="709" w:type="dxa"/>
            <w:tcBorders>
              <w:top w:val="single" w:sz="4" w:space="0" w:color="auto"/>
            </w:tcBorders>
            <w:shd w:val="clear" w:color="auto" w:fill="auto"/>
            <w:noWrap/>
            <w:vAlign w:val="bottom"/>
          </w:tcPr>
          <w:p w14:paraId="602ACED1" w14:textId="709A0ACF" w:rsidR="00D64831" w:rsidRPr="00D64831" w:rsidRDefault="00D64831" w:rsidP="00131DE4">
            <w:pPr>
              <w:spacing w:before="120" w:after="0" w:line="240" w:lineRule="auto"/>
              <w:jc w:val="center"/>
              <w:rPr>
                <w:rFonts w:ascii="Calibri" w:eastAsia="Times New Roman" w:hAnsi="Calibri" w:cs="Calibri"/>
                <w:b/>
                <w:bCs/>
                <w:sz w:val="18"/>
                <w:szCs w:val="18"/>
                <w:lang w:eastAsia="hr-HR"/>
              </w:rPr>
            </w:pPr>
            <w:r w:rsidRPr="00D64831">
              <w:rPr>
                <w:rFonts w:ascii="Calibri" w:hAnsi="Calibri" w:cs="Calibri"/>
                <w:b/>
                <w:bCs/>
                <w:sz w:val="18"/>
                <w:szCs w:val="18"/>
              </w:rPr>
              <w:t>72%</w:t>
            </w:r>
          </w:p>
        </w:tc>
        <w:tc>
          <w:tcPr>
            <w:tcW w:w="709" w:type="dxa"/>
            <w:tcBorders>
              <w:top w:val="single" w:sz="4" w:space="0" w:color="auto"/>
            </w:tcBorders>
            <w:shd w:val="clear" w:color="auto" w:fill="auto"/>
            <w:noWrap/>
            <w:vAlign w:val="bottom"/>
          </w:tcPr>
          <w:p w14:paraId="654D1039" w14:textId="18128FDD" w:rsidR="00D64831" w:rsidRPr="00D64831" w:rsidRDefault="00D64831" w:rsidP="00131DE4">
            <w:pPr>
              <w:spacing w:before="120" w:after="0" w:line="240" w:lineRule="auto"/>
              <w:jc w:val="center"/>
              <w:rPr>
                <w:rFonts w:ascii="Calibri" w:eastAsia="Times New Roman" w:hAnsi="Calibri" w:cs="Calibri"/>
                <w:b/>
                <w:bCs/>
                <w:sz w:val="18"/>
                <w:szCs w:val="18"/>
                <w:lang w:eastAsia="hr-HR"/>
              </w:rPr>
            </w:pPr>
            <w:r w:rsidRPr="00D64831">
              <w:rPr>
                <w:rFonts w:ascii="Calibri" w:hAnsi="Calibri" w:cs="Calibri"/>
                <w:b/>
                <w:bCs/>
                <w:sz w:val="18"/>
                <w:szCs w:val="18"/>
              </w:rPr>
              <w:t>102%</w:t>
            </w:r>
          </w:p>
        </w:tc>
      </w:tr>
      <w:tr w:rsidR="00D64831" w:rsidRPr="00916981" w14:paraId="63C7FF6A" w14:textId="77777777" w:rsidTr="00131DE4">
        <w:trPr>
          <w:trHeight w:val="370"/>
        </w:trPr>
        <w:tc>
          <w:tcPr>
            <w:tcW w:w="743" w:type="dxa"/>
            <w:shd w:val="clear" w:color="auto" w:fill="auto"/>
            <w:noWrap/>
            <w:vAlign w:val="bottom"/>
            <w:hideMark/>
          </w:tcPr>
          <w:p w14:paraId="01EA78AB"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eastAsia="Times New Roman" w:hAnsi="Calibri" w:cs="Calibri"/>
                <w:sz w:val="18"/>
                <w:szCs w:val="18"/>
                <w:lang w:eastAsia="hr-HR"/>
              </w:rPr>
              <w:t>1.2.2.1</w:t>
            </w:r>
          </w:p>
        </w:tc>
        <w:tc>
          <w:tcPr>
            <w:tcW w:w="3206" w:type="dxa"/>
            <w:shd w:val="clear" w:color="auto" w:fill="auto"/>
            <w:noWrap/>
            <w:vAlign w:val="bottom"/>
            <w:hideMark/>
          </w:tcPr>
          <w:p w14:paraId="1B23DB91"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hAnsi="Calibri" w:cs="Calibri"/>
                <w:color w:val="000000"/>
                <w:sz w:val="18"/>
                <w:szCs w:val="18"/>
              </w:rPr>
              <w:t>Geodetske usluge</w:t>
            </w:r>
          </w:p>
        </w:tc>
        <w:tc>
          <w:tcPr>
            <w:tcW w:w="1254" w:type="dxa"/>
            <w:shd w:val="clear" w:color="auto" w:fill="auto"/>
            <w:noWrap/>
            <w:vAlign w:val="bottom"/>
            <w:hideMark/>
          </w:tcPr>
          <w:p w14:paraId="49AAF9EF" w14:textId="11EEEA8B"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22.616</w:t>
            </w:r>
          </w:p>
        </w:tc>
        <w:tc>
          <w:tcPr>
            <w:tcW w:w="1254" w:type="dxa"/>
            <w:shd w:val="clear" w:color="auto" w:fill="auto"/>
            <w:noWrap/>
            <w:vAlign w:val="bottom"/>
            <w:hideMark/>
          </w:tcPr>
          <w:p w14:paraId="3F430F67" w14:textId="7DA2488C"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24.490</w:t>
            </w:r>
          </w:p>
        </w:tc>
        <w:tc>
          <w:tcPr>
            <w:tcW w:w="1254" w:type="dxa"/>
            <w:shd w:val="clear" w:color="auto" w:fill="auto"/>
            <w:noWrap/>
            <w:vAlign w:val="bottom"/>
            <w:hideMark/>
          </w:tcPr>
          <w:p w14:paraId="0AB2CA7F" w14:textId="2E360362"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26.480</w:t>
            </w:r>
          </w:p>
        </w:tc>
        <w:tc>
          <w:tcPr>
            <w:tcW w:w="709" w:type="dxa"/>
            <w:shd w:val="clear" w:color="auto" w:fill="auto"/>
            <w:noWrap/>
            <w:vAlign w:val="bottom"/>
            <w:hideMark/>
          </w:tcPr>
          <w:p w14:paraId="080F2915" w14:textId="701C8055"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117%</w:t>
            </w:r>
          </w:p>
        </w:tc>
        <w:tc>
          <w:tcPr>
            <w:tcW w:w="709" w:type="dxa"/>
            <w:shd w:val="clear" w:color="auto" w:fill="auto"/>
            <w:noWrap/>
            <w:vAlign w:val="bottom"/>
            <w:hideMark/>
          </w:tcPr>
          <w:p w14:paraId="48A7ADEC" w14:textId="546C966A"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108%</w:t>
            </w:r>
          </w:p>
        </w:tc>
      </w:tr>
      <w:tr w:rsidR="00D64831" w:rsidRPr="00916981" w14:paraId="487E6069" w14:textId="77777777" w:rsidTr="00131DE4">
        <w:trPr>
          <w:trHeight w:val="370"/>
        </w:trPr>
        <w:tc>
          <w:tcPr>
            <w:tcW w:w="743" w:type="dxa"/>
            <w:shd w:val="clear" w:color="auto" w:fill="auto"/>
            <w:noWrap/>
            <w:vAlign w:val="bottom"/>
            <w:hideMark/>
          </w:tcPr>
          <w:p w14:paraId="0A9E66B2"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eastAsia="Times New Roman" w:hAnsi="Calibri" w:cs="Calibri"/>
                <w:sz w:val="18"/>
                <w:szCs w:val="18"/>
                <w:lang w:eastAsia="hr-HR"/>
              </w:rPr>
              <w:t>1.2.2.2</w:t>
            </w:r>
          </w:p>
        </w:tc>
        <w:tc>
          <w:tcPr>
            <w:tcW w:w="3206" w:type="dxa"/>
            <w:shd w:val="clear" w:color="auto" w:fill="auto"/>
            <w:noWrap/>
            <w:vAlign w:val="bottom"/>
            <w:hideMark/>
          </w:tcPr>
          <w:p w14:paraId="79D65E54"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hAnsi="Calibri" w:cs="Calibri"/>
                <w:color w:val="000000"/>
                <w:sz w:val="18"/>
                <w:szCs w:val="18"/>
              </w:rPr>
              <w:t>Grafičke usluge tiska i uveza</w:t>
            </w:r>
          </w:p>
        </w:tc>
        <w:tc>
          <w:tcPr>
            <w:tcW w:w="1254" w:type="dxa"/>
            <w:shd w:val="clear" w:color="auto" w:fill="auto"/>
            <w:noWrap/>
            <w:vAlign w:val="bottom"/>
            <w:hideMark/>
          </w:tcPr>
          <w:p w14:paraId="2FEDA80A" w14:textId="18804257"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557</w:t>
            </w:r>
          </w:p>
        </w:tc>
        <w:tc>
          <w:tcPr>
            <w:tcW w:w="1254" w:type="dxa"/>
            <w:shd w:val="clear" w:color="auto" w:fill="auto"/>
            <w:noWrap/>
            <w:vAlign w:val="bottom"/>
            <w:hideMark/>
          </w:tcPr>
          <w:p w14:paraId="4B545449" w14:textId="72CB3C71"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3.769</w:t>
            </w:r>
          </w:p>
        </w:tc>
        <w:tc>
          <w:tcPr>
            <w:tcW w:w="1254" w:type="dxa"/>
            <w:shd w:val="clear" w:color="auto" w:fill="auto"/>
            <w:noWrap/>
            <w:vAlign w:val="bottom"/>
            <w:hideMark/>
          </w:tcPr>
          <w:p w14:paraId="7D324763" w14:textId="565A296D"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2.428</w:t>
            </w:r>
          </w:p>
        </w:tc>
        <w:tc>
          <w:tcPr>
            <w:tcW w:w="709" w:type="dxa"/>
            <w:shd w:val="clear" w:color="auto" w:fill="auto"/>
            <w:noWrap/>
            <w:vAlign w:val="bottom"/>
          </w:tcPr>
          <w:p w14:paraId="0CE99D20" w14:textId="4089BE49"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436%</w:t>
            </w:r>
          </w:p>
        </w:tc>
        <w:tc>
          <w:tcPr>
            <w:tcW w:w="709" w:type="dxa"/>
            <w:shd w:val="clear" w:color="auto" w:fill="auto"/>
            <w:noWrap/>
            <w:vAlign w:val="bottom"/>
          </w:tcPr>
          <w:p w14:paraId="793D8759" w14:textId="1C26D414"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64%</w:t>
            </w:r>
          </w:p>
        </w:tc>
      </w:tr>
      <w:tr w:rsidR="00D64831" w:rsidRPr="00916981" w14:paraId="3A013C9E" w14:textId="77777777" w:rsidTr="00131DE4">
        <w:trPr>
          <w:trHeight w:val="370"/>
        </w:trPr>
        <w:tc>
          <w:tcPr>
            <w:tcW w:w="743" w:type="dxa"/>
            <w:shd w:val="clear" w:color="auto" w:fill="auto"/>
            <w:noWrap/>
            <w:vAlign w:val="bottom"/>
            <w:hideMark/>
          </w:tcPr>
          <w:p w14:paraId="33457862"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eastAsia="Times New Roman" w:hAnsi="Calibri" w:cs="Calibri"/>
                <w:sz w:val="18"/>
                <w:szCs w:val="18"/>
                <w:lang w:eastAsia="hr-HR"/>
              </w:rPr>
              <w:t>1.2.2.3</w:t>
            </w:r>
          </w:p>
        </w:tc>
        <w:tc>
          <w:tcPr>
            <w:tcW w:w="3206" w:type="dxa"/>
            <w:shd w:val="clear" w:color="auto" w:fill="auto"/>
            <w:noWrap/>
            <w:vAlign w:val="bottom"/>
            <w:hideMark/>
          </w:tcPr>
          <w:p w14:paraId="0B281215"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hAnsi="Calibri" w:cs="Calibri"/>
                <w:color w:val="000000"/>
                <w:sz w:val="18"/>
                <w:szCs w:val="18"/>
              </w:rPr>
              <w:t>Studentske usluge</w:t>
            </w:r>
          </w:p>
        </w:tc>
        <w:tc>
          <w:tcPr>
            <w:tcW w:w="1254" w:type="dxa"/>
            <w:shd w:val="clear" w:color="auto" w:fill="auto"/>
            <w:noWrap/>
            <w:vAlign w:val="bottom"/>
            <w:hideMark/>
          </w:tcPr>
          <w:p w14:paraId="1B4A783D" w14:textId="3485F17E"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8.478</w:t>
            </w:r>
          </w:p>
        </w:tc>
        <w:tc>
          <w:tcPr>
            <w:tcW w:w="1254" w:type="dxa"/>
            <w:shd w:val="clear" w:color="auto" w:fill="auto"/>
            <w:noWrap/>
            <w:vAlign w:val="bottom"/>
            <w:hideMark/>
          </w:tcPr>
          <w:p w14:paraId="12F37003" w14:textId="1673EF87"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2.574</w:t>
            </w:r>
          </w:p>
        </w:tc>
        <w:tc>
          <w:tcPr>
            <w:tcW w:w="1254" w:type="dxa"/>
            <w:shd w:val="clear" w:color="auto" w:fill="auto"/>
            <w:noWrap/>
            <w:vAlign w:val="bottom"/>
            <w:hideMark/>
          </w:tcPr>
          <w:p w14:paraId="201CF13E" w14:textId="622CE543"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2.574</w:t>
            </w:r>
          </w:p>
        </w:tc>
        <w:tc>
          <w:tcPr>
            <w:tcW w:w="709" w:type="dxa"/>
            <w:shd w:val="clear" w:color="auto" w:fill="auto"/>
            <w:noWrap/>
            <w:vAlign w:val="bottom"/>
          </w:tcPr>
          <w:p w14:paraId="115F9C50" w14:textId="72899DF6"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30%</w:t>
            </w:r>
          </w:p>
        </w:tc>
        <w:tc>
          <w:tcPr>
            <w:tcW w:w="709" w:type="dxa"/>
            <w:shd w:val="clear" w:color="auto" w:fill="auto"/>
            <w:noWrap/>
            <w:vAlign w:val="bottom"/>
          </w:tcPr>
          <w:p w14:paraId="1BFC52CD" w14:textId="08F86F59"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100%</w:t>
            </w:r>
          </w:p>
        </w:tc>
      </w:tr>
      <w:tr w:rsidR="00D64831" w:rsidRPr="00916981" w14:paraId="151F5E00" w14:textId="77777777" w:rsidTr="00131DE4">
        <w:trPr>
          <w:trHeight w:val="370"/>
        </w:trPr>
        <w:tc>
          <w:tcPr>
            <w:tcW w:w="743" w:type="dxa"/>
            <w:shd w:val="clear" w:color="auto" w:fill="auto"/>
            <w:noWrap/>
            <w:vAlign w:val="bottom"/>
            <w:hideMark/>
          </w:tcPr>
          <w:p w14:paraId="5C7F5170"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eastAsia="Times New Roman" w:hAnsi="Calibri" w:cs="Calibri"/>
                <w:sz w:val="18"/>
                <w:szCs w:val="18"/>
                <w:lang w:eastAsia="hr-HR"/>
              </w:rPr>
              <w:t>1.2.2.4</w:t>
            </w:r>
          </w:p>
        </w:tc>
        <w:tc>
          <w:tcPr>
            <w:tcW w:w="3206" w:type="dxa"/>
            <w:shd w:val="clear" w:color="auto" w:fill="auto"/>
            <w:noWrap/>
            <w:vAlign w:val="bottom"/>
            <w:hideMark/>
          </w:tcPr>
          <w:p w14:paraId="1B641FF0" w14:textId="77777777" w:rsidR="00D64831" w:rsidRPr="00A91A44" w:rsidRDefault="00D64831" w:rsidP="00131DE4">
            <w:pPr>
              <w:spacing w:before="120" w:after="0" w:line="240" w:lineRule="auto"/>
              <w:rPr>
                <w:rFonts w:ascii="Calibri" w:eastAsia="Times New Roman" w:hAnsi="Calibri" w:cs="Calibri"/>
                <w:sz w:val="18"/>
                <w:szCs w:val="18"/>
                <w:lang w:eastAsia="hr-HR"/>
              </w:rPr>
            </w:pPr>
            <w:r w:rsidRPr="00A91A44">
              <w:rPr>
                <w:rFonts w:ascii="Calibri" w:hAnsi="Calibri" w:cs="Calibri"/>
                <w:color w:val="000000"/>
                <w:sz w:val="18"/>
                <w:szCs w:val="18"/>
              </w:rPr>
              <w:t>Vanjsko osoblje</w:t>
            </w:r>
          </w:p>
        </w:tc>
        <w:tc>
          <w:tcPr>
            <w:tcW w:w="1254" w:type="dxa"/>
            <w:shd w:val="clear" w:color="auto" w:fill="auto"/>
            <w:noWrap/>
            <w:vAlign w:val="bottom"/>
            <w:hideMark/>
          </w:tcPr>
          <w:p w14:paraId="6B2A0364" w14:textId="16106D59"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color w:val="000000"/>
                <w:sz w:val="18"/>
                <w:szCs w:val="18"/>
              </w:rPr>
              <w:t>11.836</w:t>
            </w:r>
          </w:p>
        </w:tc>
        <w:tc>
          <w:tcPr>
            <w:tcW w:w="1254" w:type="dxa"/>
            <w:shd w:val="clear" w:color="auto" w:fill="auto"/>
            <w:noWrap/>
            <w:vAlign w:val="bottom"/>
            <w:hideMark/>
          </w:tcPr>
          <w:p w14:paraId="45D0FEED" w14:textId="1B4C6339"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0</w:t>
            </w:r>
          </w:p>
        </w:tc>
        <w:tc>
          <w:tcPr>
            <w:tcW w:w="1254" w:type="dxa"/>
            <w:shd w:val="clear" w:color="auto" w:fill="auto"/>
            <w:noWrap/>
            <w:vAlign w:val="bottom"/>
            <w:hideMark/>
          </w:tcPr>
          <w:p w14:paraId="7DD09DA4" w14:textId="4A74B938"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0</w:t>
            </w:r>
          </w:p>
        </w:tc>
        <w:tc>
          <w:tcPr>
            <w:tcW w:w="709" w:type="dxa"/>
            <w:shd w:val="clear" w:color="auto" w:fill="auto"/>
            <w:noWrap/>
            <w:vAlign w:val="bottom"/>
            <w:hideMark/>
          </w:tcPr>
          <w:p w14:paraId="473C8AB9" w14:textId="4389F49D"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0%</w:t>
            </w:r>
          </w:p>
        </w:tc>
        <w:tc>
          <w:tcPr>
            <w:tcW w:w="709" w:type="dxa"/>
            <w:shd w:val="clear" w:color="auto" w:fill="auto"/>
            <w:noWrap/>
            <w:vAlign w:val="bottom"/>
            <w:hideMark/>
          </w:tcPr>
          <w:p w14:paraId="78A2B5A4" w14:textId="4C86BB1D" w:rsidR="00D64831" w:rsidRPr="00D64831" w:rsidRDefault="00D64831" w:rsidP="00131DE4">
            <w:pPr>
              <w:spacing w:before="120" w:after="0" w:line="240" w:lineRule="auto"/>
              <w:jc w:val="center"/>
              <w:rPr>
                <w:rFonts w:ascii="Calibri" w:eastAsia="Times New Roman" w:hAnsi="Calibri" w:cs="Calibri"/>
                <w:sz w:val="18"/>
                <w:szCs w:val="18"/>
                <w:lang w:eastAsia="hr-HR"/>
              </w:rPr>
            </w:pPr>
            <w:r w:rsidRPr="00D64831">
              <w:rPr>
                <w:rFonts w:ascii="Calibri" w:hAnsi="Calibri" w:cs="Calibri"/>
                <w:sz w:val="18"/>
                <w:szCs w:val="18"/>
              </w:rPr>
              <w:t>0%</w:t>
            </w:r>
          </w:p>
        </w:tc>
      </w:tr>
    </w:tbl>
    <w:p w14:paraId="21FF3713" w14:textId="77777777" w:rsidR="00131DE4" w:rsidRPr="00131DE4" w:rsidRDefault="00131DE4" w:rsidP="00131DE4">
      <w:pPr>
        <w:pStyle w:val="Caption"/>
        <w:spacing w:before="360" w:after="120" w:line="360" w:lineRule="auto"/>
        <w:jc w:val="both"/>
        <w:rPr>
          <w:rFonts w:ascii="Calibri" w:hAnsi="Calibri" w:cs="Calibri"/>
          <w:b w:val="0"/>
          <w:bCs w:val="0"/>
          <w:sz w:val="22"/>
          <w:szCs w:val="22"/>
        </w:rPr>
      </w:pPr>
      <w:r w:rsidRPr="00131DE4">
        <w:rPr>
          <w:rFonts w:ascii="Calibri" w:hAnsi="Calibri" w:cs="Calibri"/>
          <w:b w:val="0"/>
          <w:bCs w:val="0"/>
          <w:sz w:val="22"/>
          <w:szCs w:val="22"/>
        </w:rPr>
        <w:t xml:space="preserve">Ukupna realizacija troškova rada vanjskog osoblja i geodetskih usluga u 2024. godini iznosi </w:t>
      </w:r>
      <w:r w:rsidRPr="00131DE4">
        <w:rPr>
          <w:rFonts w:ascii="Calibri" w:eastAsiaTheme="majorEastAsia" w:hAnsi="Calibri" w:cs="Calibri"/>
          <w:b w:val="0"/>
          <w:bCs w:val="0"/>
          <w:sz w:val="22"/>
          <w:szCs w:val="22"/>
        </w:rPr>
        <w:t>31.482 eura</w:t>
      </w:r>
      <w:r w:rsidRPr="00131DE4">
        <w:rPr>
          <w:rFonts w:ascii="Calibri" w:hAnsi="Calibri" w:cs="Calibri"/>
          <w:b w:val="0"/>
          <w:bCs w:val="0"/>
          <w:sz w:val="22"/>
          <w:szCs w:val="22"/>
        </w:rPr>
        <w:t xml:space="preserve">, što je </w:t>
      </w:r>
      <w:r w:rsidRPr="00131DE4">
        <w:rPr>
          <w:rFonts w:ascii="Calibri" w:eastAsiaTheme="majorEastAsia" w:hAnsi="Calibri" w:cs="Calibri"/>
          <w:b w:val="0"/>
          <w:bCs w:val="0"/>
          <w:sz w:val="22"/>
          <w:szCs w:val="22"/>
        </w:rPr>
        <w:t>28% manje</w:t>
      </w:r>
      <w:r w:rsidRPr="00131DE4">
        <w:rPr>
          <w:rFonts w:ascii="Calibri" w:hAnsi="Calibri" w:cs="Calibri"/>
          <w:b w:val="0"/>
          <w:bCs w:val="0"/>
          <w:sz w:val="22"/>
          <w:szCs w:val="22"/>
        </w:rPr>
        <w:t xml:space="preserve"> u odnosu na 2023. godinu, ali </w:t>
      </w:r>
      <w:r w:rsidRPr="00131DE4">
        <w:rPr>
          <w:rFonts w:ascii="Calibri" w:eastAsiaTheme="majorEastAsia" w:hAnsi="Calibri" w:cs="Calibri"/>
          <w:b w:val="0"/>
          <w:bCs w:val="0"/>
          <w:sz w:val="22"/>
          <w:szCs w:val="22"/>
        </w:rPr>
        <w:t>2% više</w:t>
      </w:r>
      <w:r w:rsidRPr="00131DE4">
        <w:rPr>
          <w:rFonts w:ascii="Calibri" w:hAnsi="Calibri" w:cs="Calibri"/>
          <w:b w:val="0"/>
          <w:bCs w:val="0"/>
          <w:sz w:val="22"/>
          <w:szCs w:val="22"/>
        </w:rPr>
        <w:t xml:space="preserve"> u odnosu na rebalans plana.</w:t>
      </w:r>
    </w:p>
    <w:p w14:paraId="56F0A1C0" w14:textId="77777777" w:rsidR="00131DE4" w:rsidRPr="00131DE4" w:rsidRDefault="00131DE4" w:rsidP="00131DE4">
      <w:pPr>
        <w:pStyle w:val="Caption"/>
        <w:spacing w:before="120" w:after="120" w:line="360" w:lineRule="auto"/>
        <w:jc w:val="both"/>
        <w:rPr>
          <w:rFonts w:ascii="Calibri" w:hAnsi="Calibri" w:cs="Calibri"/>
          <w:b w:val="0"/>
          <w:bCs w:val="0"/>
          <w:sz w:val="22"/>
          <w:szCs w:val="22"/>
        </w:rPr>
      </w:pPr>
      <w:r w:rsidRPr="00131DE4">
        <w:rPr>
          <w:rFonts w:ascii="Calibri" w:hAnsi="Calibri" w:cs="Calibri"/>
          <w:b w:val="0"/>
          <w:bCs w:val="0"/>
          <w:sz w:val="22"/>
          <w:szCs w:val="22"/>
        </w:rPr>
        <w:t xml:space="preserve">Na smanjenje ukupnih troškova najviše je utjecao </w:t>
      </w:r>
      <w:r w:rsidRPr="00131DE4">
        <w:rPr>
          <w:rFonts w:ascii="Calibri" w:eastAsiaTheme="majorEastAsia" w:hAnsi="Calibri" w:cs="Calibri"/>
          <w:b w:val="0"/>
          <w:bCs w:val="0"/>
          <w:sz w:val="22"/>
          <w:szCs w:val="22"/>
        </w:rPr>
        <w:t>izostanak troškova rada vanjskog osoblja</w:t>
      </w:r>
      <w:r w:rsidRPr="00131DE4">
        <w:rPr>
          <w:rFonts w:ascii="Calibri" w:hAnsi="Calibri" w:cs="Calibri"/>
          <w:b w:val="0"/>
          <w:bCs w:val="0"/>
          <w:sz w:val="22"/>
          <w:szCs w:val="22"/>
        </w:rPr>
        <w:t xml:space="preserve"> (2023.: 11.836 eura), kao i </w:t>
      </w:r>
      <w:r w:rsidRPr="00131DE4">
        <w:rPr>
          <w:rFonts w:ascii="Calibri" w:eastAsiaTheme="majorEastAsia" w:hAnsi="Calibri" w:cs="Calibri"/>
          <w:b w:val="0"/>
          <w:bCs w:val="0"/>
          <w:sz w:val="22"/>
          <w:szCs w:val="22"/>
        </w:rPr>
        <w:t>smanjenje troškova studentskih usluga</w:t>
      </w:r>
      <w:r w:rsidRPr="00131DE4">
        <w:rPr>
          <w:rFonts w:ascii="Calibri" w:hAnsi="Calibri" w:cs="Calibri"/>
          <w:b w:val="0"/>
          <w:bCs w:val="0"/>
          <w:sz w:val="22"/>
          <w:szCs w:val="22"/>
        </w:rPr>
        <w:t>, koje su u 2024. godini zadržane na razini plana (2.574 eura).</w:t>
      </w:r>
    </w:p>
    <w:p w14:paraId="687A3863" w14:textId="226E3128" w:rsidR="00131DE4" w:rsidRPr="00131DE4" w:rsidRDefault="00131DE4" w:rsidP="00131DE4">
      <w:pPr>
        <w:pStyle w:val="Caption"/>
        <w:spacing w:before="120" w:after="120" w:line="360" w:lineRule="auto"/>
        <w:jc w:val="both"/>
        <w:rPr>
          <w:rFonts w:ascii="Calibri" w:hAnsi="Calibri" w:cs="Calibri"/>
          <w:b w:val="0"/>
          <w:bCs w:val="0"/>
          <w:sz w:val="22"/>
          <w:szCs w:val="22"/>
        </w:rPr>
      </w:pPr>
      <w:r w:rsidRPr="00131DE4">
        <w:rPr>
          <w:rFonts w:ascii="Calibri" w:eastAsiaTheme="majorEastAsia" w:hAnsi="Calibri" w:cs="Calibri"/>
          <w:b w:val="0"/>
          <w:bCs w:val="0"/>
          <w:sz w:val="22"/>
          <w:szCs w:val="22"/>
        </w:rPr>
        <w:t>Geodetske usluge</w:t>
      </w:r>
      <w:r w:rsidRPr="00131DE4">
        <w:rPr>
          <w:rFonts w:ascii="Calibri" w:hAnsi="Calibri" w:cs="Calibri"/>
          <w:b w:val="0"/>
          <w:bCs w:val="0"/>
          <w:sz w:val="22"/>
          <w:szCs w:val="22"/>
        </w:rPr>
        <w:t xml:space="preserve"> bilježe porast troškova u odnosu na prethodnu godinu za </w:t>
      </w:r>
      <w:r w:rsidRPr="00131DE4">
        <w:rPr>
          <w:rFonts w:ascii="Calibri" w:eastAsiaTheme="majorEastAsia" w:hAnsi="Calibri" w:cs="Calibri"/>
          <w:b w:val="0"/>
          <w:bCs w:val="0"/>
          <w:sz w:val="22"/>
          <w:szCs w:val="22"/>
        </w:rPr>
        <w:t>17%</w:t>
      </w:r>
      <w:r w:rsidRPr="00131DE4">
        <w:rPr>
          <w:rFonts w:ascii="Calibri" w:hAnsi="Calibri" w:cs="Calibri"/>
          <w:b w:val="0"/>
          <w:bCs w:val="0"/>
          <w:sz w:val="22"/>
          <w:szCs w:val="22"/>
        </w:rPr>
        <w:t xml:space="preserve">, što je rezultat </w:t>
      </w:r>
      <w:r w:rsidR="005B15E8">
        <w:rPr>
          <w:rFonts w:ascii="Calibri" w:hAnsi="Calibri" w:cs="Calibri"/>
          <w:b w:val="0"/>
          <w:bCs w:val="0"/>
          <w:sz w:val="22"/>
          <w:szCs w:val="22"/>
        </w:rPr>
        <w:t>povećanja cijene.</w:t>
      </w:r>
    </w:p>
    <w:p w14:paraId="33D20E8C" w14:textId="02822A99" w:rsidR="00131DE4" w:rsidRPr="00131DE4" w:rsidRDefault="00302E89" w:rsidP="00131DE4">
      <w:pPr>
        <w:pStyle w:val="Caption"/>
        <w:spacing w:before="120" w:after="120" w:line="360" w:lineRule="auto"/>
        <w:jc w:val="both"/>
        <w:rPr>
          <w:rFonts w:ascii="Calibri" w:hAnsi="Calibri" w:cs="Calibri"/>
          <w:b w:val="0"/>
          <w:bCs w:val="0"/>
          <w:sz w:val="22"/>
          <w:szCs w:val="22"/>
        </w:rPr>
      </w:pPr>
      <w:r>
        <w:rPr>
          <w:rFonts w:ascii="Calibri" w:hAnsi="Calibri" w:cs="Calibri"/>
          <w:b w:val="0"/>
          <w:bCs w:val="0"/>
          <w:sz w:val="22"/>
          <w:szCs w:val="22"/>
        </w:rPr>
        <w:t>P</w:t>
      </w:r>
      <w:r w:rsidR="00131DE4" w:rsidRPr="00131DE4">
        <w:rPr>
          <w:rFonts w:ascii="Calibri" w:hAnsi="Calibri" w:cs="Calibri"/>
          <w:b w:val="0"/>
          <w:bCs w:val="0"/>
          <w:sz w:val="22"/>
          <w:szCs w:val="22"/>
        </w:rPr>
        <w:t xml:space="preserve">ovećanje bilježe i </w:t>
      </w:r>
      <w:r w:rsidR="00131DE4" w:rsidRPr="00131DE4">
        <w:rPr>
          <w:rFonts w:ascii="Calibri" w:eastAsiaTheme="majorEastAsia" w:hAnsi="Calibri" w:cs="Calibri"/>
          <w:b w:val="0"/>
          <w:bCs w:val="0"/>
          <w:sz w:val="22"/>
          <w:szCs w:val="22"/>
        </w:rPr>
        <w:t>grafičke usluge</w:t>
      </w:r>
      <w:r w:rsidR="00131DE4" w:rsidRPr="00131DE4">
        <w:rPr>
          <w:rFonts w:ascii="Calibri" w:hAnsi="Calibri" w:cs="Calibri"/>
          <w:b w:val="0"/>
          <w:bCs w:val="0"/>
          <w:sz w:val="22"/>
          <w:szCs w:val="22"/>
        </w:rPr>
        <w:t>, uslijed tiskanja novih naljepnica u skladu sa zahtjevima ISO standarda, iako su još uvijek značajno niže u odnosu na plan.</w:t>
      </w:r>
    </w:p>
    <w:p w14:paraId="4BD0A2F0" w14:textId="15E2F08D" w:rsidR="00E0041E" w:rsidRPr="00840E6B" w:rsidRDefault="00E0041E" w:rsidP="005266B1">
      <w:pPr>
        <w:pStyle w:val="Caption"/>
        <w:spacing w:before="240" w:after="360" w:line="360" w:lineRule="auto"/>
        <w:jc w:val="both"/>
        <w:rPr>
          <w:rFonts w:asciiTheme="minorHAnsi" w:hAnsiTheme="minorHAnsi" w:cstheme="minorHAnsi"/>
          <w:b w:val="0"/>
          <w:bCs w:val="0"/>
          <w:sz w:val="22"/>
          <w:szCs w:val="22"/>
        </w:rPr>
      </w:pPr>
      <w:bookmarkStart w:id="63" w:name="_Toc200366461"/>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23</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Usluge tekućeg održavanja</w:t>
      </w:r>
      <w:bookmarkEnd w:id="63"/>
    </w:p>
    <w:tbl>
      <w:tblPr>
        <w:tblW w:w="90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8"/>
        <w:gridCol w:w="2915"/>
        <w:gridCol w:w="1354"/>
        <w:gridCol w:w="1184"/>
        <w:gridCol w:w="1408"/>
        <w:gridCol w:w="745"/>
        <w:gridCol w:w="745"/>
      </w:tblGrid>
      <w:tr w:rsidR="00D64831" w:rsidRPr="00E0041E" w14:paraId="5D00056A" w14:textId="77777777" w:rsidTr="009031F1">
        <w:trPr>
          <w:trHeight w:val="639"/>
        </w:trPr>
        <w:tc>
          <w:tcPr>
            <w:tcW w:w="738" w:type="dxa"/>
            <w:tcBorders>
              <w:top w:val="single" w:sz="4" w:space="0" w:color="auto"/>
              <w:bottom w:val="single" w:sz="4" w:space="0" w:color="auto"/>
            </w:tcBorders>
            <w:shd w:val="clear" w:color="auto" w:fill="auto"/>
            <w:noWrap/>
            <w:vAlign w:val="center"/>
            <w:hideMark/>
          </w:tcPr>
          <w:p w14:paraId="1E07C0E8" w14:textId="2B2ACD62" w:rsidR="00D64831" w:rsidRPr="00E0041E" w:rsidRDefault="00D64831" w:rsidP="00D64831">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2915" w:type="dxa"/>
            <w:tcBorders>
              <w:top w:val="single" w:sz="4" w:space="0" w:color="auto"/>
              <w:bottom w:val="single" w:sz="4" w:space="0" w:color="auto"/>
            </w:tcBorders>
            <w:shd w:val="clear" w:color="auto" w:fill="auto"/>
            <w:noWrap/>
            <w:vAlign w:val="center"/>
            <w:hideMark/>
          </w:tcPr>
          <w:p w14:paraId="2A805774" w14:textId="78467ECD" w:rsidR="00D64831" w:rsidRPr="00E0041E" w:rsidRDefault="00D64831" w:rsidP="00D6483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54" w:type="dxa"/>
            <w:tcBorders>
              <w:top w:val="single" w:sz="4" w:space="0" w:color="auto"/>
              <w:bottom w:val="single" w:sz="4" w:space="0" w:color="auto"/>
            </w:tcBorders>
            <w:shd w:val="clear" w:color="auto" w:fill="auto"/>
            <w:noWrap/>
            <w:vAlign w:val="center"/>
            <w:hideMark/>
          </w:tcPr>
          <w:p w14:paraId="18A7C872" w14:textId="690B9312" w:rsidR="00D64831" w:rsidRPr="00E0041E" w:rsidRDefault="00D64831" w:rsidP="00D6483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84" w:type="dxa"/>
            <w:tcBorders>
              <w:top w:val="single" w:sz="4" w:space="0" w:color="auto"/>
              <w:bottom w:val="single" w:sz="4" w:space="0" w:color="auto"/>
            </w:tcBorders>
            <w:shd w:val="clear" w:color="auto" w:fill="auto"/>
            <w:noWrap/>
            <w:vAlign w:val="center"/>
            <w:hideMark/>
          </w:tcPr>
          <w:p w14:paraId="77C185F1" w14:textId="7193DCFE" w:rsidR="00D64831" w:rsidRPr="00E0041E" w:rsidRDefault="00D64831" w:rsidP="00D64831">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08" w:type="dxa"/>
            <w:tcBorders>
              <w:top w:val="single" w:sz="4" w:space="0" w:color="auto"/>
              <w:bottom w:val="single" w:sz="4" w:space="0" w:color="auto"/>
            </w:tcBorders>
            <w:shd w:val="clear" w:color="auto" w:fill="auto"/>
            <w:noWrap/>
            <w:vAlign w:val="center"/>
            <w:hideMark/>
          </w:tcPr>
          <w:p w14:paraId="563C6829" w14:textId="0B05AC47" w:rsidR="00D64831" w:rsidRPr="00E0041E" w:rsidRDefault="00D64831" w:rsidP="00D6483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45" w:type="dxa"/>
            <w:tcBorders>
              <w:top w:val="single" w:sz="4" w:space="0" w:color="auto"/>
              <w:bottom w:val="single" w:sz="4" w:space="0" w:color="auto"/>
            </w:tcBorders>
            <w:shd w:val="clear" w:color="auto" w:fill="auto"/>
            <w:noWrap/>
            <w:vAlign w:val="center"/>
            <w:hideMark/>
          </w:tcPr>
          <w:p w14:paraId="6674BF3D" w14:textId="65CAF442" w:rsidR="00D64831" w:rsidRPr="00E0041E" w:rsidRDefault="00D64831" w:rsidP="00D64831">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45" w:type="dxa"/>
            <w:tcBorders>
              <w:top w:val="single" w:sz="4" w:space="0" w:color="auto"/>
              <w:bottom w:val="single" w:sz="4" w:space="0" w:color="auto"/>
            </w:tcBorders>
            <w:shd w:val="clear" w:color="auto" w:fill="auto"/>
            <w:noWrap/>
            <w:vAlign w:val="center"/>
            <w:hideMark/>
          </w:tcPr>
          <w:p w14:paraId="27D978E7" w14:textId="22AC6D12" w:rsidR="00D64831" w:rsidRPr="00E0041E" w:rsidRDefault="00D64831" w:rsidP="00D64831">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E0041E" w:rsidRPr="00E0041E" w14:paraId="392D19DD" w14:textId="77777777" w:rsidTr="009031F1">
        <w:trPr>
          <w:trHeight w:val="174"/>
        </w:trPr>
        <w:tc>
          <w:tcPr>
            <w:tcW w:w="738" w:type="dxa"/>
            <w:tcBorders>
              <w:top w:val="single" w:sz="4" w:space="0" w:color="auto"/>
              <w:bottom w:val="single" w:sz="4" w:space="0" w:color="auto"/>
            </w:tcBorders>
            <w:shd w:val="clear" w:color="auto" w:fill="auto"/>
            <w:noWrap/>
            <w:vAlign w:val="center"/>
          </w:tcPr>
          <w:p w14:paraId="5057BE0A" w14:textId="22F209F9"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1</w:t>
            </w:r>
          </w:p>
        </w:tc>
        <w:tc>
          <w:tcPr>
            <w:tcW w:w="2915" w:type="dxa"/>
            <w:tcBorders>
              <w:top w:val="single" w:sz="4" w:space="0" w:color="auto"/>
              <w:bottom w:val="single" w:sz="4" w:space="0" w:color="auto"/>
            </w:tcBorders>
            <w:shd w:val="clear" w:color="auto" w:fill="auto"/>
            <w:noWrap/>
            <w:vAlign w:val="center"/>
          </w:tcPr>
          <w:p w14:paraId="5122762D" w14:textId="3A7561BC"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2</w:t>
            </w:r>
          </w:p>
        </w:tc>
        <w:tc>
          <w:tcPr>
            <w:tcW w:w="1354" w:type="dxa"/>
            <w:tcBorders>
              <w:top w:val="single" w:sz="4" w:space="0" w:color="auto"/>
              <w:bottom w:val="single" w:sz="4" w:space="0" w:color="auto"/>
            </w:tcBorders>
            <w:shd w:val="clear" w:color="auto" w:fill="auto"/>
            <w:noWrap/>
            <w:vAlign w:val="center"/>
          </w:tcPr>
          <w:p w14:paraId="321C6F72" w14:textId="44333FB0"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3</w:t>
            </w:r>
          </w:p>
        </w:tc>
        <w:tc>
          <w:tcPr>
            <w:tcW w:w="1184" w:type="dxa"/>
            <w:tcBorders>
              <w:top w:val="single" w:sz="4" w:space="0" w:color="auto"/>
              <w:bottom w:val="single" w:sz="4" w:space="0" w:color="auto"/>
            </w:tcBorders>
            <w:shd w:val="clear" w:color="auto" w:fill="auto"/>
            <w:noWrap/>
            <w:vAlign w:val="center"/>
          </w:tcPr>
          <w:p w14:paraId="07EC2CC1" w14:textId="7D1F2D55"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4</w:t>
            </w:r>
          </w:p>
        </w:tc>
        <w:tc>
          <w:tcPr>
            <w:tcW w:w="1408" w:type="dxa"/>
            <w:tcBorders>
              <w:top w:val="single" w:sz="4" w:space="0" w:color="auto"/>
              <w:bottom w:val="single" w:sz="4" w:space="0" w:color="auto"/>
            </w:tcBorders>
            <w:shd w:val="clear" w:color="auto" w:fill="auto"/>
            <w:noWrap/>
            <w:vAlign w:val="center"/>
          </w:tcPr>
          <w:p w14:paraId="0A7D8E68" w14:textId="301B1363"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5</w:t>
            </w:r>
          </w:p>
        </w:tc>
        <w:tc>
          <w:tcPr>
            <w:tcW w:w="745" w:type="dxa"/>
            <w:tcBorders>
              <w:top w:val="single" w:sz="4" w:space="0" w:color="auto"/>
              <w:bottom w:val="single" w:sz="4" w:space="0" w:color="auto"/>
            </w:tcBorders>
            <w:shd w:val="clear" w:color="auto" w:fill="auto"/>
            <w:noWrap/>
            <w:vAlign w:val="center"/>
          </w:tcPr>
          <w:p w14:paraId="0DCCD84B" w14:textId="19C37A09"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6</w:t>
            </w:r>
          </w:p>
        </w:tc>
        <w:tc>
          <w:tcPr>
            <w:tcW w:w="745" w:type="dxa"/>
            <w:tcBorders>
              <w:top w:val="single" w:sz="4" w:space="0" w:color="auto"/>
              <w:bottom w:val="single" w:sz="4" w:space="0" w:color="auto"/>
            </w:tcBorders>
            <w:shd w:val="clear" w:color="auto" w:fill="auto"/>
            <w:noWrap/>
            <w:vAlign w:val="center"/>
          </w:tcPr>
          <w:p w14:paraId="069264AE" w14:textId="7B2D602A" w:rsidR="00E0041E" w:rsidRPr="00E0041E" w:rsidRDefault="00E0041E" w:rsidP="00E0041E">
            <w:pPr>
              <w:spacing w:after="0" w:line="240" w:lineRule="auto"/>
              <w:jc w:val="center"/>
              <w:rPr>
                <w:rFonts w:eastAsia="Times New Roman" w:cstheme="minorHAnsi"/>
                <w:b/>
                <w:bCs/>
                <w:sz w:val="20"/>
                <w:szCs w:val="20"/>
                <w:lang w:eastAsia="hr-HR"/>
              </w:rPr>
            </w:pPr>
            <w:r w:rsidRPr="00C845B2">
              <w:rPr>
                <w:rFonts w:eastAsia="Times New Roman" w:cstheme="minorHAnsi"/>
                <w:i/>
                <w:iCs/>
                <w:color w:val="BFBFBF"/>
                <w:sz w:val="16"/>
                <w:szCs w:val="16"/>
                <w:lang w:eastAsia="hr-HR"/>
              </w:rPr>
              <w:t>7</w:t>
            </w:r>
          </w:p>
        </w:tc>
      </w:tr>
      <w:tr w:rsidR="009031F1" w:rsidRPr="00E0041E" w14:paraId="27B34CB2" w14:textId="77777777" w:rsidTr="009031F1">
        <w:trPr>
          <w:trHeight w:val="340"/>
        </w:trPr>
        <w:tc>
          <w:tcPr>
            <w:tcW w:w="738" w:type="dxa"/>
            <w:tcBorders>
              <w:top w:val="single" w:sz="4" w:space="0" w:color="auto"/>
            </w:tcBorders>
            <w:shd w:val="clear" w:color="auto" w:fill="auto"/>
            <w:noWrap/>
            <w:vAlign w:val="bottom"/>
            <w:hideMark/>
          </w:tcPr>
          <w:p w14:paraId="64DCA8FE" w14:textId="77777777" w:rsidR="009031F1" w:rsidRPr="001D2B14" w:rsidRDefault="009031F1" w:rsidP="009031F1">
            <w:pPr>
              <w:spacing w:before="120" w:after="0" w:line="240" w:lineRule="auto"/>
              <w:rPr>
                <w:rFonts w:eastAsia="Times New Roman" w:cstheme="minorHAnsi"/>
                <w:b/>
                <w:bCs/>
                <w:sz w:val="18"/>
                <w:szCs w:val="18"/>
                <w:lang w:eastAsia="hr-HR"/>
              </w:rPr>
            </w:pPr>
            <w:r w:rsidRPr="001D2B14">
              <w:rPr>
                <w:rFonts w:eastAsia="Times New Roman" w:cstheme="minorHAnsi"/>
                <w:b/>
                <w:bCs/>
                <w:sz w:val="18"/>
                <w:szCs w:val="18"/>
                <w:lang w:eastAsia="hr-HR"/>
              </w:rPr>
              <w:t>1.2.3</w:t>
            </w:r>
          </w:p>
        </w:tc>
        <w:tc>
          <w:tcPr>
            <w:tcW w:w="2915" w:type="dxa"/>
            <w:tcBorders>
              <w:top w:val="single" w:sz="4" w:space="0" w:color="auto"/>
            </w:tcBorders>
            <w:shd w:val="clear" w:color="auto" w:fill="auto"/>
            <w:noWrap/>
            <w:vAlign w:val="bottom"/>
            <w:hideMark/>
          </w:tcPr>
          <w:p w14:paraId="004C1149" w14:textId="77777777" w:rsidR="009031F1" w:rsidRPr="001D2B14" w:rsidRDefault="009031F1" w:rsidP="009031F1">
            <w:pPr>
              <w:spacing w:before="120" w:after="0" w:line="240" w:lineRule="auto"/>
              <w:rPr>
                <w:rFonts w:eastAsia="Times New Roman" w:cstheme="minorHAnsi"/>
                <w:b/>
                <w:bCs/>
                <w:sz w:val="18"/>
                <w:szCs w:val="18"/>
                <w:lang w:eastAsia="hr-HR"/>
              </w:rPr>
            </w:pPr>
            <w:r w:rsidRPr="001D2B14">
              <w:rPr>
                <w:rFonts w:eastAsia="Times New Roman" w:cstheme="minorHAnsi"/>
                <w:b/>
                <w:bCs/>
                <w:sz w:val="18"/>
                <w:szCs w:val="18"/>
                <w:lang w:eastAsia="hr-HR"/>
              </w:rPr>
              <w:t xml:space="preserve">Tekuće održavanje </w:t>
            </w:r>
          </w:p>
        </w:tc>
        <w:tc>
          <w:tcPr>
            <w:tcW w:w="1354" w:type="dxa"/>
            <w:tcBorders>
              <w:top w:val="single" w:sz="4" w:space="0" w:color="auto"/>
            </w:tcBorders>
            <w:shd w:val="clear" w:color="auto" w:fill="auto"/>
            <w:noWrap/>
            <w:vAlign w:val="bottom"/>
            <w:hideMark/>
          </w:tcPr>
          <w:p w14:paraId="013FDE69" w14:textId="7765ACB0" w:rsidR="009031F1" w:rsidRPr="009031F1" w:rsidRDefault="009031F1" w:rsidP="009031F1">
            <w:pPr>
              <w:spacing w:before="120" w:after="0" w:line="240" w:lineRule="auto"/>
              <w:jc w:val="center"/>
              <w:rPr>
                <w:rFonts w:eastAsia="Times New Roman" w:cstheme="minorHAnsi"/>
                <w:b/>
                <w:bCs/>
                <w:sz w:val="18"/>
                <w:szCs w:val="18"/>
                <w:lang w:eastAsia="hr-HR"/>
              </w:rPr>
            </w:pPr>
            <w:r w:rsidRPr="009031F1">
              <w:rPr>
                <w:rFonts w:ascii="Calibri" w:hAnsi="Calibri" w:cs="Calibri"/>
                <w:b/>
                <w:bCs/>
                <w:sz w:val="18"/>
                <w:szCs w:val="18"/>
              </w:rPr>
              <w:t>755.255</w:t>
            </w:r>
          </w:p>
        </w:tc>
        <w:tc>
          <w:tcPr>
            <w:tcW w:w="1184" w:type="dxa"/>
            <w:tcBorders>
              <w:top w:val="single" w:sz="4" w:space="0" w:color="auto"/>
            </w:tcBorders>
            <w:shd w:val="clear" w:color="auto" w:fill="auto"/>
            <w:noWrap/>
            <w:vAlign w:val="bottom"/>
            <w:hideMark/>
          </w:tcPr>
          <w:p w14:paraId="0A44212A" w14:textId="70C9C158" w:rsidR="009031F1" w:rsidRPr="009031F1" w:rsidRDefault="009031F1" w:rsidP="009031F1">
            <w:pPr>
              <w:spacing w:before="120" w:after="0" w:line="240" w:lineRule="auto"/>
              <w:jc w:val="center"/>
              <w:rPr>
                <w:rFonts w:eastAsia="Times New Roman" w:cstheme="minorHAnsi"/>
                <w:b/>
                <w:bCs/>
                <w:sz w:val="18"/>
                <w:szCs w:val="18"/>
                <w:lang w:eastAsia="hr-HR"/>
              </w:rPr>
            </w:pPr>
            <w:r w:rsidRPr="009031F1">
              <w:rPr>
                <w:rFonts w:ascii="Calibri" w:hAnsi="Calibri" w:cs="Calibri"/>
                <w:b/>
                <w:bCs/>
                <w:sz w:val="18"/>
                <w:szCs w:val="18"/>
              </w:rPr>
              <w:t>1.034.645</w:t>
            </w:r>
          </w:p>
        </w:tc>
        <w:tc>
          <w:tcPr>
            <w:tcW w:w="1408" w:type="dxa"/>
            <w:tcBorders>
              <w:top w:val="single" w:sz="4" w:space="0" w:color="auto"/>
            </w:tcBorders>
            <w:shd w:val="clear" w:color="auto" w:fill="auto"/>
            <w:noWrap/>
            <w:vAlign w:val="bottom"/>
            <w:hideMark/>
          </w:tcPr>
          <w:p w14:paraId="72B900E3" w14:textId="54DC227D" w:rsidR="009031F1" w:rsidRPr="009031F1" w:rsidRDefault="009031F1" w:rsidP="009031F1">
            <w:pPr>
              <w:spacing w:before="120" w:after="0" w:line="240" w:lineRule="auto"/>
              <w:jc w:val="center"/>
              <w:rPr>
                <w:rFonts w:eastAsia="Times New Roman" w:cstheme="minorHAnsi"/>
                <w:b/>
                <w:bCs/>
                <w:sz w:val="18"/>
                <w:szCs w:val="18"/>
                <w:lang w:eastAsia="hr-HR"/>
              </w:rPr>
            </w:pPr>
            <w:r w:rsidRPr="009031F1">
              <w:rPr>
                <w:rFonts w:ascii="Calibri" w:hAnsi="Calibri" w:cs="Calibri"/>
                <w:b/>
                <w:bCs/>
                <w:sz w:val="18"/>
                <w:szCs w:val="18"/>
              </w:rPr>
              <w:t>884.806</w:t>
            </w:r>
          </w:p>
        </w:tc>
        <w:tc>
          <w:tcPr>
            <w:tcW w:w="745" w:type="dxa"/>
            <w:tcBorders>
              <w:top w:val="single" w:sz="4" w:space="0" w:color="auto"/>
            </w:tcBorders>
            <w:shd w:val="clear" w:color="auto" w:fill="auto"/>
            <w:noWrap/>
            <w:vAlign w:val="bottom"/>
            <w:hideMark/>
          </w:tcPr>
          <w:p w14:paraId="3E640591" w14:textId="2D782F91" w:rsidR="009031F1" w:rsidRPr="009031F1" w:rsidRDefault="009031F1" w:rsidP="009031F1">
            <w:pPr>
              <w:spacing w:before="120" w:after="0" w:line="240" w:lineRule="auto"/>
              <w:jc w:val="center"/>
              <w:rPr>
                <w:rFonts w:eastAsia="Times New Roman" w:cstheme="minorHAnsi"/>
                <w:b/>
                <w:bCs/>
                <w:sz w:val="18"/>
                <w:szCs w:val="18"/>
                <w:lang w:eastAsia="hr-HR"/>
              </w:rPr>
            </w:pPr>
            <w:r w:rsidRPr="009031F1">
              <w:rPr>
                <w:rFonts w:ascii="Calibri" w:hAnsi="Calibri" w:cs="Calibri"/>
                <w:b/>
                <w:bCs/>
                <w:sz w:val="18"/>
                <w:szCs w:val="18"/>
              </w:rPr>
              <w:t>117%</w:t>
            </w:r>
          </w:p>
        </w:tc>
        <w:tc>
          <w:tcPr>
            <w:tcW w:w="745" w:type="dxa"/>
            <w:tcBorders>
              <w:top w:val="single" w:sz="4" w:space="0" w:color="auto"/>
            </w:tcBorders>
            <w:shd w:val="clear" w:color="auto" w:fill="auto"/>
            <w:noWrap/>
            <w:vAlign w:val="bottom"/>
            <w:hideMark/>
          </w:tcPr>
          <w:p w14:paraId="1E366451" w14:textId="12CA5D67" w:rsidR="009031F1" w:rsidRPr="009031F1" w:rsidRDefault="009031F1" w:rsidP="009031F1">
            <w:pPr>
              <w:spacing w:before="120" w:after="0" w:line="240" w:lineRule="auto"/>
              <w:jc w:val="center"/>
              <w:rPr>
                <w:rFonts w:eastAsia="Times New Roman" w:cstheme="minorHAnsi"/>
                <w:b/>
                <w:bCs/>
                <w:sz w:val="18"/>
                <w:szCs w:val="18"/>
                <w:lang w:eastAsia="hr-HR"/>
              </w:rPr>
            </w:pPr>
            <w:r w:rsidRPr="009031F1">
              <w:rPr>
                <w:rFonts w:ascii="Calibri" w:hAnsi="Calibri" w:cs="Calibri"/>
                <w:b/>
                <w:bCs/>
                <w:sz w:val="18"/>
                <w:szCs w:val="18"/>
              </w:rPr>
              <w:t>86%</w:t>
            </w:r>
          </w:p>
        </w:tc>
      </w:tr>
      <w:tr w:rsidR="009031F1" w:rsidRPr="00E0041E" w14:paraId="60E37E85" w14:textId="77777777" w:rsidTr="009031F1">
        <w:trPr>
          <w:trHeight w:val="340"/>
        </w:trPr>
        <w:tc>
          <w:tcPr>
            <w:tcW w:w="738" w:type="dxa"/>
            <w:shd w:val="clear" w:color="auto" w:fill="auto"/>
            <w:noWrap/>
            <w:vAlign w:val="bottom"/>
            <w:hideMark/>
          </w:tcPr>
          <w:p w14:paraId="24921744"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1.2.3.1</w:t>
            </w:r>
          </w:p>
        </w:tc>
        <w:tc>
          <w:tcPr>
            <w:tcW w:w="2915" w:type="dxa"/>
            <w:shd w:val="clear" w:color="auto" w:fill="auto"/>
            <w:noWrap/>
            <w:vAlign w:val="bottom"/>
            <w:hideMark/>
          </w:tcPr>
          <w:p w14:paraId="139353F0"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Tekuće održavanje MBO</w:t>
            </w:r>
          </w:p>
        </w:tc>
        <w:tc>
          <w:tcPr>
            <w:tcW w:w="1354" w:type="dxa"/>
            <w:shd w:val="clear" w:color="auto" w:fill="auto"/>
            <w:noWrap/>
            <w:vAlign w:val="bottom"/>
            <w:hideMark/>
          </w:tcPr>
          <w:p w14:paraId="1607D590" w14:textId="2CD9F809"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498.041</w:t>
            </w:r>
          </w:p>
        </w:tc>
        <w:tc>
          <w:tcPr>
            <w:tcW w:w="1184" w:type="dxa"/>
            <w:shd w:val="clear" w:color="auto" w:fill="auto"/>
            <w:noWrap/>
            <w:vAlign w:val="bottom"/>
            <w:hideMark/>
          </w:tcPr>
          <w:p w14:paraId="4598B1B4" w14:textId="350A4E3A"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779.449</w:t>
            </w:r>
          </w:p>
        </w:tc>
        <w:tc>
          <w:tcPr>
            <w:tcW w:w="1408" w:type="dxa"/>
            <w:shd w:val="clear" w:color="auto" w:fill="auto"/>
            <w:noWrap/>
            <w:vAlign w:val="bottom"/>
            <w:hideMark/>
          </w:tcPr>
          <w:p w14:paraId="0DE62FAB" w14:textId="13F6014E"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647.399</w:t>
            </w:r>
          </w:p>
        </w:tc>
        <w:tc>
          <w:tcPr>
            <w:tcW w:w="745" w:type="dxa"/>
            <w:shd w:val="clear" w:color="auto" w:fill="auto"/>
            <w:noWrap/>
            <w:vAlign w:val="bottom"/>
            <w:hideMark/>
          </w:tcPr>
          <w:p w14:paraId="52BF6E77" w14:textId="1FB40E29"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130%</w:t>
            </w:r>
          </w:p>
        </w:tc>
        <w:tc>
          <w:tcPr>
            <w:tcW w:w="745" w:type="dxa"/>
            <w:shd w:val="clear" w:color="auto" w:fill="auto"/>
            <w:noWrap/>
            <w:vAlign w:val="bottom"/>
            <w:hideMark/>
          </w:tcPr>
          <w:p w14:paraId="14FD9FAD" w14:textId="06D18979"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83%</w:t>
            </w:r>
          </w:p>
        </w:tc>
      </w:tr>
      <w:tr w:rsidR="009031F1" w:rsidRPr="00E0041E" w14:paraId="47B58620" w14:textId="77777777" w:rsidTr="009031F1">
        <w:trPr>
          <w:trHeight w:val="340"/>
        </w:trPr>
        <w:tc>
          <w:tcPr>
            <w:tcW w:w="738" w:type="dxa"/>
            <w:shd w:val="clear" w:color="auto" w:fill="auto"/>
            <w:noWrap/>
            <w:vAlign w:val="bottom"/>
            <w:hideMark/>
          </w:tcPr>
          <w:p w14:paraId="1279A9E2"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1.2.3.2</w:t>
            </w:r>
          </w:p>
        </w:tc>
        <w:tc>
          <w:tcPr>
            <w:tcW w:w="2915" w:type="dxa"/>
            <w:shd w:val="clear" w:color="auto" w:fill="auto"/>
            <w:noWrap/>
            <w:vAlign w:val="bottom"/>
            <w:hideMark/>
          </w:tcPr>
          <w:p w14:paraId="6076F65A"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Održavanje odlagališta</w:t>
            </w:r>
          </w:p>
        </w:tc>
        <w:tc>
          <w:tcPr>
            <w:tcW w:w="1354" w:type="dxa"/>
            <w:shd w:val="clear" w:color="auto" w:fill="auto"/>
            <w:noWrap/>
            <w:vAlign w:val="bottom"/>
            <w:hideMark/>
          </w:tcPr>
          <w:p w14:paraId="4ED5BDD3" w14:textId="4DDA5783"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85.270</w:t>
            </w:r>
          </w:p>
        </w:tc>
        <w:tc>
          <w:tcPr>
            <w:tcW w:w="1184" w:type="dxa"/>
            <w:shd w:val="clear" w:color="auto" w:fill="auto"/>
            <w:noWrap/>
            <w:vAlign w:val="bottom"/>
            <w:hideMark/>
          </w:tcPr>
          <w:p w14:paraId="78E02D67" w14:textId="03960E7B"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55.000</w:t>
            </w:r>
          </w:p>
        </w:tc>
        <w:tc>
          <w:tcPr>
            <w:tcW w:w="1408" w:type="dxa"/>
            <w:shd w:val="clear" w:color="auto" w:fill="auto"/>
            <w:noWrap/>
            <w:vAlign w:val="bottom"/>
            <w:hideMark/>
          </w:tcPr>
          <w:p w14:paraId="4B3ABBE2" w14:textId="219AB74A"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53.104</w:t>
            </w:r>
          </w:p>
        </w:tc>
        <w:tc>
          <w:tcPr>
            <w:tcW w:w="745" w:type="dxa"/>
            <w:shd w:val="clear" w:color="auto" w:fill="auto"/>
            <w:noWrap/>
            <w:vAlign w:val="bottom"/>
            <w:hideMark/>
          </w:tcPr>
          <w:p w14:paraId="2746A37F" w14:textId="230FC0E7"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62%</w:t>
            </w:r>
          </w:p>
        </w:tc>
        <w:tc>
          <w:tcPr>
            <w:tcW w:w="745" w:type="dxa"/>
            <w:shd w:val="clear" w:color="auto" w:fill="auto"/>
            <w:noWrap/>
            <w:vAlign w:val="bottom"/>
            <w:hideMark/>
          </w:tcPr>
          <w:p w14:paraId="5BFB032C" w14:textId="6A111A1E"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97%</w:t>
            </w:r>
          </w:p>
        </w:tc>
      </w:tr>
      <w:tr w:rsidR="009031F1" w:rsidRPr="00E0041E" w14:paraId="63F56845" w14:textId="77777777" w:rsidTr="009031F1">
        <w:trPr>
          <w:trHeight w:val="340"/>
        </w:trPr>
        <w:tc>
          <w:tcPr>
            <w:tcW w:w="738" w:type="dxa"/>
            <w:shd w:val="clear" w:color="auto" w:fill="auto"/>
            <w:noWrap/>
            <w:vAlign w:val="bottom"/>
            <w:hideMark/>
          </w:tcPr>
          <w:p w14:paraId="19E75CFC"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1.2.3.3</w:t>
            </w:r>
          </w:p>
        </w:tc>
        <w:tc>
          <w:tcPr>
            <w:tcW w:w="2915" w:type="dxa"/>
            <w:shd w:val="clear" w:color="auto" w:fill="auto"/>
            <w:noWrap/>
            <w:vAlign w:val="bottom"/>
            <w:hideMark/>
          </w:tcPr>
          <w:p w14:paraId="5BE6DD7A"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Održavanje transporta</w:t>
            </w:r>
          </w:p>
        </w:tc>
        <w:tc>
          <w:tcPr>
            <w:tcW w:w="1354" w:type="dxa"/>
            <w:shd w:val="clear" w:color="auto" w:fill="auto"/>
            <w:noWrap/>
            <w:vAlign w:val="bottom"/>
            <w:hideMark/>
          </w:tcPr>
          <w:p w14:paraId="42CB786C" w14:textId="56BD05ED"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109.982</w:t>
            </w:r>
          </w:p>
        </w:tc>
        <w:tc>
          <w:tcPr>
            <w:tcW w:w="1184" w:type="dxa"/>
            <w:shd w:val="clear" w:color="auto" w:fill="auto"/>
            <w:noWrap/>
            <w:vAlign w:val="bottom"/>
            <w:hideMark/>
          </w:tcPr>
          <w:p w14:paraId="12D79EAE" w14:textId="0E7EDE46"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125.608</w:t>
            </w:r>
          </w:p>
        </w:tc>
        <w:tc>
          <w:tcPr>
            <w:tcW w:w="1408" w:type="dxa"/>
            <w:shd w:val="clear" w:color="auto" w:fill="auto"/>
            <w:noWrap/>
            <w:vAlign w:val="bottom"/>
            <w:hideMark/>
          </w:tcPr>
          <w:p w14:paraId="74EF2BB6" w14:textId="10C59963"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100.774</w:t>
            </w:r>
          </w:p>
        </w:tc>
        <w:tc>
          <w:tcPr>
            <w:tcW w:w="745" w:type="dxa"/>
            <w:shd w:val="clear" w:color="auto" w:fill="auto"/>
            <w:noWrap/>
            <w:vAlign w:val="bottom"/>
            <w:hideMark/>
          </w:tcPr>
          <w:p w14:paraId="166CCF4B" w14:textId="416E859E"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92%</w:t>
            </w:r>
          </w:p>
        </w:tc>
        <w:tc>
          <w:tcPr>
            <w:tcW w:w="745" w:type="dxa"/>
            <w:shd w:val="clear" w:color="auto" w:fill="auto"/>
            <w:noWrap/>
            <w:vAlign w:val="bottom"/>
            <w:hideMark/>
          </w:tcPr>
          <w:p w14:paraId="6759328E" w14:textId="136B4FB8"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80%</w:t>
            </w:r>
          </w:p>
        </w:tc>
      </w:tr>
      <w:tr w:rsidR="009031F1" w:rsidRPr="00E0041E" w14:paraId="528DC423" w14:textId="77777777" w:rsidTr="009031F1">
        <w:trPr>
          <w:trHeight w:val="340"/>
        </w:trPr>
        <w:tc>
          <w:tcPr>
            <w:tcW w:w="738" w:type="dxa"/>
            <w:shd w:val="clear" w:color="auto" w:fill="auto"/>
            <w:noWrap/>
            <w:vAlign w:val="bottom"/>
            <w:hideMark/>
          </w:tcPr>
          <w:p w14:paraId="58AE147A"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1.2.3.4</w:t>
            </w:r>
          </w:p>
        </w:tc>
        <w:tc>
          <w:tcPr>
            <w:tcW w:w="2915" w:type="dxa"/>
            <w:shd w:val="clear" w:color="auto" w:fill="auto"/>
            <w:noWrap/>
            <w:vAlign w:val="bottom"/>
            <w:hideMark/>
          </w:tcPr>
          <w:p w14:paraId="29547E5D"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Održavanje UPOV/BAKLJA</w:t>
            </w:r>
          </w:p>
        </w:tc>
        <w:tc>
          <w:tcPr>
            <w:tcW w:w="1354" w:type="dxa"/>
            <w:shd w:val="clear" w:color="auto" w:fill="auto"/>
            <w:noWrap/>
            <w:vAlign w:val="bottom"/>
            <w:hideMark/>
          </w:tcPr>
          <w:p w14:paraId="29807ACC" w14:textId="5D7607AA"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11.421</w:t>
            </w:r>
          </w:p>
        </w:tc>
        <w:tc>
          <w:tcPr>
            <w:tcW w:w="1184" w:type="dxa"/>
            <w:shd w:val="clear" w:color="auto" w:fill="auto"/>
            <w:noWrap/>
            <w:vAlign w:val="bottom"/>
            <w:hideMark/>
          </w:tcPr>
          <w:p w14:paraId="40F3A2C0" w14:textId="6A2677FD"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color w:val="000000"/>
                <w:sz w:val="18"/>
                <w:szCs w:val="18"/>
              </w:rPr>
              <w:t>15.000</w:t>
            </w:r>
          </w:p>
        </w:tc>
        <w:tc>
          <w:tcPr>
            <w:tcW w:w="1408" w:type="dxa"/>
            <w:shd w:val="clear" w:color="auto" w:fill="auto"/>
            <w:noWrap/>
            <w:vAlign w:val="bottom"/>
            <w:hideMark/>
          </w:tcPr>
          <w:p w14:paraId="5DB773E5" w14:textId="0ED9C38F"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14.870</w:t>
            </w:r>
          </w:p>
        </w:tc>
        <w:tc>
          <w:tcPr>
            <w:tcW w:w="745" w:type="dxa"/>
            <w:shd w:val="clear" w:color="auto" w:fill="auto"/>
            <w:noWrap/>
            <w:vAlign w:val="bottom"/>
            <w:hideMark/>
          </w:tcPr>
          <w:p w14:paraId="61E5F15B" w14:textId="753FDDE7"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130%</w:t>
            </w:r>
          </w:p>
        </w:tc>
        <w:tc>
          <w:tcPr>
            <w:tcW w:w="745" w:type="dxa"/>
            <w:shd w:val="clear" w:color="auto" w:fill="auto"/>
            <w:noWrap/>
            <w:vAlign w:val="bottom"/>
            <w:hideMark/>
          </w:tcPr>
          <w:p w14:paraId="4D690FBE" w14:textId="20F2121F"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99%</w:t>
            </w:r>
          </w:p>
        </w:tc>
      </w:tr>
      <w:tr w:rsidR="009031F1" w:rsidRPr="00E0041E" w14:paraId="54A8C6CE" w14:textId="77777777" w:rsidTr="009031F1">
        <w:trPr>
          <w:trHeight w:val="340"/>
        </w:trPr>
        <w:tc>
          <w:tcPr>
            <w:tcW w:w="738" w:type="dxa"/>
            <w:shd w:val="clear" w:color="auto" w:fill="auto"/>
            <w:noWrap/>
            <w:vAlign w:val="bottom"/>
            <w:hideMark/>
          </w:tcPr>
          <w:p w14:paraId="23AA63EF"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1.2.3.5</w:t>
            </w:r>
          </w:p>
        </w:tc>
        <w:tc>
          <w:tcPr>
            <w:tcW w:w="2915" w:type="dxa"/>
            <w:shd w:val="clear" w:color="auto" w:fill="auto"/>
            <w:noWrap/>
            <w:vAlign w:val="bottom"/>
            <w:hideMark/>
          </w:tcPr>
          <w:p w14:paraId="5AC88CE8"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Održavanje AMP</w:t>
            </w:r>
          </w:p>
        </w:tc>
        <w:tc>
          <w:tcPr>
            <w:tcW w:w="1354" w:type="dxa"/>
            <w:shd w:val="clear" w:color="auto" w:fill="auto"/>
            <w:noWrap/>
            <w:vAlign w:val="bottom"/>
            <w:hideMark/>
          </w:tcPr>
          <w:p w14:paraId="5AD28C40" w14:textId="07A0D5AC"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24.130</w:t>
            </w:r>
          </w:p>
        </w:tc>
        <w:tc>
          <w:tcPr>
            <w:tcW w:w="1184" w:type="dxa"/>
            <w:shd w:val="clear" w:color="auto" w:fill="auto"/>
            <w:noWrap/>
            <w:vAlign w:val="bottom"/>
            <w:hideMark/>
          </w:tcPr>
          <w:p w14:paraId="5A5B69A3" w14:textId="527665DF"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26.420</w:t>
            </w:r>
          </w:p>
        </w:tc>
        <w:tc>
          <w:tcPr>
            <w:tcW w:w="1408" w:type="dxa"/>
            <w:shd w:val="clear" w:color="auto" w:fill="auto"/>
            <w:noWrap/>
            <w:vAlign w:val="bottom"/>
            <w:hideMark/>
          </w:tcPr>
          <w:p w14:paraId="7FF06BC0" w14:textId="5ABA47F4"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26.260</w:t>
            </w:r>
          </w:p>
        </w:tc>
        <w:tc>
          <w:tcPr>
            <w:tcW w:w="745" w:type="dxa"/>
            <w:shd w:val="clear" w:color="auto" w:fill="auto"/>
            <w:noWrap/>
            <w:vAlign w:val="bottom"/>
            <w:hideMark/>
          </w:tcPr>
          <w:p w14:paraId="4562A746" w14:textId="0F97E90C"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109%</w:t>
            </w:r>
          </w:p>
        </w:tc>
        <w:tc>
          <w:tcPr>
            <w:tcW w:w="745" w:type="dxa"/>
            <w:shd w:val="clear" w:color="auto" w:fill="auto"/>
            <w:noWrap/>
            <w:vAlign w:val="bottom"/>
            <w:hideMark/>
          </w:tcPr>
          <w:p w14:paraId="74B81273" w14:textId="5165451F"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99%</w:t>
            </w:r>
          </w:p>
        </w:tc>
      </w:tr>
      <w:tr w:rsidR="009031F1" w:rsidRPr="00E0041E" w14:paraId="3712953E" w14:textId="77777777" w:rsidTr="009031F1">
        <w:trPr>
          <w:trHeight w:val="340"/>
        </w:trPr>
        <w:tc>
          <w:tcPr>
            <w:tcW w:w="738" w:type="dxa"/>
            <w:shd w:val="clear" w:color="auto" w:fill="auto"/>
            <w:noWrap/>
            <w:vAlign w:val="bottom"/>
            <w:hideMark/>
          </w:tcPr>
          <w:p w14:paraId="56489D0F" w14:textId="486F3EA3"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1.2.3.</w:t>
            </w:r>
            <w:r w:rsidR="0065619C">
              <w:rPr>
                <w:rFonts w:eastAsia="Times New Roman" w:cstheme="minorHAnsi"/>
                <w:sz w:val="18"/>
                <w:szCs w:val="18"/>
                <w:lang w:eastAsia="hr-HR"/>
              </w:rPr>
              <w:t>6</w:t>
            </w:r>
          </w:p>
        </w:tc>
        <w:tc>
          <w:tcPr>
            <w:tcW w:w="2915" w:type="dxa"/>
            <w:shd w:val="clear" w:color="auto" w:fill="auto"/>
            <w:noWrap/>
            <w:vAlign w:val="bottom"/>
            <w:hideMark/>
          </w:tcPr>
          <w:p w14:paraId="3ABE2BE1" w14:textId="77777777" w:rsidR="009031F1" w:rsidRPr="001D2B14" w:rsidRDefault="009031F1" w:rsidP="009031F1">
            <w:pPr>
              <w:spacing w:before="120" w:after="0" w:line="240" w:lineRule="auto"/>
              <w:rPr>
                <w:rFonts w:eastAsia="Times New Roman" w:cstheme="minorHAnsi"/>
                <w:sz w:val="18"/>
                <w:szCs w:val="18"/>
                <w:lang w:eastAsia="hr-HR"/>
              </w:rPr>
            </w:pPr>
            <w:r w:rsidRPr="001D2B14">
              <w:rPr>
                <w:rFonts w:eastAsia="Times New Roman" w:cstheme="minorHAnsi"/>
                <w:sz w:val="18"/>
                <w:szCs w:val="18"/>
                <w:lang w:eastAsia="hr-HR"/>
              </w:rPr>
              <w:t>Tekuće održavanje - ostalo</w:t>
            </w:r>
          </w:p>
        </w:tc>
        <w:tc>
          <w:tcPr>
            <w:tcW w:w="1354" w:type="dxa"/>
            <w:shd w:val="clear" w:color="auto" w:fill="auto"/>
            <w:noWrap/>
            <w:vAlign w:val="bottom"/>
            <w:hideMark/>
          </w:tcPr>
          <w:p w14:paraId="2CA63201" w14:textId="32E1EE4A"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26.412</w:t>
            </w:r>
          </w:p>
        </w:tc>
        <w:tc>
          <w:tcPr>
            <w:tcW w:w="1184" w:type="dxa"/>
            <w:shd w:val="clear" w:color="auto" w:fill="auto"/>
            <w:noWrap/>
            <w:vAlign w:val="bottom"/>
            <w:hideMark/>
          </w:tcPr>
          <w:p w14:paraId="7ED90CFA" w14:textId="4EEB830A"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33.168</w:t>
            </w:r>
          </w:p>
        </w:tc>
        <w:tc>
          <w:tcPr>
            <w:tcW w:w="1408" w:type="dxa"/>
            <w:shd w:val="clear" w:color="auto" w:fill="auto"/>
            <w:noWrap/>
            <w:vAlign w:val="bottom"/>
            <w:hideMark/>
          </w:tcPr>
          <w:p w14:paraId="67D3D0FF" w14:textId="2437A31D"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42.399</w:t>
            </w:r>
          </w:p>
        </w:tc>
        <w:tc>
          <w:tcPr>
            <w:tcW w:w="745" w:type="dxa"/>
            <w:shd w:val="clear" w:color="auto" w:fill="auto"/>
            <w:noWrap/>
            <w:vAlign w:val="bottom"/>
            <w:hideMark/>
          </w:tcPr>
          <w:p w14:paraId="4405C258" w14:textId="1B42B6C7"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161%</w:t>
            </w:r>
          </w:p>
        </w:tc>
        <w:tc>
          <w:tcPr>
            <w:tcW w:w="745" w:type="dxa"/>
            <w:shd w:val="clear" w:color="auto" w:fill="auto"/>
            <w:noWrap/>
            <w:vAlign w:val="bottom"/>
            <w:hideMark/>
          </w:tcPr>
          <w:p w14:paraId="2BFD7F8A" w14:textId="3CA07CA7" w:rsidR="009031F1" w:rsidRPr="009031F1" w:rsidRDefault="009031F1" w:rsidP="009031F1">
            <w:pPr>
              <w:spacing w:before="120" w:after="0" w:line="240" w:lineRule="auto"/>
              <w:jc w:val="center"/>
              <w:rPr>
                <w:rFonts w:eastAsia="Times New Roman" w:cstheme="minorHAnsi"/>
                <w:sz w:val="18"/>
                <w:szCs w:val="18"/>
                <w:lang w:eastAsia="hr-HR"/>
              </w:rPr>
            </w:pPr>
            <w:r w:rsidRPr="009031F1">
              <w:rPr>
                <w:rFonts w:ascii="Calibri" w:hAnsi="Calibri" w:cs="Calibri"/>
                <w:sz w:val="18"/>
                <w:szCs w:val="18"/>
              </w:rPr>
              <w:t>128%</w:t>
            </w:r>
          </w:p>
        </w:tc>
      </w:tr>
    </w:tbl>
    <w:p w14:paraId="7FA3BB90" w14:textId="77777777" w:rsidR="005C071F" w:rsidRDefault="005C071F" w:rsidP="008E4778">
      <w:pPr>
        <w:pStyle w:val="NoSpacing"/>
        <w:spacing w:line="360" w:lineRule="auto"/>
        <w:jc w:val="both"/>
      </w:pPr>
    </w:p>
    <w:p w14:paraId="47D1B671" w14:textId="4F97916E" w:rsidR="005C071F" w:rsidRPr="005C071F" w:rsidRDefault="005C071F" w:rsidP="008E4778">
      <w:pPr>
        <w:pStyle w:val="NoSpacing"/>
        <w:spacing w:line="360" w:lineRule="auto"/>
        <w:jc w:val="both"/>
      </w:pPr>
      <w:r w:rsidRPr="005C071F">
        <w:t>Troškovi tekućeg održavanja u 2024. godini realizirani su u iznosu od 884.806 eura, što je 17% više u odnosu na 2023. godinu, ali 14% manje u odnosu na rebalans plana.</w:t>
      </w:r>
      <w:r>
        <w:t xml:space="preserve"> Povećani su zbog održavanja </w:t>
      </w:r>
      <w:r w:rsidRPr="005C071F">
        <w:t xml:space="preserve"> MBO postrojenja (+30%)</w:t>
      </w:r>
      <w:r>
        <w:t xml:space="preserve"> o</w:t>
      </w:r>
      <w:r w:rsidRPr="005C071F">
        <w:t xml:space="preserve">dnosno održavanja opreme i strojeva koji nisu prethodno servisirani, kao </w:t>
      </w:r>
      <w:r>
        <w:t xml:space="preserve">i održavanja uređaja za pročišćavanje otpadnih voda (+30%) zbog sanacije spremnika efluenata. </w:t>
      </w:r>
    </w:p>
    <w:p w14:paraId="0929F32F" w14:textId="6C88D603" w:rsidR="005C071F" w:rsidRPr="005C071F" w:rsidRDefault="005C071F" w:rsidP="00040DD2">
      <w:pPr>
        <w:pStyle w:val="NoSpacing"/>
        <w:spacing w:line="360" w:lineRule="auto"/>
        <w:jc w:val="both"/>
      </w:pPr>
      <w:r w:rsidRPr="005C071F">
        <w:lastRenderedPageBreak/>
        <w:t>Održavanje AMP (+9%)</w:t>
      </w:r>
      <w:r w:rsidR="007C412B">
        <w:t xml:space="preserve"> povećano je zbog porasta cijene</w:t>
      </w:r>
      <w:r w:rsidR="001562C8">
        <w:t xml:space="preserve">. </w:t>
      </w:r>
      <w:r w:rsidRPr="005C071F">
        <w:t xml:space="preserve">Ostalo tekuće održavanje (+61%), </w:t>
      </w:r>
      <w:r w:rsidR="001562C8">
        <w:t>povećano je u najvećoj mjeri zbog nužnog  kemijskog čišćenja izmjenjivača topline,</w:t>
      </w:r>
    </w:p>
    <w:p w14:paraId="54719F92" w14:textId="77777777" w:rsidR="005C071F" w:rsidRPr="005C071F" w:rsidRDefault="005C071F" w:rsidP="00040DD2">
      <w:pPr>
        <w:pStyle w:val="NoSpacing"/>
        <w:spacing w:line="360" w:lineRule="auto"/>
        <w:jc w:val="both"/>
      </w:pPr>
      <w:r w:rsidRPr="005C071F">
        <w:t>S druge strane, održavanje transporta smanjeno je za 8%, kao i održavanje odlagališta (-38%), što je povezano s manjim opsegom radova u odnosu na prethodnu godinu.</w:t>
      </w:r>
    </w:p>
    <w:p w14:paraId="393CF6BB" w14:textId="3CD218F2" w:rsidR="00BD455D" w:rsidRPr="00F11041" w:rsidRDefault="005C071F" w:rsidP="00F11041">
      <w:pPr>
        <w:pStyle w:val="NoSpacing"/>
        <w:spacing w:line="360" w:lineRule="auto"/>
        <w:jc w:val="both"/>
      </w:pPr>
      <w:r w:rsidRPr="005C071F">
        <w:t>U odnosu na rebalans plana, najveća odstupanja zabilježena su kod MBO održavanja (-17%)</w:t>
      </w:r>
      <w:r w:rsidR="00040DD2">
        <w:t xml:space="preserve">, </w:t>
      </w:r>
      <w:r w:rsidRPr="005C071F">
        <w:t>održavanja transporta (-20%)</w:t>
      </w:r>
      <w:r w:rsidR="00040DD2">
        <w:t xml:space="preserve"> </w:t>
      </w:r>
      <w:r w:rsidR="00040DD2" w:rsidRPr="005C071F">
        <w:t xml:space="preserve">i </w:t>
      </w:r>
      <w:r w:rsidR="00040DD2">
        <w:t>ostalog tekućeg održavanja</w:t>
      </w:r>
      <w:r w:rsidR="00040DD2" w:rsidRPr="005C071F">
        <w:t xml:space="preserve"> (</w:t>
      </w:r>
      <w:r w:rsidR="00040DD2">
        <w:t>+</w:t>
      </w:r>
      <w:r w:rsidR="00040DD2" w:rsidRPr="005C071F">
        <w:t>2</w:t>
      </w:r>
      <w:r w:rsidR="00040DD2">
        <w:t>8</w:t>
      </w:r>
      <w:r w:rsidR="00040DD2" w:rsidRPr="005C071F">
        <w:t>%),</w:t>
      </w:r>
      <w:r w:rsidR="00040DD2">
        <w:t xml:space="preserve"> </w:t>
      </w:r>
      <w:r w:rsidRPr="005C071F">
        <w:t>dok su ostale stavke približno na planiranoj razini.</w:t>
      </w:r>
    </w:p>
    <w:p w14:paraId="276C716C" w14:textId="1D2A357C" w:rsidR="00BD455D" w:rsidRDefault="00BD455D" w:rsidP="005266B1">
      <w:pPr>
        <w:pStyle w:val="Caption"/>
        <w:spacing w:before="240" w:after="360"/>
        <w:rPr>
          <w:rFonts w:asciiTheme="minorHAnsi" w:hAnsiTheme="minorHAnsi" w:cstheme="minorHAnsi"/>
          <w:b w:val="0"/>
          <w:bCs w:val="0"/>
          <w:sz w:val="22"/>
          <w:szCs w:val="22"/>
        </w:rPr>
      </w:pPr>
      <w:bookmarkStart w:id="64" w:name="_Toc200366462"/>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24</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 xml:space="preserve">Usluge </w:t>
      </w:r>
      <w:r>
        <w:rPr>
          <w:rFonts w:asciiTheme="minorHAnsi" w:hAnsiTheme="minorHAnsi" w:cstheme="minorHAnsi"/>
          <w:b w:val="0"/>
          <w:bCs w:val="0"/>
          <w:sz w:val="22"/>
          <w:szCs w:val="22"/>
        </w:rPr>
        <w:t>održavanja i zaštite</w:t>
      </w:r>
      <w:bookmarkEnd w:id="64"/>
    </w:p>
    <w:tbl>
      <w:tblPr>
        <w:tblW w:w="9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8"/>
        <w:gridCol w:w="3221"/>
        <w:gridCol w:w="1247"/>
        <w:gridCol w:w="1247"/>
        <w:gridCol w:w="1247"/>
        <w:gridCol w:w="784"/>
        <w:gridCol w:w="737"/>
      </w:tblGrid>
      <w:tr w:rsidR="00F11041" w:rsidRPr="00F0123B" w14:paraId="74807365" w14:textId="77777777" w:rsidTr="00004731">
        <w:trPr>
          <w:trHeight w:val="624"/>
        </w:trPr>
        <w:tc>
          <w:tcPr>
            <w:tcW w:w="718" w:type="dxa"/>
            <w:tcBorders>
              <w:top w:val="single" w:sz="4" w:space="0" w:color="auto"/>
              <w:bottom w:val="single" w:sz="4" w:space="0" w:color="auto"/>
            </w:tcBorders>
            <w:shd w:val="clear" w:color="auto" w:fill="auto"/>
            <w:noWrap/>
            <w:vAlign w:val="center"/>
            <w:hideMark/>
          </w:tcPr>
          <w:p w14:paraId="06481002" w14:textId="77777777" w:rsidR="00F11041" w:rsidRPr="00F0123B" w:rsidRDefault="00F11041" w:rsidP="00F11041">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221" w:type="dxa"/>
            <w:tcBorders>
              <w:top w:val="single" w:sz="4" w:space="0" w:color="auto"/>
              <w:bottom w:val="single" w:sz="4" w:space="0" w:color="auto"/>
            </w:tcBorders>
            <w:shd w:val="clear" w:color="auto" w:fill="auto"/>
            <w:noWrap/>
            <w:vAlign w:val="center"/>
            <w:hideMark/>
          </w:tcPr>
          <w:p w14:paraId="159AD30D" w14:textId="77777777" w:rsidR="00F11041" w:rsidRPr="00F0123B" w:rsidRDefault="00F11041" w:rsidP="00F1104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6F9F67A5" w14:textId="3D0E7196" w:rsidR="00F11041" w:rsidRPr="00F0123B" w:rsidRDefault="00F11041" w:rsidP="00F1104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5158218C" w14:textId="1E786810" w:rsidR="00F11041" w:rsidRPr="00F0123B" w:rsidRDefault="00F11041" w:rsidP="00F11041">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3D0BD465" w14:textId="171FDF9C" w:rsidR="00F11041" w:rsidRPr="00F0123B" w:rsidRDefault="00F11041" w:rsidP="00F1104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84" w:type="dxa"/>
            <w:tcBorders>
              <w:top w:val="single" w:sz="4" w:space="0" w:color="auto"/>
              <w:bottom w:val="single" w:sz="4" w:space="0" w:color="auto"/>
            </w:tcBorders>
            <w:shd w:val="clear" w:color="auto" w:fill="auto"/>
            <w:noWrap/>
            <w:vAlign w:val="center"/>
            <w:hideMark/>
          </w:tcPr>
          <w:p w14:paraId="09E00D0C" w14:textId="77777777" w:rsidR="00F11041" w:rsidRPr="00F0123B" w:rsidRDefault="00F11041" w:rsidP="00F11041">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73613D7A" w14:textId="77777777" w:rsidR="00F11041" w:rsidRPr="00F0123B" w:rsidRDefault="00F11041" w:rsidP="00F11041">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BD455D" w:rsidRPr="00F0123B" w14:paraId="6C312600" w14:textId="77777777" w:rsidTr="00004731">
        <w:trPr>
          <w:trHeight w:val="58"/>
        </w:trPr>
        <w:tc>
          <w:tcPr>
            <w:tcW w:w="718" w:type="dxa"/>
            <w:tcBorders>
              <w:top w:val="single" w:sz="4" w:space="0" w:color="auto"/>
              <w:bottom w:val="single" w:sz="4" w:space="0" w:color="auto"/>
            </w:tcBorders>
            <w:shd w:val="clear" w:color="auto" w:fill="auto"/>
            <w:noWrap/>
            <w:vAlign w:val="bottom"/>
          </w:tcPr>
          <w:p w14:paraId="7ED7D01D"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1</w:t>
            </w:r>
          </w:p>
        </w:tc>
        <w:tc>
          <w:tcPr>
            <w:tcW w:w="3221" w:type="dxa"/>
            <w:tcBorders>
              <w:top w:val="single" w:sz="4" w:space="0" w:color="auto"/>
              <w:bottom w:val="single" w:sz="4" w:space="0" w:color="auto"/>
            </w:tcBorders>
            <w:shd w:val="clear" w:color="auto" w:fill="auto"/>
            <w:noWrap/>
            <w:vAlign w:val="bottom"/>
          </w:tcPr>
          <w:p w14:paraId="3857F46D"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2</w:t>
            </w:r>
          </w:p>
        </w:tc>
        <w:tc>
          <w:tcPr>
            <w:tcW w:w="1247" w:type="dxa"/>
            <w:tcBorders>
              <w:top w:val="single" w:sz="4" w:space="0" w:color="auto"/>
              <w:bottom w:val="single" w:sz="4" w:space="0" w:color="auto"/>
            </w:tcBorders>
            <w:shd w:val="clear" w:color="auto" w:fill="auto"/>
            <w:noWrap/>
            <w:vAlign w:val="bottom"/>
          </w:tcPr>
          <w:p w14:paraId="2148D83C"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3</w:t>
            </w:r>
          </w:p>
        </w:tc>
        <w:tc>
          <w:tcPr>
            <w:tcW w:w="1247" w:type="dxa"/>
            <w:tcBorders>
              <w:top w:val="single" w:sz="4" w:space="0" w:color="auto"/>
              <w:bottom w:val="single" w:sz="4" w:space="0" w:color="auto"/>
            </w:tcBorders>
            <w:shd w:val="clear" w:color="auto" w:fill="auto"/>
            <w:noWrap/>
            <w:vAlign w:val="bottom"/>
          </w:tcPr>
          <w:p w14:paraId="029C3916"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4</w:t>
            </w:r>
          </w:p>
        </w:tc>
        <w:tc>
          <w:tcPr>
            <w:tcW w:w="1247" w:type="dxa"/>
            <w:tcBorders>
              <w:top w:val="single" w:sz="4" w:space="0" w:color="auto"/>
              <w:bottom w:val="single" w:sz="4" w:space="0" w:color="auto"/>
            </w:tcBorders>
            <w:shd w:val="clear" w:color="auto" w:fill="auto"/>
            <w:noWrap/>
            <w:vAlign w:val="bottom"/>
          </w:tcPr>
          <w:p w14:paraId="3E46B8D0"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5</w:t>
            </w:r>
          </w:p>
        </w:tc>
        <w:tc>
          <w:tcPr>
            <w:tcW w:w="784" w:type="dxa"/>
            <w:tcBorders>
              <w:top w:val="single" w:sz="4" w:space="0" w:color="auto"/>
              <w:bottom w:val="single" w:sz="4" w:space="0" w:color="auto"/>
            </w:tcBorders>
            <w:shd w:val="clear" w:color="auto" w:fill="auto"/>
            <w:noWrap/>
            <w:vAlign w:val="bottom"/>
          </w:tcPr>
          <w:p w14:paraId="3A2CE9C5"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6</w:t>
            </w:r>
          </w:p>
        </w:tc>
        <w:tc>
          <w:tcPr>
            <w:tcW w:w="737" w:type="dxa"/>
            <w:tcBorders>
              <w:top w:val="single" w:sz="4" w:space="0" w:color="auto"/>
              <w:bottom w:val="single" w:sz="4" w:space="0" w:color="auto"/>
            </w:tcBorders>
            <w:shd w:val="clear" w:color="auto" w:fill="auto"/>
            <w:noWrap/>
            <w:vAlign w:val="bottom"/>
          </w:tcPr>
          <w:p w14:paraId="6810EBC0" w14:textId="77777777" w:rsidR="00BD455D" w:rsidRPr="008F7BA1" w:rsidRDefault="00BD455D" w:rsidP="008F7BA1">
            <w:pPr>
              <w:pStyle w:val="NoSpacing"/>
              <w:jc w:val="center"/>
              <w:rPr>
                <w:rStyle w:val="Strong"/>
                <w:b w:val="0"/>
                <w:bCs w:val="0"/>
                <w:i/>
                <w:iCs/>
                <w:color w:val="D9D9D9" w:themeColor="background1" w:themeShade="D9"/>
                <w:sz w:val="14"/>
                <w:szCs w:val="14"/>
              </w:rPr>
            </w:pPr>
            <w:r w:rsidRPr="008F7BA1">
              <w:rPr>
                <w:rStyle w:val="Strong"/>
                <w:b w:val="0"/>
                <w:bCs w:val="0"/>
                <w:i/>
                <w:iCs/>
                <w:color w:val="D9D9D9" w:themeColor="background1" w:themeShade="D9"/>
                <w:sz w:val="14"/>
                <w:szCs w:val="14"/>
              </w:rPr>
              <w:t>7</w:t>
            </w:r>
          </w:p>
        </w:tc>
      </w:tr>
      <w:tr w:rsidR="00F11041" w:rsidRPr="00F0123B" w14:paraId="3A9771FD" w14:textId="77777777" w:rsidTr="00657BBB">
        <w:trPr>
          <w:trHeight w:val="340"/>
        </w:trPr>
        <w:tc>
          <w:tcPr>
            <w:tcW w:w="718" w:type="dxa"/>
            <w:tcBorders>
              <w:top w:val="single" w:sz="4" w:space="0" w:color="auto"/>
            </w:tcBorders>
            <w:shd w:val="clear" w:color="auto" w:fill="auto"/>
            <w:noWrap/>
            <w:vAlign w:val="bottom"/>
            <w:hideMark/>
          </w:tcPr>
          <w:p w14:paraId="348BB481" w14:textId="77777777" w:rsidR="00F11041" w:rsidRPr="00802C63" w:rsidRDefault="00F11041" w:rsidP="00F11041">
            <w:pPr>
              <w:spacing w:before="120" w:after="0" w:line="240" w:lineRule="auto"/>
              <w:rPr>
                <w:rFonts w:eastAsia="Times New Roman" w:cstheme="minorHAnsi"/>
                <w:b/>
                <w:bCs/>
                <w:sz w:val="18"/>
                <w:szCs w:val="18"/>
                <w:lang w:eastAsia="hr-HR"/>
              </w:rPr>
            </w:pPr>
            <w:r w:rsidRPr="00802C63">
              <w:rPr>
                <w:rFonts w:eastAsia="Times New Roman" w:cstheme="minorHAnsi"/>
                <w:b/>
                <w:bCs/>
                <w:sz w:val="18"/>
                <w:szCs w:val="18"/>
                <w:lang w:eastAsia="hr-HR"/>
              </w:rPr>
              <w:t>1.2.4</w:t>
            </w:r>
          </w:p>
        </w:tc>
        <w:tc>
          <w:tcPr>
            <w:tcW w:w="3221" w:type="dxa"/>
            <w:tcBorders>
              <w:top w:val="single" w:sz="4" w:space="0" w:color="auto"/>
            </w:tcBorders>
            <w:shd w:val="clear" w:color="auto" w:fill="auto"/>
            <w:noWrap/>
            <w:vAlign w:val="bottom"/>
            <w:hideMark/>
          </w:tcPr>
          <w:p w14:paraId="6E987EEB" w14:textId="77777777" w:rsidR="00F11041" w:rsidRPr="00802C63" w:rsidRDefault="00F11041" w:rsidP="00F11041">
            <w:pPr>
              <w:spacing w:before="120" w:after="0" w:line="240" w:lineRule="auto"/>
              <w:rPr>
                <w:rFonts w:eastAsia="Times New Roman" w:cstheme="minorHAnsi"/>
                <w:b/>
                <w:bCs/>
                <w:sz w:val="18"/>
                <w:szCs w:val="18"/>
                <w:lang w:eastAsia="hr-HR"/>
              </w:rPr>
            </w:pPr>
            <w:r w:rsidRPr="00802C63">
              <w:rPr>
                <w:rFonts w:eastAsia="Times New Roman" w:cstheme="minorHAnsi"/>
                <w:b/>
                <w:bCs/>
                <w:sz w:val="18"/>
                <w:szCs w:val="18"/>
                <w:lang w:eastAsia="hr-HR"/>
              </w:rPr>
              <w:t xml:space="preserve">Usluge održavanja i zaštite </w:t>
            </w:r>
          </w:p>
        </w:tc>
        <w:tc>
          <w:tcPr>
            <w:tcW w:w="1247" w:type="dxa"/>
            <w:tcBorders>
              <w:top w:val="single" w:sz="4" w:space="0" w:color="auto"/>
            </w:tcBorders>
            <w:shd w:val="clear" w:color="auto" w:fill="auto"/>
            <w:noWrap/>
            <w:vAlign w:val="bottom"/>
            <w:hideMark/>
          </w:tcPr>
          <w:p w14:paraId="6B49F734" w14:textId="51D89F96" w:rsidR="00F11041" w:rsidRPr="00F11041" w:rsidRDefault="00F11041" w:rsidP="00F11041">
            <w:pPr>
              <w:spacing w:before="120" w:after="0" w:line="240" w:lineRule="auto"/>
              <w:jc w:val="center"/>
              <w:rPr>
                <w:rFonts w:eastAsia="Times New Roman" w:cstheme="minorHAnsi"/>
                <w:b/>
                <w:bCs/>
                <w:sz w:val="18"/>
                <w:szCs w:val="18"/>
                <w:lang w:eastAsia="hr-HR"/>
              </w:rPr>
            </w:pPr>
            <w:r w:rsidRPr="00F11041">
              <w:rPr>
                <w:rFonts w:ascii="Calibri" w:hAnsi="Calibri" w:cs="Calibri"/>
                <w:b/>
                <w:bCs/>
                <w:sz w:val="18"/>
                <w:szCs w:val="18"/>
              </w:rPr>
              <w:t>128.430</w:t>
            </w:r>
          </w:p>
        </w:tc>
        <w:tc>
          <w:tcPr>
            <w:tcW w:w="1247" w:type="dxa"/>
            <w:tcBorders>
              <w:top w:val="single" w:sz="4" w:space="0" w:color="auto"/>
            </w:tcBorders>
            <w:shd w:val="clear" w:color="auto" w:fill="auto"/>
            <w:noWrap/>
            <w:vAlign w:val="bottom"/>
            <w:hideMark/>
          </w:tcPr>
          <w:p w14:paraId="0F9D6D38" w14:textId="074F0483" w:rsidR="00F11041" w:rsidRPr="00F11041" w:rsidRDefault="00F11041" w:rsidP="00F11041">
            <w:pPr>
              <w:spacing w:before="120" w:after="0" w:line="240" w:lineRule="auto"/>
              <w:jc w:val="center"/>
              <w:rPr>
                <w:rFonts w:eastAsia="Times New Roman" w:cstheme="minorHAnsi"/>
                <w:b/>
                <w:bCs/>
                <w:sz w:val="18"/>
                <w:szCs w:val="18"/>
                <w:lang w:eastAsia="hr-HR"/>
              </w:rPr>
            </w:pPr>
            <w:r w:rsidRPr="00F11041">
              <w:rPr>
                <w:rFonts w:ascii="Calibri" w:hAnsi="Calibri" w:cs="Calibri"/>
                <w:b/>
                <w:bCs/>
                <w:sz w:val="18"/>
                <w:szCs w:val="18"/>
              </w:rPr>
              <w:t>146.888</w:t>
            </w:r>
          </w:p>
        </w:tc>
        <w:tc>
          <w:tcPr>
            <w:tcW w:w="1247" w:type="dxa"/>
            <w:tcBorders>
              <w:top w:val="single" w:sz="4" w:space="0" w:color="auto"/>
            </w:tcBorders>
            <w:shd w:val="clear" w:color="auto" w:fill="auto"/>
            <w:noWrap/>
            <w:vAlign w:val="bottom"/>
            <w:hideMark/>
          </w:tcPr>
          <w:p w14:paraId="2573C367" w14:textId="5045300A" w:rsidR="00F11041" w:rsidRPr="00F11041" w:rsidRDefault="00F11041" w:rsidP="00F11041">
            <w:pPr>
              <w:spacing w:before="120" w:after="0" w:line="240" w:lineRule="auto"/>
              <w:jc w:val="center"/>
              <w:rPr>
                <w:rFonts w:eastAsia="Times New Roman" w:cstheme="minorHAnsi"/>
                <w:b/>
                <w:bCs/>
                <w:sz w:val="18"/>
                <w:szCs w:val="18"/>
                <w:lang w:eastAsia="hr-HR"/>
              </w:rPr>
            </w:pPr>
            <w:r w:rsidRPr="00F11041">
              <w:rPr>
                <w:rFonts w:ascii="Calibri" w:hAnsi="Calibri" w:cs="Calibri"/>
                <w:b/>
                <w:bCs/>
                <w:sz w:val="18"/>
                <w:szCs w:val="18"/>
              </w:rPr>
              <w:t>147.221</w:t>
            </w:r>
          </w:p>
        </w:tc>
        <w:tc>
          <w:tcPr>
            <w:tcW w:w="784" w:type="dxa"/>
            <w:tcBorders>
              <w:top w:val="single" w:sz="4" w:space="0" w:color="auto"/>
            </w:tcBorders>
            <w:shd w:val="clear" w:color="auto" w:fill="auto"/>
            <w:noWrap/>
            <w:vAlign w:val="bottom"/>
            <w:hideMark/>
          </w:tcPr>
          <w:p w14:paraId="651C19E3" w14:textId="7AFD7C3F" w:rsidR="00F11041" w:rsidRPr="00F11041" w:rsidRDefault="00F11041" w:rsidP="00F11041">
            <w:pPr>
              <w:spacing w:before="120" w:after="0" w:line="240" w:lineRule="auto"/>
              <w:jc w:val="center"/>
              <w:rPr>
                <w:rFonts w:eastAsia="Times New Roman" w:cstheme="minorHAnsi"/>
                <w:b/>
                <w:bCs/>
                <w:sz w:val="18"/>
                <w:szCs w:val="18"/>
                <w:lang w:eastAsia="hr-HR"/>
              </w:rPr>
            </w:pPr>
            <w:r w:rsidRPr="00F11041">
              <w:rPr>
                <w:rFonts w:ascii="Calibri" w:hAnsi="Calibri" w:cs="Calibri"/>
                <w:b/>
                <w:bCs/>
                <w:sz w:val="18"/>
                <w:szCs w:val="18"/>
              </w:rPr>
              <w:t>115%</w:t>
            </w:r>
          </w:p>
        </w:tc>
        <w:tc>
          <w:tcPr>
            <w:tcW w:w="737" w:type="dxa"/>
            <w:tcBorders>
              <w:top w:val="single" w:sz="4" w:space="0" w:color="auto"/>
            </w:tcBorders>
            <w:shd w:val="clear" w:color="auto" w:fill="auto"/>
            <w:noWrap/>
            <w:vAlign w:val="bottom"/>
            <w:hideMark/>
          </w:tcPr>
          <w:p w14:paraId="021A00A5" w14:textId="0089ED5D" w:rsidR="00F11041" w:rsidRPr="00F11041" w:rsidRDefault="00F11041" w:rsidP="00F11041">
            <w:pPr>
              <w:spacing w:before="120" w:after="0" w:line="240" w:lineRule="auto"/>
              <w:jc w:val="center"/>
              <w:rPr>
                <w:rFonts w:eastAsia="Times New Roman" w:cstheme="minorHAnsi"/>
                <w:b/>
                <w:bCs/>
                <w:sz w:val="18"/>
                <w:szCs w:val="18"/>
                <w:lang w:eastAsia="hr-HR"/>
              </w:rPr>
            </w:pPr>
            <w:r w:rsidRPr="00F11041">
              <w:rPr>
                <w:rFonts w:ascii="Calibri" w:hAnsi="Calibri" w:cs="Calibri"/>
                <w:b/>
                <w:bCs/>
                <w:sz w:val="18"/>
                <w:szCs w:val="18"/>
              </w:rPr>
              <w:t>100%</w:t>
            </w:r>
          </w:p>
        </w:tc>
      </w:tr>
      <w:tr w:rsidR="00F11041" w:rsidRPr="00F0123B" w14:paraId="72D10DCD" w14:textId="77777777" w:rsidTr="00657BBB">
        <w:trPr>
          <w:trHeight w:val="340"/>
        </w:trPr>
        <w:tc>
          <w:tcPr>
            <w:tcW w:w="718" w:type="dxa"/>
            <w:shd w:val="clear" w:color="auto" w:fill="auto"/>
            <w:noWrap/>
            <w:vAlign w:val="bottom"/>
            <w:hideMark/>
          </w:tcPr>
          <w:p w14:paraId="5EFCCBA8"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1.2.4.1</w:t>
            </w:r>
          </w:p>
        </w:tc>
        <w:tc>
          <w:tcPr>
            <w:tcW w:w="3221" w:type="dxa"/>
            <w:shd w:val="clear" w:color="auto" w:fill="auto"/>
            <w:noWrap/>
            <w:vAlign w:val="bottom"/>
            <w:hideMark/>
          </w:tcPr>
          <w:p w14:paraId="231DC739" w14:textId="45446968"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Usluge čišćenja prostora</w:t>
            </w:r>
          </w:p>
        </w:tc>
        <w:tc>
          <w:tcPr>
            <w:tcW w:w="1247" w:type="dxa"/>
            <w:shd w:val="clear" w:color="auto" w:fill="auto"/>
            <w:noWrap/>
            <w:vAlign w:val="bottom"/>
            <w:hideMark/>
          </w:tcPr>
          <w:p w14:paraId="48708B5B" w14:textId="7D706E88"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22.077</w:t>
            </w:r>
          </w:p>
        </w:tc>
        <w:tc>
          <w:tcPr>
            <w:tcW w:w="1247" w:type="dxa"/>
            <w:shd w:val="clear" w:color="auto" w:fill="auto"/>
            <w:noWrap/>
            <w:vAlign w:val="bottom"/>
            <w:hideMark/>
          </w:tcPr>
          <w:p w14:paraId="209EFDFF" w14:textId="7BDEC523"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27.039</w:t>
            </w:r>
          </w:p>
        </w:tc>
        <w:tc>
          <w:tcPr>
            <w:tcW w:w="1247" w:type="dxa"/>
            <w:shd w:val="clear" w:color="auto" w:fill="auto"/>
            <w:noWrap/>
            <w:vAlign w:val="bottom"/>
            <w:hideMark/>
          </w:tcPr>
          <w:p w14:paraId="0E82F49C" w14:textId="5C1048AA"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27.039</w:t>
            </w:r>
          </w:p>
        </w:tc>
        <w:tc>
          <w:tcPr>
            <w:tcW w:w="784" w:type="dxa"/>
            <w:shd w:val="clear" w:color="auto" w:fill="auto"/>
            <w:noWrap/>
            <w:vAlign w:val="bottom"/>
            <w:hideMark/>
          </w:tcPr>
          <w:p w14:paraId="50EEB766" w14:textId="2F130597"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122%</w:t>
            </w:r>
          </w:p>
        </w:tc>
        <w:tc>
          <w:tcPr>
            <w:tcW w:w="737" w:type="dxa"/>
            <w:shd w:val="clear" w:color="auto" w:fill="auto"/>
            <w:noWrap/>
            <w:vAlign w:val="bottom"/>
            <w:hideMark/>
          </w:tcPr>
          <w:p w14:paraId="70FE9CC4" w14:textId="75960B0B"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r>
      <w:tr w:rsidR="00F11041" w:rsidRPr="00F0123B" w14:paraId="660EB74F" w14:textId="77777777" w:rsidTr="00657BBB">
        <w:trPr>
          <w:trHeight w:val="340"/>
        </w:trPr>
        <w:tc>
          <w:tcPr>
            <w:tcW w:w="718" w:type="dxa"/>
            <w:shd w:val="clear" w:color="auto" w:fill="auto"/>
            <w:noWrap/>
            <w:vAlign w:val="bottom"/>
            <w:hideMark/>
          </w:tcPr>
          <w:p w14:paraId="590B6263"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1.2.4.2</w:t>
            </w:r>
          </w:p>
        </w:tc>
        <w:tc>
          <w:tcPr>
            <w:tcW w:w="3221" w:type="dxa"/>
            <w:shd w:val="clear" w:color="auto" w:fill="auto"/>
            <w:noWrap/>
            <w:vAlign w:val="bottom"/>
            <w:hideMark/>
          </w:tcPr>
          <w:p w14:paraId="24CA65FB" w14:textId="55919E63"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Održavanje softvera,</w:t>
            </w:r>
            <w:r w:rsidR="001D4945">
              <w:rPr>
                <w:rFonts w:ascii="Calibri" w:hAnsi="Calibri" w:cs="Calibri"/>
                <w:color w:val="000000"/>
                <w:sz w:val="18"/>
                <w:szCs w:val="18"/>
              </w:rPr>
              <w:t xml:space="preserve"> </w:t>
            </w:r>
            <w:r w:rsidRPr="00F11041">
              <w:rPr>
                <w:rFonts w:ascii="Calibri" w:hAnsi="Calibri" w:cs="Calibri"/>
                <w:color w:val="000000"/>
                <w:sz w:val="18"/>
                <w:szCs w:val="18"/>
              </w:rPr>
              <w:t>hardvera</w:t>
            </w:r>
            <w:r w:rsidR="001D4945">
              <w:rPr>
                <w:rFonts w:ascii="Calibri" w:hAnsi="Calibri" w:cs="Calibri"/>
                <w:color w:val="000000"/>
                <w:sz w:val="18"/>
                <w:szCs w:val="18"/>
              </w:rPr>
              <w:t>, web-a</w:t>
            </w:r>
          </w:p>
        </w:tc>
        <w:tc>
          <w:tcPr>
            <w:tcW w:w="1247" w:type="dxa"/>
            <w:shd w:val="clear" w:color="auto" w:fill="auto"/>
            <w:noWrap/>
            <w:vAlign w:val="bottom"/>
            <w:hideMark/>
          </w:tcPr>
          <w:p w14:paraId="03B704E3" w14:textId="666090A8"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16.957</w:t>
            </w:r>
          </w:p>
        </w:tc>
        <w:tc>
          <w:tcPr>
            <w:tcW w:w="1247" w:type="dxa"/>
            <w:shd w:val="clear" w:color="auto" w:fill="auto"/>
            <w:noWrap/>
            <w:vAlign w:val="bottom"/>
            <w:hideMark/>
          </w:tcPr>
          <w:p w14:paraId="1F431C82" w14:textId="3C25769A"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13.125</w:t>
            </w:r>
          </w:p>
        </w:tc>
        <w:tc>
          <w:tcPr>
            <w:tcW w:w="1247" w:type="dxa"/>
            <w:shd w:val="clear" w:color="auto" w:fill="auto"/>
            <w:noWrap/>
            <w:vAlign w:val="bottom"/>
            <w:hideMark/>
          </w:tcPr>
          <w:p w14:paraId="6CA968DD" w14:textId="38078E87"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13.925</w:t>
            </w:r>
          </w:p>
        </w:tc>
        <w:tc>
          <w:tcPr>
            <w:tcW w:w="784" w:type="dxa"/>
            <w:shd w:val="clear" w:color="auto" w:fill="auto"/>
            <w:noWrap/>
            <w:vAlign w:val="bottom"/>
            <w:hideMark/>
          </w:tcPr>
          <w:p w14:paraId="3A28C49F" w14:textId="630F1059"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82%</w:t>
            </w:r>
          </w:p>
        </w:tc>
        <w:tc>
          <w:tcPr>
            <w:tcW w:w="737" w:type="dxa"/>
            <w:shd w:val="clear" w:color="auto" w:fill="auto"/>
            <w:noWrap/>
            <w:vAlign w:val="bottom"/>
            <w:hideMark/>
          </w:tcPr>
          <w:p w14:paraId="490BD59D" w14:textId="30FD943F"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106%</w:t>
            </w:r>
          </w:p>
        </w:tc>
      </w:tr>
      <w:tr w:rsidR="00F11041" w:rsidRPr="00F0123B" w14:paraId="2C9D20CF" w14:textId="77777777" w:rsidTr="00657BBB">
        <w:trPr>
          <w:trHeight w:val="340"/>
        </w:trPr>
        <w:tc>
          <w:tcPr>
            <w:tcW w:w="718" w:type="dxa"/>
            <w:shd w:val="clear" w:color="auto" w:fill="auto"/>
            <w:noWrap/>
            <w:vAlign w:val="bottom"/>
            <w:hideMark/>
          </w:tcPr>
          <w:p w14:paraId="5D9B3248"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1.2.4.3</w:t>
            </w:r>
          </w:p>
        </w:tc>
        <w:tc>
          <w:tcPr>
            <w:tcW w:w="3221" w:type="dxa"/>
            <w:shd w:val="clear" w:color="auto" w:fill="auto"/>
            <w:noWrap/>
            <w:vAlign w:val="bottom"/>
            <w:hideMark/>
          </w:tcPr>
          <w:p w14:paraId="25E4D32B" w14:textId="435112E4"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Licenca i održavanje Farosa (ERP)</w:t>
            </w:r>
          </w:p>
        </w:tc>
        <w:tc>
          <w:tcPr>
            <w:tcW w:w="1247" w:type="dxa"/>
            <w:shd w:val="clear" w:color="auto" w:fill="auto"/>
            <w:noWrap/>
            <w:vAlign w:val="bottom"/>
            <w:hideMark/>
          </w:tcPr>
          <w:p w14:paraId="5685D862" w14:textId="58700033"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14.280</w:t>
            </w:r>
          </w:p>
        </w:tc>
        <w:tc>
          <w:tcPr>
            <w:tcW w:w="1247" w:type="dxa"/>
            <w:shd w:val="clear" w:color="auto" w:fill="auto"/>
            <w:noWrap/>
            <w:vAlign w:val="bottom"/>
            <w:hideMark/>
          </w:tcPr>
          <w:p w14:paraId="67CB178B" w14:textId="20555E1A"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16.307</w:t>
            </w:r>
          </w:p>
        </w:tc>
        <w:tc>
          <w:tcPr>
            <w:tcW w:w="1247" w:type="dxa"/>
            <w:shd w:val="clear" w:color="auto" w:fill="auto"/>
            <w:noWrap/>
            <w:vAlign w:val="bottom"/>
            <w:hideMark/>
          </w:tcPr>
          <w:p w14:paraId="75531792" w14:textId="7436BE41"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16.307</w:t>
            </w:r>
          </w:p>
        </w:tc>
        <w:tc>
          <w:tcPr>
            <w:tcW w:w="784" w:type="dxa"/>
            <w:shd w:val="clear" w:color="auto" w:fill="auto"/>
            <w:noWrap/>
            <w:vAlign w:val="bottom"/>
            <w:hideMark/>
          </w:tcPr>
          <w:p w14:paraId="0FBC2158" w14:textId="3C5C6A81"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114%</w:t>
            </w:r>
          </w:p>
        </w:tc>
        <w:tc>
          <w:tcPr>
            <w:tcW w:w="737" w:type="dxa"/>
            <w:shd w:val="clear" w:color="auto" w:fill="auto"/>
            <w:noWrap/>
            <w:vAlign w:val="bottom"/>
            <w:hideMark/>
          </w:tcPr>
          <w:p w14:paraId="3F57F6A0" w14:textId="72A8AD9C"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r>
      <w:tr w:rsidR="00F11041" w:rsidRPr="00F0123B" w14:paraId="1BD50924" w14:textId="77777777" w:rsidTr="00657BBB">
        <w:trPr>
          <w:trHeight w:val="340"/>
        </w:trPr>
        <w:tc>
          <w:tcPr>
            <w:tcW w:w="718" w:type="dxa"/>
            <w:shd w:val="clear" w:color="auto" w:fill="auto"/>
            <w:noWrap/>
            <w:vAlign w:val="bottom"/>
            <w:hideMark/>
          </w:tcPr>
          <w:p w14:paraId="23006005"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1.2.4.4</w:t>
            </w:r>
          </w:p>
        </w:tc>
        <w:tc>
          <w:tcPr>
            <w:tcW w:w="3221" w:type="dxa"/>
            <w:shd w:val="clear" w:color="auto" w:fill="auto"/>
            <w:noWrap/>
            <w:vAlign w:val="bottom"/>
            <w:hideMark/>
          </w:tcPr>
          <w:p w14:paraId="607069D8" w14:textId="6F80644C"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 xml:space="preserve">Aplikacija za gospodarenje otpadom </w:t>
            </w:r>
          </w:p>
        </w:tc>
        <w:tc>
          <w:tcPr>
            <w:tcW w:w="1247" w:type="dxa"/>
            <w:shd w:val="clear" w:color="auto" w:fill="auto"/>
            <w:noWrap/>
            <w:vAlign w:val="bottom"/>
            <w:hideMark/>
          </w:tcPr>
          <w:p w14:paraId="53996EFD" w14:textId="7DBFE446"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18.794</w:t>
            </w:r>
          </w:p>
        </w:tc>
        <w:tc>
          <w:tcPr>
            <w:tcW w:w="1247" w:type="dxa"/>
            <w:shd w:val="clear" w:color="auto" w:fill="auto"/>
            <w:noWrap/>
            <w:vAlign w:val="bottom"/>
            <w:hideMark/>
          </w:tcPr>
          <w:p w14:paraId="4043D2DA" w14:textId="73C353CE"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18.794</w:t>
            </w:r>
          </w:p>
        </w:tc>
        <w:tc>
          <w:tcPr>
            <w:tcW w:w="1247" w:type="dxa"/>
            <w:shd w:val="clear" w:color="auto" w:fill="auto"/>
            <w:noWrap/>
            <w:vAlign w:val="bottom"/>
            <w:hideMark/>
          </w:tcPr>
          <w:p w14:paraId="04FCC11A" w14:textId="7E8B4FB1"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18.794</w:t>
            </w:r>
          </w:p>
        </w:tc>
        <w:tc>
          <w:tcPr>
            <w:tcW w:w="784" w:type="dxa"/>
            <w:shd w:val="clear" w:color="auto" w:fill="auto"/>
            <w:noWrap/>
            <w:vAlign w:val="bottom"/>
            <w:hideMark/>
          </w:tcPr>
          <w:p w14:paraId="6F88B5FE" w14:textId="78BE2217"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c>
          <w:tcPr>
            <w:tcW w:w="737" w:type="dxa"/>
            <w:shd w:val="clear" w:color="auto" w:fill="auto"/>
            <w:noWrap/>
            <w:vAlign w:val="bottom"/>
            <w:hideMark/>
          </w:tcPr>
          <w:p w14:paraId="6ABAD046" w14:textId="6CE2EAD4"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r>
      <w:tr w:rsidR="00F11041" w:rsidRPr="00F0123B" w14:paraId="58152B70" w14:textId="77777777" w:rsidTr="00657BBB">
        <w:trPr>
          <w:trHeight w:val="340"/>
        </w:trPr>
        <w:tc>
          <w:tcPr>
            <w:tcW w:w="718" w:type="dxa"/>
            <w:shd w:val="clear" w:color="auto" w:fill="auto"/>
            <w:noWrap/>
            <w:vAlign w:val="bottom"/>
            <w:hideMark/>
          </w:tcPr>
          <w:p w14:paraId="56CC5948"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1.2.4.5</w:t>
            </w:r>
          </w:p>
        </w:tc>
        <w:tc>
          <w:tcPr>
            <w:tcW w:w="3221" w:type="dxa"/>
            <w:shd w:val="clear" w:color="auto" w:fill="auto"/>
            <w:noWrap/>
            <w:vAlign w:val="bottom"/>
            <w:hideMark/>
          </w:tcPr>
          <w:p w14:paraId="788A09A0" w14:textId="1FD3AD7A"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Aplikacija za sustav održavanja</w:t>
            </w:r>
          </w:p>
        </w:tc>
        <w:tc>
          <w:tcPr>
            <w:tcW w:w="1247" w:type="dxa"/>
            <w:shd w:val="clear" w:color="auto" w:fill="auto"/>
            <w:noWrap/>
            <w:vAlign w:val="bottom"/>
            <w:hideMark/>
          </w:tcPr>
          <w:p w14:paraId="62A04399" w14:textId="365DD0E3"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0</w:t>
            </w:r>
          </w:p>
        </w:tc>
        <w:tc>
          <w:tcPr>
            <w:tcW w:w="1247" w:type="dxa"/>
            <w:shd w:val="clear" w:color="auto" w:fill="auto"/>
            <w:noWrap/>
            <w:vAlign w:val="bottom"/>
            <w:hideMark/>
          </w:tcPr>
          <w:p w14:paraId="394E23D1" w14:textId="123D18A8"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5.528</w:t>
            </w:r>
          </w:p>
        </w:tc>
        <w:tc>
          <w:tcPr>
            <w:tcW w:w="1247" w:type="dxa"/>
            <w:shd w:val="clear" w:color="auto" w:fill="auto"/>
            <w:noWrap/>
            <w:vAlign w:val="bottom"/>
            <w:hideMark/>
          </w:tcPr>
          <w:p w14:paraId="05C0DD99" w14:textId="6ED7C21B"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5.528</w:t>
            </w:r>
          </w:p>
        </w:tc>
        <w:tc>
          <w:tcPr>
            <w:tcW w:w="784" w:type="dxa"/>
            <w:shd w:val="clear" w:color="auto" w:fill="auto"/>
            <w:noWrap/>
            <w:vAlign w:val="bottom"/>
            <w:hideMark/>
          </w:tcPr>
          <w:p w14:paraId="5301F3CC" w14:textId="730D0609" w:rsidR="00F11041" w:rsidRPr="00F11041" w:rsidRDefault="008E4778" w:rsidP="00F11041">
            <w:pPr>
              <w:spacing w:before="120" w:after="0" w:line="240" w:lineRule="auto"/>
              <w:jc w:val="center"/>
              <w:rPr>
                <w:rFonts w:eastAsia="Times New Roman" w:cstheme="minorHAnsi"/>
                <w:sz w:val="18"/>
                <w:szCs w:val="18"/>
                <w:lang w:eastAsia="hr-HR"/>
              </w:rPr>
            </w:pPr>
            <w:r>
              <w:rPr>
                <w:rFonts w:ascii="Calibri" w:hAnsi="Calibri" w:cs="Calibri"/>
                <w:sz w:val="18"/>
                <w:szCs w:val="18"/>
              </w:rPr>
              <w:t>0%</w:t>
            </w:r>
          </w:p>
        </w:tc>
        <w:tc>
          <w:tcPr>
            <w:tcW w:w="737" w:type="dxa"/>
            <w:shd w:val="clear" w:color="auto" w:fill="auto"/>
            <w:noWrap/>
            <w:vAlign w:val="bottom"/>
            <w:hideMark/>
          </w:tcPr>
          <w:p w14:paraId="0CF2C250" w14:textId="3E20BEF8"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r>
      <w:tr w:rsidR="00F11041" w:rsidRPr="00F0123B" w14:paraId="5393BAC9" w14:textId="77777777" w:rsidTr="00657BBB">
        <w:trPr>
          <w:trHeight w:val="340"/>
        </w:trPr>
        <w:tc>
          <w:tcPr>
            <w:tcW w:w="718" w:type="dxa"/>
            <w:shd w:val="clear" w:color="auto" w:fill="auto"/>
            <w:noWrap/>
            <w:vAlign w:val="bottom"/>
            <w:hideMark/>
          </w:tcPr>
          <w:p w14:paraId="3F304041"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1.2.4.6</w:t>
            </w:r>
          </w:p>
        </w:tc>
        <w:tc>
          <w:tcPr>
            <w:tcW w:w="3221" w:type="dxa"/>
            <w:shd w:val="clear" w:color="auto" w:fill="auto"/>
            <w:noWrap/>
            <w:vAlign w:val="bottom"/>
            <w:hideMark/>
          </w:tcPr>
          <w:p w14:paraId="391DCBEA" w14:textId="677A722F"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Aplikacija za praćenje vozila</w:t>
            </w:r>
          </w:p>
        </w:tc>
        <w:tc>
          <w:tcPr>
            <w:tcW w:w="1247" w:type="dxa"/>
            <w:shd w:val="clear" w:color="auto" w:fill="auto"/>
            <w:noWrap/>
            <w:vAlign w:val="bottom"/>
            <w:hideMark/>
          </w:tcPr>
          <w:p w14:paraId="4724A2BB" w14:textId="20BA3120"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3.007</w:t>
            </w:r>
          </w:p>
        </w:tc>
        <w:tc>
          <w:tcPr>
            <w:tcW w:w="1247" w:type="dxa"/>
            <w:shd w:val="clear" w:color="auto" w:fill="auto"/>
            <w:noWrap/>
            <w:vAlign w:val="bottom"/>
            <w:hideMark/>
          </w:tcPr>
          <w:p w14:paraId="6383A7CA" w14:textId="42F65859"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10.060</w:t>
            </w:r>
          </w:p>
        </w:tc>
        <w:tc>
          <w:tcPr>
            <w:tcW w:w="1247" w:type="dxa"/>
            <w:shd w:val="clear" w:color="auto" w:fill="auto"/>
            <w:noWrap/>
            <w:vAlign w:val="bottom"/>
            <w:hideMark/>
          </w:tcPr>
          <w:p w14:paraId="4CC8D1A4" w14:textId="6FACE214"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10.060</w:t>
            </w:r>
          </w:p>
        </w:tc>
        <w:tc>
          <w:tcPr>
            <w:tcW w:w="784" w:type="dxa"/>
            <w:shd w:val="clear" w:color="auto" w:fill="auto"/>
            <w:noWrap/>
            <w:vAlign w:val="bottom"/>
            <w:hideMark/>
          </w:tcPr>
          <w:p w14:paraId="4F1F5193" w14:textId="3D437AA7"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335%</w:t>
            </w:r>
          </w:p>
        </w:tc>
        <w:tc>
          <w:tcPr>
            <w:tcW w:w="737" w:type="dxa"/>
            <w:shd w:val="clear" w:color="auto" w:fill="auto"/>
            <w:noWrap/>
            <w:vAlign w:val="bottom"/>
            <w:hideMark/>
          </w:tcPr>
          <w:p w14:paraId="7F895BCD" w14:textId="0A48FEB8"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r>
      <w:tr w:rsidR="00F11041" w:rsidRPr="00F0123B" w14:paraId="793F97EB" w14:textId="77777777" w:rsidTr="00657BBB">
        <w:trPr>
          <w:trHeight w:val="340"/>
        </w:trPr>
        <w:tc>
          <w:tcPr>
            <w:tcW w:w="718" w:type="dxa"/>
            <w:shd w:val="clear" w:color="auto" w:fill="auto"/>
            <w:noWrap/>
            <w:vAlign w:val="bottom"/>
            <w:hideMark/>
          </w:tcPr>
          <w:p w14:paraId="65719FD6"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1.2.4.7</w:t>
            </w:r>
          </w:p>
        </w:tc>
        <w:tc>
          <w:tcPr>
            <w:tcW w:w="3221" w:type="dxa"/>
            <w:shd w:val="clear" w:color="auto" w:fill="auto"/>
            <w:noWrap/>
            <w:vAlign w:val="bottom"/>
            <w:hideMark/>
          </w:tcPr>
          <w:p w14:paraId="530DC762" w14:textId="18D71573"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Aplikacija za praćenje potrošnje energije</w:t>
            </w:r>
          </w:p>
        </w:tc>
        <w:tc>
          <w:tcPr>
            <w:tcW w:w="1247" w:type="dxa"/>
            <w:shd w:val="clear" w:color="auto" w:fill="auto"/>
            <w:noWrap/>
            <w:vAlign w:val="bottom"/>
            <w:hideMark/>
          </w:tcPr>
          <w:p w14:paraId="52A6D0FE" w14:textId="6B615E0E"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0</w:t>
            </w:r>
          </w:p>
        </w:tc>
        <w:tc>
          <w:tcPr>
            <w:tcW w:w="1247" w:type="dxa"/>
            <w:shd w:val="clear" w:color="auto" w:fill="auto"/>
            <w:noWrap/>
            <w:vAlign w:val="bottom"/>
            <w:hideMark/>
          </w:tcPr>
          <w:p w14:paraId="64AC8AAB" w14:textId="7E120F02"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2.475</w:t>
            </w:r>
          </w:p>
        </w:tc>
        <w:tc>
          <w:tcPr>
            <w:tcW w:w="1247" w:type="dxa"/>
            <w:shd w:val="clear" w:color="auto" w:fill="auto"/>
            <w:noWrap/>
            <w:vAlign w:val="bottom"/>
            <w:hideMark/>
          </w:tcPr>
          <w:p w14:paraId="4A50BFA0" w14:textId="68B3949F"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2.475</w:t>
            </w:r>
          </w:p>
        </w:tc>
        <w:tc>
          <w:tcPr>
            <w:tcW w:w="784" w:type="dxa"/>
            <w:shd w:val="clear" w:color="auto" w:fill="auto"/>
            <w:noWrap/>
            <w:vAlign w:val="bottom"/>
            <w:hideMark/>
          </w:tcPr>
          <w:p w14:paraId="16D4407C" w14:textId="5DADFF2F" w:rsidR="00F11041" w:rsidRPr="00F11041" w:rsidRDefault="008E4778" w:rsidP="00F11041">
            <w:pPr>
              <w:spacing w:before="120" w:after="0" w:line="240" w:lineRule="auto"/>
              <w:jc w:val="center"/>
              <w:rPr>
                <w:rFonts w:eastAsia="Times New Roman" w:cstheme="minorHAnsi"/>
                <w:sz w:val="18"/>
                <w:szCs w:val="18"/>
                <w:lang w:eastAsia="hr-HR"/>
              </w:rPr>
            </w:pPr>
            <w:r>
              <w:rPr>
                <w:rFonts w:ascii="Calibri" w:hAnsi="Calibri" w:cs="Calibri"/>
                <w:sz w:val="18"/>
                <w:szCs w:val="18"/>
              </w:rPr>
              <w:t>0%</w:t>
            </w:r>
          </w:p>
        </w:tc>
        <w:tc>
          <w:tcPr>
            <w:tcW w:w="737" w:type="dxa"/>
            <w:shd w:val="clear" w:color="auto" w:fill="auto"/>
            <w:noWrap/>
            <w:vAlign w:val="bottom"/>
            <w:hideMark/>
          </w:tcPr>
          <w:p w14:paraId="67BA82FA" w14:textId="1ED80D93"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100%</w:t>
            </w:r>
          </w:p>
        </w:tc>
      </w:tr>
      <w:tr w:rsidR="00F11041" w:rsidRPr="00F0123B" w14:paraId="5851ED48" w14:textId="77777777" w:rsidTr="00657BBB">
        <w:trPr>
          <w:trHeight w:val="340"/>
        </w:trPr>
        <w:tc>
          <w:tcPr>
            <w:tcW w:w="718" w:type="dxa"/>
            <w:shd w:val="clear" w:color="auto" w:fill="auto"/>
            <w:noWrap/>
            <w:vAlign w:val="bottom"/>
            <w:hideMark/>
          </w:tcPr>
          <w:p w14:paraId="17B4102E" w14:textId="77777777" w:rsidR="00F11041" w:rsidRPr="00802C63" w:rsidRDefault="00F11041" w:rsidP="00F11041">
            <w:pPr>
              <w:spacing w:before="120" w:after="0" w:line="240" w:lineRule="auto"/>
              <w:rPr>
                <w:rFonts w:eastAsia="Times New Roman" w:cstheme="minorHAnsi"/>
                <w:sz w:val="18"/>
                <w:szCs w:val="18"/>
                <w:lang w:eastAsia="hr-HR"/>
              </w:rPr>
            </w:pPr>
            <w:r w:rsidRPr="00802C63">
              <w:rPr>
                <w:rFonts w:ascii="Calibri" w:hAnsi="Calibri" w:cs="Calibri"/>
                <w:color w:val="000000"/>
                <w:sz w:val="18"/>
                <w:szCs w:val="18"/>
              </w:rPr>
              <w:t>1.2.4.8</w:t>
            </w:r>
          </w:p>
        </w:tc>
        <w:tc>
          <w:tcPr>
            <w:tcW w:w="3221" w:type="dxa"/>
            <w:shd w:val="clear" w:color="auto" w:fill="auto"/>
            <w:noWrap/>
            <w:vAlign w:val="bottom"/>
            <w:hideMark/>
          </w:tcPr>
          <w:p w14:paraId="71DD6749" w14:textId="5E8E6B3D" w:rsidR="00F11041" w:rsidRPr="00F11041" w:rsidRDefault="00F11041" w:rsidP="00F11041">
            <w:pPr>
              <w:spacing w:before="120" w:after="0" w:line="240" w:lineRule="auto"/>
              <w:rPr>
                <w:rFonts w:eastAsia="Times New Roman" w:cstheme="minorHAnsi"/>
                <w:sz w:val="18"/>
                <w:szCs w:val="18"/>
                <w:lang w:eastAsia="hr-HR"/>
              </w:rPr>
            </w:pPr>
            <w:r w:rsidRPr="00F11041">
              <w:rPr>
                <w:rFonts w:ascii="Calibri" w:hAnsi="Calibri" w:cs="Calibri"/>
                <w:color w:val="000000"/>
                <w:sz w:val="18"/>
                <w:szCs w:val="18"/>
              </w:rPr>
              <w:t>Održavanje osobnih automobila</w:t>
            </w:r>
          </w:p>
        </w:tc>
        <w:tc>
          <w:tcPr>
            <w:tcW w:w="1247" w:type="dxa"/>
            <w:shd w:val="clear" w:color="auto" w:fill="auto"/>
            <w:noWrap/>
            <w:vAlign w:val="bottom"/>
            <w:hideMark/>
          </w:tcPr>
          <w:p w14:paraId="55D04CA9" w14:textId="0F3AFB85"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1.934</w:t>
            </w:r>
          </w:p>
        </w:tc>
        <w:tc>
          <w:tcPr>
            <w:tcW w:w="1247" w:type="dxa"/>
            <w:shd w:val="clear" w:color="auto" w:fill="auto"/>
            <w:noWrap/>
            <w:vAlign w:val="bottom"/>
            <w:hideMark/>
          </w:tcPr>
          <w:p w14:paraId="3319D406" w14:textId="13D769EE"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2.000</w:t>
            </w:r>
          </w:p>
        </w:tc>
        <w:tc>
          <w:tcPr>
            <w:tcW w:w="1247" w:type="dxa"/>
            <w:shd w:val="clear" w:color="auto" w:fill="auto"/>
            <w:noWrap/>
            <w:vAlign w:val="bottom"/>
            <w:hideMark/>
          </w:tcPr>
          <w:p w14:paraId="00E7C1DA" w14:textId="1DB85D0B"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1.572</w:t>
            </w:r>
          </w:p>
        </w:tc>
        <w:tc>
          <w:tcPr>
            <w:tcW w:w="784" w:type="dxa"/>
            <w:shd w:val="clear" w:color="auto" w:fill="auto"/>
            <w:noWrap/>
            <w:vAlign w:val="bottom"/>
            <w:hideMark/>
          </w:tcPr>
          <w:p w14:paraId="5604693D" w14:textId="66D86369"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81%</w:t>
            </w:r>
          </w:p>
        </w:tc>
        <w:tc>
          <w:tcPr>
            <w:tcW w:w="737" w:type="dxa"/>
            <w:shd w:val="clear" w:color="auto" w:fill="auto"/>
            <w:noWrap/>
            <w:vAlign w:val="bottom"/>
            <w:hideMark/>
          </w:tcPr>
          <w:p w14:paraId="024626FA" w14:textId="13922FFC" w:rsidR="00F11041" w:rsidRPr="00F11041" w:rsidRDefault="00F11041" w:rsidP="00F11041">
            <w:pPr>
              <w:spacing w:before="120" w:after="0" w:line="240" w:lineRule="auto"/>
              <w:jc w:val="center"/>
              <w:rPr>
                <w:rFonts w:eastAsia="Times New Roman" w:cstheme="minorHAnsi"/>
                <w:sz w:val="18"/>
                <w:szCs w:val="18"/>
                <w:lang w:eastAsia="hr-HR"/>
              </w:rPr>
            </w:pPr>
            <w:r w:rsidRPr="00F11041">
              <w:rPr>
                <w:rFonts w:ascii="Calibri" w:hAnsi="Calibri" w:cs="Calibri"/>
                <w:sz w:val="18"/>
                <w:szCs w:val="18"/>
              </w:rPr>
              <w:t>79%</w:t>
            </w:r>
          </w:p>
        </w:tc>
      </w:tr>
      <w:tr w:rsidR="00F11041" w:rsidRPr="00F0123B" w14:paraId="4AD09492" w14:textId="77777777" w:rsidTr="00657BBB">
        <w:trPr>
          <w:trHeight w:val="340"/>
        </w:trPr>
        <w:tc>
          <w:tcPr>
            <w:tcW w:w="718" w:type="dxa"/>
            <w:shd w:val="clear" w:color="auto" w:fill="auto"/>
            <w:noWrap/>
            <w:vAlign w:val="bottom"/>
          </w:tcPr>
          <w:p w14:paraId="3D2BC241" w14:textId="770827D4" w:rsidR="00F11041" w:rsidRPr="00802C63" w:rsidRDefault="00F11041" w:rsidP="00F11041">
            <w:pPr>
              <w:spacing w:before="120" w:after="0" w:line="240" w:lineRule="auto"/>
              <w:rPr>
                <w:rFonts w:ascii="Calibri" w:hAnsi="Calibri" w:cs="Calibri"/>
                <w:color w:val="000000"/>
                <w:sz w:val="18"/>
                <w:szCs w:val="18"/>
              </w:rPr>
            </w:pPr>
            <w:r>
              <w:rPr>
                <w:rFonts w:ascii="Calibri" w:hAnsi="Calibri" w:cs="Calibri"/>
                <w:color w:val="000000"/>
                <w:sz w:val="18"/>
                <w:szCs w:val="18"/>
              </w:rPr>
              <w:t>1.2.4.9</w:t>
            </w:r>
          </w:p>
        </w:tc>
        <w:tc>
          <w:tcPr>
            <w:tcW w:w="3221" w:type="dxa"/>
            <w:shd w:val="clear" w:color="auto" w:fill="auto"/>
            <w:noWrap/>
            <w:vAlign w:val="bottom"/>
          </w:tcPr>
          <w:p w14:paraId="52C7FE0C" w14:textId="18B4E9F7" w:rsidR="00F11041" w:rsidRPr="00F11041" w:rsidRDefault="00F11041" w:rsidP="00F11041">
            <w:pPr>
              <w:spacing w:before="120" w:after="0" w:line="240" w:lineRule="auto"/>
              <w:rPr>
                <w:rFonts w:ascii="Calibri" w:hAnsi="Calibri" w:cs="Calibri"/>
                <w:color w:val="000000"/>
                <w:sz w:val="18"/>
                <w:szCs w:val="18"/>
              </w:rPr>
            </w:pPr>
            <w:r w:rsidRPr="00F11041">
              <w:rPr>
                <w:rFonts w:ascii="Calibri" w:hAnsi="Calibri" w:cs="Calibri"/>
                <w:color w:val="000000"/>
                <w:sz w:val="18"/>
                <w:szCs w:val="18"/>
              </w:rPr>
              <w:t>Zaštitarske usluge</w:t>
            </w:r>
          </w:p>
        </w:tc>
        <w:tc>
          <w:tcPr>
            <w:tcW w:w="1247" w:type="dxa"/>
            <w:shd w:val="clear" w:color="auto" w:fill="auto"/>
            <w:noWrap/>
            <w:vAlign w:val="bottom"/>
          </w:tcPr>
          <w:p w14:paraId="5D69E24E" w14:textId="6A4798A2" w:rsidR="00F11041" w:rsidRPr="00F11041" w:rsidRDefault="00F11041" w:rsidP="00F11041">
            <w:pPr>
              <w:spacing w:before="120" w:after="0" w:line="240" w:lineRule="auto"/>
              <w:jc w:val="center"/>
              <w:rPr>
                <w:rFonts w:ascii="Calibri" w:hAnsi="Calibri" w:cs="Calibri"/>
                <w:sz w:val="18"/>
                <w:szCs w:val="18"/>
              </w:rPr>
            </w:pPr>
            <w:r w:rsidRPr="00F11041">
              <w:rPr>
                <w:rFonts w:ascii="Calibri" w:hAnsi="Calibri" w:cs="Calibri"/>
                <w:sz w:val="18"/>
                <w:szCs w:val="18"/>
              </w:rPr>
              <w:t>51.381</w:t>
            </w:r>
          </w:p>
        </w:tc>
        <w:tc>
          <w:tcPr>
            <w:tcW w:w="1247" w:type="dxa"/>
            <w:shd w:val="clear" w:color="auto" w:fill="auto"/>
            <w:noWrap/>
            <w:vAlign w:val="bottom"/>
          </w:tcPr>
          <w:p w14:paraId="421BC345" w14:textId="57B760A2" w:rsidR="00F11041" w:rsidRPr="00F11041" w:rsidRDefault="00F11041" w:rsidP="00F11041">
            <w:pPr>
              <w:spacing w:before="120" w:after="0" w:line="240" w:lineRule="auto"/>
              <w:jc w:val="center"/>
              <w:rPr>
                <w:rFonts w:ascii="Calibri" w:hAnsi="Calibri" w:cs="Calibri"/>
                <w:sz w:val="18"/>
                <w:szCs w:val="18"/>
              </w:rPr>
            </w:pPr>
            <w:r w:rsidRPr="00F11041">
              <w:rPr>
                <w:rFonts w:ascii="Calibri" w:hAnsi="Calibri" w:cs="Calibri"/>
                <w:sz w:val="18"/>
                <w:szCs w:val="18"/>
              </w:rPr>
              <w:t>51.561</w:t>
            </w:r>
          </w:p>
        </w:tc>
        <w:tc>
          <w:tcPr>
            <w:tcW w:w="1247" w:type="dxa"/>
            <w:shd w:val="clear" w:color="auto" w:fill="auto"/>
            <w:noWrap/>
            <w:vAlign w:val="bottom"/>
          </w:tcPr>
          <w:p w14:paraId="3E1F0E5A" w14:textId="31030244" w:rsidR="00F11041" w:rsidRPr="00F11041" w:rsidRDefault="00F11041" w:rsidP="00F11041">
            <w:pPr>
              <w:spacing w:before="120" w:after="0" w:line="240" w:lineRule="auto"/>
              <w:jc w:val="center"/>
              <w:rPr>
                <w:rFonts w:ascii="Calibri" w:hAnsi="Calibri" w:cs="Calibri"/>
                <w:sz w:val="18"/>
                <w:szCs w:val="18"/>
              </w:rPr>
            </w:pPr>
            <w:r w:rsidRPr="00F11041">
              <w:rPr>
                <w:rFonts w:ascii="Calibri" w:hAnsi="Calibri" w:cs="Calibri"/>
                <w:sz w:val="18"/>
                <w:szCs w:val="18"/>
              </w:rPr>
              <w:t>51.521</w:t>
            </w:r>
          </w:p>
        </w:tc>
        <w:tc>
          <w:tcPr>
            <w:tcW w:w="784" w:type="dxa"/>
            <w:shd w:val="clear" w:color="auto" w:fill="auto"/>
            <w:noWrap/>
            <w:vAlign w:val="bottom"/>
          </w:tcPr>
          <w:p w14:paraId="487655D5" w14:textId="5B7AB541" w:rsidR="00F11041" w:rsidRPr="00F11041" w:rsidRDefault="00F11041" w:rsidP="00F11041">
            <w:pPr>
              <w:spacing w:before="120" w:after="0" w:line="240" w:lineRule="auto"/>
              <w:jc w:val="center"/>
              <w:rPr>
                <w:rFonts w:ascii="Calibri" w:hAnsi="Calibri" w:cs="Calibri"/>
                <w:sz w:val="18"/>
                <w:szCs w:val="18"/>
              </w:rPr>
            </w:pPr>
            <w:r w:rsidRPr="00F11041">
              <w:rPr>
                <w:rFonts w:ascii="Calibri" w:hAnsi="Calibri" w:cs="Calibri"/>
                <w:sz w:val="18"/>
                <w:szCs w:val="18"/>
              </w:rPr>
              <w:t>100%</w:t>
            </w:r>
          </w:p>
        </w:tc>
        <w:tc>
          <w:tcPr>
            <w:tcW w:w="737" w:type="dxa"/>
            <w:shd w:val="clear" w:color="auto" w:fill="auto"/>
            <w:noWrap/>
            <w:vAlign w:val="bottom"/>
          </w:tcPr>
          <w:p w14:paraId="7EC79CA0" w14:textId="0D88748E" w:rsidR="00F11041" w:rsidRPr="00F11041" w:rsidRDefault="00F11041" w:rsidP="00F11041">
            <w:pPr>
              <w:spacing w:before="120" w:after="0" w:line="240" w:lineRule="auto"/>
              <w:jc w:val="center"/>
              <w:rPr>
                <w:rFonts w:ascii="Calibri" w:hAnsi="Calibri" w:cs="Calibri"/>
                <w:sz w:val="18"/>
                <w:szCs w:val="18"/>
              </w:rPr>
            </w:pPr>
            <w:r w:rsidRPr="00F11041">
              <w:rPr>
                <w:rFonts w:ascii="Calibri" w:hAnsi="Calibri" w:cs="Calibri"/>
                <w:sz w:val="18"/>
                <w:szCs w:val="18"/>
              </w:rPr>
              <w:t>100%</w:t>
            </w:r>
          </w:p>
        </w:tc>
      </w:tr>
    </w:tbl>
    <w:p w14:paraId="69E56C40" w14:textId="48C91DB9" w:rsidR="008E4778" w:rsidRDefault="008E4778" w:rsidP="008E4778">
      <w:pPr>
        <w:pStyle w:val="Caption"/>
        <w:spacing w:before="360" w:after="240" w:line="360" w:lineRule="auto"/>
        <w:jc w:val="both"/>
        <w:rPr>
          <w:rFonts w:asciiTheme="minorHAnsi" w:eastAsiaTheme="minorHAnsi" w:hAnsiTheme="minorHAnsi" w:cstheme="minorHAnsi"/>
          <w:b w:val="0"/>
          <w:bCs w:val="0"/>
          <w:sz w:val="22"/>
          <w:szCs w:val="22"/>
        </w:rPr>
      </w:pPr>
      <w:r w:rsidRPr="008E4778">
        <w:rPr>
          <w:rFonts w:asciiTheme="minorHAnsi" w:eastAsiaTheme="minorHAnsi" w:hAnsiTheme="minorHAnsi" w:cstheme="minorHAnsi"/>
          <w:b w:val="0"/>
          <w:bCs w:val="0"/>
          <w:sz w:val="22"/>
          <w:szCs w:val="22"/>
        </w:rPr>
        <w:t>Ukupna realizacija troškova usluga održavanja i zaštite u 2024. godini iznosi 147.221 eura, što je 15% više u odnosu na 2023. godinu te na razini rebalansa plana.</w:t>
      </w:r>
      <w:r>
        <w:rPr>
          <w:rFonts w:asciiTheme="minorHAnsi" w:eastAsiaTheme="minorHAnsi" w:hAnsiTheme="minorHAnsi" w:cstheme="minorHAnsi"/>
          <w:b w:val="0"/>
          <w:bCs w:val="0"/>
          <w:sz w:val="22"/>
          <w:szCs w:val="22"/>
        </w:rPr>
        <w:t xml:space="preserve"> Povećanje u odnosu na prethodnu godinu proizlazi iz porasta cijene usluga čišćenja prostora i licence ERP sustava. </w:t>
      </w:r>
    </w:p>
    <w:p w14:paraId="41DAAAF0" w14:textId="174C3156" w:rsidR="008E4778" w:rsidRPr="008E4778" w:rsidRDefault="008E4778" w:rsidP="008E4778">
      <w:pPr>
        <w:spacing w:line="360" w:lineRule="auto"/>
        <w:jc w:val="both"/>
      </w:pPr>
      <w:r>
        <w:t>Ostala povećanja odnose</w:t>
      </w:r>
      <w:r w:rsidR="00DE0817">
        <w:t xml:space="preserve"> se</w:t>
      </w:r>
      <w:r>
        <w:t xml:space="preserve"> na uvođenje aplikacije za praćenje sustava održavanja</w:t>
      </w:r>
      <w:r w:rsidR="00993431">
        <w:t xml:space="preserve"> i aplikacije za praćenje potrošnje energije</w:t>
      </w:r>
      <w:r>
        <w:t xml:space="preserve"> te na nadogradnju aplikacija za održavanje vozila koja je objedinjena s troškom prethodno prikazivanim u tablici 32. izvješća. </w:t>
      </w:r>
    </w:p>
    <w:p w14:paraId="408B4CED" w14:textId="5983BC8E" w:rsidR="00993431" w:rsidRDefault="00993431" w:rsidP="008E4778">
      <w:pPr>
        <w:spacing w:before="240" w:after="240" w:line="360" w:lineRule="auto"/>
        <w:jc w:val="both"/>
        <w:rPr>
          <w:rFonts w:cstheme="minorHAnsi"/>
        </w:rPr>
      </w:pPr>
      <w:r w:rsidRPr="00993431">
        <w:rPr>
          <w:rFonts w:cstheme="minorHAnsi"/>
        </w:rPr>
        <w:t>Smanjeni su troškovi održavanja softverske infrastrukture (-18%) i troškovi održavanja osobnih automobila (-19%), u odnosu na prethodnu godinu.</w:t>
      </w:r>
    </w:p>
    <w:p w14:paraId="61C3F28D" w14:textId="33C4849B" w:rsidR="00993431" w:rsidRDefault="00993431" w:rsidP="008E4778">
      <w:pPr>
        <w:spacing w:before="240" w:after="240" w:line="360" w:lineRule="auto"/>
        <w:jc w:val="both"/>
        <w:rPr>
          <w:rFonts w:cstheme="minorHAnsi"/>
        </w:rPr>
      </w:pPr>
      <w:r>
        <w:rPr>
          <w:rFonts w:cstheme="minorHAnsi"/>
        </w:rPr>
        <w:t>Troškovi koji su ostali na razini prošlogodišnjih odnose se na aplikaciju za gospodarenje otpadom te na zaštitarske usluge.</w:t>
      </w:r>
    </w:p>
    <w:p w14:paraId="7A734900" w14:textId="05141774" w:rsidR="008E4778" w:rsidRPr="00993431" w:rsidRDefault="00993431" w:rsidP="00993431">
      <w:pPr>
        <w:rPr>
          <w:rFonts w:cstheme="minorHAnsi"/>
        </w:rPr>
      </w:pPr>
      <w:r>
        <w:rPr>
          <w:rFonts w:cstheme="minorHAnsi"/>
        </w:rPr>
        <w:br w:type="page"/>
      </w:r>
    </w:p>
    <w:p w14:paraId="0CBA5C0C" w14:textId="2019BB07" w:rsidR="00E73924" w:rsidRPr="00E85BF4" w:rsidRDefault="00E73924" w:rsidP="005266B1">
      <w:pPr>
        <w:pStyle w:val="Caption"/>
        <w:spacing w:before="360" w:after="360"/>
        <w:rPr>
          <w:rFonts w:cstheme="minorHAnsi"/>
        </w:rPr>
      </w:pPr>
      <w:bookmarkStart w:id="65" w:name="_Toc200366463"/>
      <w:r w:rsidRPr="00840E6B">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25</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registracije</w:t>
      </w:r>
      <w:r w:rsidRPr="00E85BF4">
        <w:rPr>
          <w:rFonts w:asciiTheme="minorHAnsi" w:hAnsiTheme="minorHAnsi" w:cstheme="minorHAnsi"/>
          <w:b w:val="0"/>
          <w:bCs w:val="0"/>
          <w:sz w:val="22"/>
          <w:szCs w:val="22"/>
        </w:rPr>
        <w:t>, licenci</w:t>
      </w:r>
      <w:r>
        <w:rPr>
          <w:rFonts w:asciiTheme="minorHAnsi" w:hAnsiTheme="minorHAnsi" w:cstheme="minorHAnsi"/>
          <w:b w:val="0"/>
          <w:bCs w:val="0"/>
          <w:sz w:val="22"/>
          <w:szCs w:val="22"/>
        </w:rPr>
        <w:t xml:space="preserve"> </w:t>
      </w:r>
      <w:r w:rsidRPr="00E85BF4">
        <w:rPr>
          <w:rFonts w:asciiTheme="minorHAnsi" w:hAnsiTheme="minorHAnsi" w:cstheme="minorHAnsi"/>
          <w:b w:val="0"/>
          <w:bCs w:val="0"/>
          <w:sz w:val="22"/>
          <w:szCs w:val="22"/>
        </w:rPr>
        <w:t>i pristojbi</w:t>
      </w:r>
      <w:bookmarkEnd w:id="65"/>
    </w:p>
    <w:tbl>
      <w:tblPr>
        <w:tblW w:w="90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18"/>
        <w:gridCol w:w="3036"/>
        <w:gridCol w:w="1319"/>
        <w:gridCol w:w="1153"/>
        <w:gridCol w:w="1461"/>
        <w:gridCol w:w="726"/>
        <w:gridCol w:w="726"/>
      </w:tblGrid>
      <w:tr w:rsidR="00004731" w:rsidRPr="00E85BF4" w14:paraId="25FA07F7" w14:textId="77777777" w:rsidTr="00CB3323">
        <w:trPr>
          <w:trHeight w:val="634"/>
        </w:trPr>
        <w:tc>
          <w:tcPr>
            <w:tcW w:w="668" w:type="dxa"/>
            <w:tcBorders>
              <w:top w:val="single" w:sz="4" w:space="0" w:color="auto"/>
              <w:bottom w:val="single" w:sz="4" w:space="0" w:color="auto"/>
            </w:tcBorders>
            <w:shd w:val="clear" w:color="auto" w:fill="auto"/>
            <w:noWrap/>
            <w:vAlign w:val="center"/>
            <w:hideMark/>
          </w:tcPr>
          <w:p w14:paraId="6469F2A7" w14:textId="77777777" w:rsidR="00004731" w:rsidRPr="00E85BF4" w:rsidRDefault="00004731" w:rsidP="00004731">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036" w:type="dxa"/>
            <w:tcBorders>
              <w:top w:val="single" w:sz="4" w:space="0" w:color="auto"/>
              <w:bottom w:val="single" w:sz="4" w:space="0" w:color="auto"/>
            </w:tcBorders>
            <w:shd w:val="clear" w:color="auto" w:fill="auto"/>
            <w:noWrap/>
            <w:vAlign w:val="center"/>
            <w:hideMark/>
          </w:tcPr>
          <w:p w14:paraId="4F8ED6A5" w14:textId="77777777" w:rsidR="00004731" w:rsidRPr="00E85BF4" w:rsidRDefault="00004731" w:rsidP="0000473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19" w:type="dxa"/>
            <w:tcBorders>
              <w:top w:val="single" w:sz="4" w:space="0" w:color="auto"/>
              <w:bottom w:val="single" w:sz="4" w:space="0" w:color="auto"/>
            </w:tcBorders>
            <w:shd w:val="clear" w:color="auto" w:fill="auto"/>
            <w:noWrap/>
            <w:vAlign w:val="center"/>
            <w:hideMark/>
          </w:tcPr>
          <w:p w14:paraId="35CD59F3" w14:textId="1DC9E309" w:rsidR="00004731" w:rsidRPr="00E85BF4" w:rsidRDefault="00004731" w:rsidP="0000473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53" w:type="dxa"/>
            <w:tcBorders>
              <w:top w:val="single" w:sz="4" w:space="0" w:color="auto"/>
              <w:bottom w:val="single" w:sz="4" w:space="0" w:color="auto"/>
            </w:tcBorders>
            <w:shd w:val="clear" w:color="auto" w:fill="auto"/>
            <w:noWrap/>
            <w:vAlign w:val="center"/>
            <w:hideMark/>
          </w:tcPr>
          <w:p w14:paraId="2200893C" w14:textId="57338DDC" w:rsidR="00004731" w:rsidRPr="00E85BF4" w:rsidRDefault="00004731" w:rsidP="00004731">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61" w:type="dxa"/>
            <w:tcBorders>
              <w:top w:val="single" w:sz="4" w:space="0" w:color="auto"/>
              <w:bottom w:val="single" w:sz="4" w:space="0" w:color="auto"/>
            </w:tcBorders>
            <w:shd w:val="clear" w:color="auto" w:fill="auto"/>
            <w:noWrap/>
            <w:vAlign w:val="center"/>
            <w:hideMark/>
          </w:tcPr>
          <w:p w14:paraId="099D80FE" w14:textId="05220194" w:rsidR="00004731" w:rsidRPr="00E85BF4" w:rsidRDefault="00004731" w:rsidP="00004731">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26" w:type="dxa"/>
            <w:tcBorders>
              <w:top w:val="single" w:sz="4" w:space="0" w:color="auto"/>
              <w:bottom w:val="single" w:sz="4" w:space="0" w:color="auto"/>
            </w:tcBorders>
            <w:shd w:val="clear" w:color="auto" w:fill="auto"/>
            <w:noWrap/>
            <w:vAlign w:val="center"/>
            <w:hideMark/>
          </w:tcPr>
          <w:p w14:paraId="7A6A3A9B" w14:textId="77777777" w:rsidR="00004731" w:rsidRPr="00E85BF4" w:rsidRDefault="00004731" w:rsidP="00004731">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26" w:type="dxa"/>
            <w:tcBorders>
              <w:top w:val="single" w:sz="4" w:space="0" w:color="auto"/>
              <w:bottom w:val="single" w:sz="4" w:space="0" w:color="auto"/>
            </w:tcBorders>
            <w:shd w:val="clear" w:color="auto" w:fill="auto"/>
            <w:noWrap/>
            <w:vAlign w:val="center"/>
            <w:hideMark/>
          </w:tcPr>
          <w:p w14:paraId="58573E33" w14:textId="77777777" w:rsidR="00004731" w:rsidRPr="00E85BF4" w:rsidRDefault="00004731" w:rsidP="00004731">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E73924" w:rsidRPr="00E85BF4" w14:paraId="639CAA64" w14:textId="77777777" w:rsidTr="00CB3323">
        <w:trPr>
          <w:trHeight w:val="114"/>
        </w:trPr>
        <w:tc>
          <w:tcPr>
            <w:tcW w:w="668" w:type="dxa"/>
            <w:tcBorders>
              <w:top w:val="single" w:sz="4" w:space="0" w:color="auto"/>
              <w:bottom w:val="single" w:sz="4" w:space="0" w:color="auto"/>
            </w:tcBorders>
            <w:shd w:val="clear" w:color="auto" w:fill="auto"/>
            <w:noWrap/>
            <w:vAlign w:val="center"/>
          </w:tcPr>
          <w:p w14:paraId="0410559E" w14:textId="77777777" w:rsidR="00E73924" w:rsidRPr="00F66E78" w:rsidRDefault="00E73924" w:rsidP="00DA5CEE">
            <w:pPr>
              <w:spacing w:after="0" w:line="240" w:lineRule="auto"/>
              <w:jc w:val="center"/>
              <w:rPr>
                <w:rFonts w:eastAsia="Times New Roman" w:cstheme="minorHAnsi"/>
                <w:b/>
                <w:bCs/>
                <w:i/>
                <w:iCs/>
                <w:color w:val="D9D9D9" w:themeColor="background1" w:themeShade="D9"/>
                <w:sz w:val="16"/>
                <w:szCs w:val="16"/>
                <w:lang w:eastAsia="hr-HR"/>
              </w:rPr>
            </w:pPr>
            <w:r w:rsidRPr="00F66E78">
              <w:rPr>
                <w:rFonts w:eastAsia="Times New Roman" w:cstheme="minorHAnsi"/>
                <w:b/>
                <w:bCs/>
                <w:i/>
                <w:iCs/>
                <w:color w:val="D9D9D9" w:themeColor="background1" w:themeShade="D9"/>
                <w:sz w:val="16"/>
                <w:szCs w:val="16"/>
                <w:lang w:eastAsia="hr-HR"/>
              </w:rPr>
              <w:t>1</w:t>
            </w:r>
          </w:p>
        </w:tc>
        <w:tc>
          <w:tcPr>
            <w:tcW w:w="3036" w:type="dxa"/>
            <w:tcBorders>
              <w:top w:val="single" w:sz="4" w:space="0" w:color="auto"/>
              <w:bottom w:val="single" w:sz="4" w:space="0" w:color="auto"/>
            </w:tcBorders>
            <w:shd w:val="clear" w:color="auto" w:fill="auto"/>
            <w:noWrap/>
            <w:vAlign w:val="center"/>
          </w:tcPr>
          <w:p w14:paraId="01B13B6F" w14:textId="77777777" w:rsidR="00E73924" w:rsidRPr="00F66E78" w:rsidRDefault="00E73924" w:rsidP="00DA5CEE">
            <w:pPr>
              <w:spacing w:after="0" w:line="240" w:lineRule="auto"/>
              <w:jc w:val="center"/>
              <w:rPr>
                <w:rFonts w:eastAsia="Times New Roman" w:cstheme="minorHAnsi"/>
                <w:b/>
                <w:bCs/>
                <w:i/>
                <w:iCs/>
                <w:color w:val="D9D9D9" w:themeColor="background1" w:themeShade="D9"/>
                <w:sz w:val="16"/>
                <w:szCs w:val="16"/>
                <w:lang w:eastAsia="hr-HR"/>
              </w:rPr>
            </w:pPr>
            <w:r w:rsidRPr="00F66E78">
              <w:rPr>
                <w:rFonts w:eastAsia="Times New Roman" w:cstheme="minorHAnsi"/>
                <w:b/>
                <w:bCs/>
                <w:i/>
                <w:iCs/>
                <w:color w:val="D9D9D9" w:themeColor="background1" w:themeShade="D9"/>
                <w:sz w:val="16"/>
                <w:szCs w:val="16"/>
                <w:lang w:eastAsia="hr-HR"/>
              </w:rPr>
              <w:t>2</w:t>
            </w:r>
          </w:p>
        </w:tc>
        <w:tc>
          <w:tcPr>
            <w:tcW w:w="1319" w:type="dxa"/>
            <w:tcBorders>
              <w:top w:val="single" w:sz="4" w:space="0" w:color="auto"/>
              <w:bottom w:val="single" w:sz="4" w:space="0" w:color="auto"/>
            </w:tcBorders>
            <w:shd w:val="clear" w:color="auto" w:fill="auto"/>
            <w:noWrap/>
            <w:vAlign w:val="center"/>
          </w:tcPr>
          <w:p w14:paraId="0741CB2C" w14:textId="77777777" w:rsidR="00E73924" w:rsidRPr="00F66E78" w:rsidRDefault="00E73924" w:rsidP="00DA5CEE">
            <w:pPr>
              <w:spacing w:after="0" w:line="240" w:lineRule="auto"/>
              <w:jc w:val="center"/>
              <w:rPr>
                <w:rFonts w:ascii="Calibri" w:eastAsia="Times New Roman" w:hAnsi="Calibri" w:cs="Calibri"/>
                <w:b/>
                <w:bCs/>
                <w:i/>
                <w:iCs/>
                <w:color w:val="D9D9D9" w:themeColor="background1" w:themeShade="D9"/>
                <w:sz w:val="16"/>
                <w:szCs w:val="16"/>
                <w:lang w:eastAsia="hr-HR"/>
              </w:rPr>
            </w:pPr>
            <w:r w:rsidRPr="00F66E78">
              <w:rPr>
                <w:rFonts w:ascii="Calibri" w:eastAsia="Times New Roman" w:hAnsi="Calibri" w:cs="Calibri"/>
                <w:b/>
                <w:bCs/>
                <w:i/>
                <w:iCs/>
                <w:color w:val="D9D9D9" w:themeColor="background1" w:themeShade="D9"/>
                <w:sz w:val="16"/>
                <w:szCs w:val="16"/>
                <w:lang w:eastAsia="hr-HR"/>
              </w:rPr>
              <w:t>3</w:t>
            </w:r>
          </w:p>
        </w:tc>
        <w:tc>
          <w:tcPr>
            <w:tcW w:w="1153" w:type="dxa"/>
            <w:tcBorders>
              <w:top w:val="single" w:sz="4" w:space="0" w:color="auto"/>
              <w:bottom w:val="single" w:sz="4" w:space="0" w:color="auto"/>
            </w:tcBorders>
            <w:shd w:val="clear" w:color="auto" w:fill="auto"/>
            <w:noWrap/>
            <w:vAlign w:val="center"/>
          </w:tcPr>
          <w:p w14:paraId="021C1329" w14:textId="77777777" w:rsidR="00E73924" w:rsidRPr="00F66E78" w:rsidRDefault="00E73924" w:rsidP="00DA5CEE">
            <w:pPr>
              <w:spacing w:after="0" w:line="240" w:lineRule="auto"/>
              <w:jc w:val="center"/>
              <w:rPr>
                <w:rFonts w:eastAsia="Times New Roman" w:cstheme="minorHAnsi"/>
                <w:b/>
                <w:bCs/>
                <w:i/>
                <w:iCs/>
                <w:color w:val="D9D9D9" w:themeColor="background1" w:themeShade="D9"/>
                <w:sz w:val="16"/>
                <w:szCs w:val="16"/>
                <w:lang w:eastAsia="hr-HR"/>
              </w:rPr>
            </w:pPr>
            <w:r w:rsidRPr="00F66E78">
              <w:rPr>
                <w:rFonts w:eastAsia="Times New Roman" w:cstheme="minorHAnsi"/>
                <w:b/>
                <w:bCs/>
                <w:i/>
                <w:iCs/>
                <w:color w:val="D9D9D9" w:themeColor="background1" w:themeShade="D9"/>
                <w:sz w:val="16"/>
                <w:szCs w:val="16"/>
                <w:lang w:eastAsia="hr-HR"/>
              </w:rPr>
              <w:t>4</w:t>
            </w:r>
          </w:p>
        </w:tc>
        <w:tc>
          <w:tcPr>
            <w:tcW w:w="1461" w:type="dxa"/>
            <w:tcBorders>
              <w:top w:val="single" w:sz="4" w:space="0" w:color="auto"/>
              <w:bottom w:val="single" w:sz="4" w:space="0" w:color="auto"/>
            </w:tcBorders>
            <w:shd w:val="clear" w:color="auto" w:fill="auto"/>
            <w:noWrap/>
            <w:vAlign w:val="center"/>
          </w:tcPr>
          <w:p w14:paraId="0A17AA89" w14:textId="77777777" w:rsidR="00E73924" w:rsidRPr="00F66E78" w:rsidRDefault="00E73924" w:rsidP="00DA5CEE">
            <w:pPr>
              <w:spacing w:after="0" w:line="240" w:lineRule="auto"/>
              <w:jc w:val="center"/>
              <w:rPr>
                <w:rFonts w:ascii="Calibri" w:eastAsia="Times New Roman" w:hAnsi="Calibri" w:cs="Calibri"/>
                <w:b/>
                <w:bCs/>
                <w:i/>
                <w:iCs/>
                <w:color w:val="D9D9D9" w:themeColor="background1" w:themeShade="D9"/>
                <w:sz w:val="16"/>
                <w:szCs w:val="16"/>
                <w:lang w:eastAsia="hr-HR"/>
              </w:rPr>
            </w:pPr>
            <w:r w:rsidRPr="00F66E78">
              <w:rPr>
                <w:rFonts w:ascii="Calibri" w:eastAsia="Times New Roman" w:hAnsi="Calibri" w:cs="Calibri"/>
                <w:b/>
                <w:bCs/>
                <w:i/>
                <w:iCs/>
                <w:color w:val="D9D9D9" w:themeColor="background1" w:themeShade="D9"/>
                <w:sz w:val="16"/>
                <w:szCs w:val="16"/>
                <w:lang w:eastAsia="hr-HR"/>
              </w:rPr>
              <w:t>5</w:t>
            </w:r>
          </w:p>
        </w:tc>
        <w:tc>
          <w:tcPr>
            <w:tcW w:w="726" w:type="dxa"/>
            <w:tcBorders>
              <w:top w:val="single" w:sz="4" w:space="0" w:color="auto"/>
              <w:bottom w:val="single" w:sz="4" w:space="0" w:color="auto"/>
            </w:tcBorders>
            <w:shd w:val="clear" w:color="auto" w:fill="auto"/>
            <w:noWrap/>
            <w:vAlign w:val="center"/>
          </w:tcPr>
          <w:p w14:paraId="48F5F928" w14:textId="77777777" w:rsidR="00E73924" w:rsidRPr="00F66E78" w:rsidRDefault="00E73924" w:rsidP="00DA5CEE">
            <w:pPr>
              <w:spacing w:after="0" w:line="240" w:lineRule="auto"/>
              <w:jc w:val="center"/>
              <w:rPr>
                <w:rFonts w:ascii="Calibri" w:eastAsia="Times New Roman" w:hAnsi="Calibri" w:cs="Calibri"/>
                <w:b/>
                <w:bCs/>
                <w:i/>
                <w:iCs/>
                <w:color w:val="D9D9D9" w:themeColor="background1" w:themeShade="D9"/>
                <w:sz w:val="16"/>
                <w:szCs w:val="16"/>
                <w:lang w:eastAsia="hr-HR"/>
              </w:rPr>
            </w:pPr>
            <w:r w:rsidRPr="00F66E78">
              <w:rPr>
                <w:rFonts w:ascii="Calibri" w:eastAsia="Times New Roman" w:hAnsi="Calibri" w:cs="Calibri"/>
                <w:b/>
                <w:bCs/>
                <w:i/>
                <w:iCs/>
                <w:color w:val="D9D9D9" w:themeColor="background1" w:themeShade="D9"/>
                <w:sz w:val="16"/>
                <w:szCs w:val="16"/>
                <w:lang w:eastAsia="hr-HR"/>
              </w:rPr>
              <w:t>6</w:t>
            </w:r>
          </w:p>
        </w:tc>
        <w:tc>
          <w:tcPr>
            <w:tcW w:w="726" w:type="dxa"/>
            <w:tcBorders>
              <w:top w:val="single" w:sz="4" w:space="0" w:color="auto"/>
              <w:bottom w:val="single" w:sz="4" w:space="0" w:color="auto"/>
            </w:tcBorders>
            <w:shd w:val="clear" w:color="auto" w:fill="auto"/>
            <w:noWrap/>
            <w:vAlign w:val="center"/>
          </w:tcPr>
          <w:p w14:paraId="1F643D9E" w14:textId="77777777" w:rsidR="00E73924" w:rsidRPr="00F66E78" w:rsidRDefault="00E73924" w:rsidP="00DA5CEE">
            <w:pPr>
              <w:spacing w:after="0" w:line="240" w:lineRule="auto"/>
              <w:jc w:val="center"/>
              <w:rPr>
                <w:rFonts w:ascii="Calibri" w:eastAsia="Times New Roman" w:hAnsi="Calibri" w:cs="Calibri"/>
                <w:b/>
                <w:bCs/>
                <w:i/>
                <w:iCs/>
                <w:color w:val="D9D9D9" w:themeColor="background1" w:themeShade="D9"/>
                <w:sz w:val="16"/>
                <w:szCs w:val="16"/>
                <w:lang w:eastAsia="hr-HR"/>
              </w:rPr>
            </w:pPr>
            <w:r w:rsidRPr="00F66E78">
              <w:rPr>
                <w:rFonts w:ascii="Calibri" w:eastAsia="Times New Roman" w:hAnsi="Calibri" w:cs="Calibri"/>
                <w:b/>
                <w:bCs/>
                <w:i/>
                <w:iCs/>
                <w:color w:val="D9D9D9" w:themeColor="background1" w:themeShade="D9"/>
                <w:sz w:val="16"/>
                <w:szCs w:val="16"/>
                <w:lang w:eastAsia="hr-HR"/>
              </w:rPr>
              <w:t>7</w:t>
            </w:r>
          </w:p>
        </w:tc>
      </w:tr>
      <w:tr w:rsidR="00004731" w:rsidRPr="00E85BF4" w14:paraId="04300E90" w14:textId="77777777" w:rsidTr="00CB3323">
        <w:trPr>
          <w:trHeight w:val="345"/>
        </w:trPr>
        <w:tc>
          <w:tcPr>
            <w:tcW w:w="668" w:type="dxa"/>
            <w:tcBorders>
              <w:top w:val="single" w:sz="4" w:space="0" w:color="auto"/>
            </w:tcBorders>
            <w:shd w:val="clear" w:color="auto" w:fill="auto"/>
            <w:noWrap/>
            <w:vAlign w:val="bottom"/>
            <w:hideMark/>
          </w:tcPr>
          <w:p w14:paraId="0C41AFEC" w14:textId="048FF74B" w:rsidR="00004731" w:rsidRPr="00E73924" w:rsidRDefault="00004731" w:rsidP="00004731">
            <w:pPr>
              <w:spacing w:before="120" w:after="0" w:line="240" w:lineRule="auto"/>
              <w:rPr>
                <w:rFonts w:eastAsia="Times New Roman" w:cstheme="minorHAnsi"/>
                <w:b/>
                <w:bCs/>
                <w:sz w:val="18"/>
                <w:szCs w:val="18"/>
                <w:lang w:eastAsia="hr-HR"/>
              </w:rPr>
            </w:pPr>
            <w:r w:rsidRPr="00E73924">
              <w:rPr>
                <w:rFonts w:ascii="Calibri" w:hAnsi="Calibri" w:cs="Calibri"/>
                <w:b/>
                <w:bCs/>
                <w:sz w:val="18"/>
                <w:szCs w:val="18"/>
              </w:rPr>
              <w:t>1.2.5.</w:t>
            </w:r>
          </w:p>
        </w:tc>
        <w:tc>
          <w:tcPr>
            <w:tcW w:w="3036" w:type="dxa"/>
            <w:tcBorders>
              <w:top w:val="single" w:sz="4" w:space="0" w:color="auto"/>
            </w:tcBorders>
            <w:shd w:val="clear" w:color="auto" w:fill="auto"/>
            <w:noWrap/>
            <w:vAlign w:val="bottom"/>
            <w:hideMark/>
          </w:tcPr>
          <w:p w14:paraId="4F06B24C" w14:textId="350A3E9F" w:rsidR="00004731" w:rsidRPr="00E73924" w:rsidRDefault="00004731" w:rsidP="00004731">
            <w:pPr>
              <w:spacing w:before="120" w:after="0" w:line="240" w:lineRule="auto"/>
              <w:rPr>
                <w:rFonts w:eastAsia="Times New Roman" w:cstheme="minorHAnsi"/>
                <w:b/>
                <w:bCs/>
                <w:sz w:val="18"/>
                <w:szCs w:val="18"/>
                <w:lang w:eastAsia="hr-HR"/>
              </w:rPr>
            </w:pPr>
            <w:r w:rsidRPr="00E73924">
              <w:rPr>
                <w:rFonts w:ascii="Calibri" w:hAnsi="Calibri" w:cs="Calibri"/>
                <w:b/>
                <w:bCs/>
                <w:sz w:val="18"/>
                <w:szCs w:val="18"/>
              </w:rPr>
              <w:t>Usluge registracije, licenci i pristojbi</w:t>
            </w:r>
          </w:p>
        </w:tc>
        <w:tc>
          <w:tcPr>
            <w:tcW w:w="1319" w:type="dxa"/>
            <w:tcBorders>
              <w:top w:val="single" w:sz="4" w:space="0" w:color="auto"/>
            </w:tcBorders>
            <w:shd w:val="clear" w:color="auto" w:fill="auto"/>
            <w:noWrap/>
            <w:vAlign w:val="bottom"/>
            <w:hideMark/>
          </w:tcPr>
          <w:p w14:paraId="4EF2E4FA" w14:textId="1457DD85" w:rsidR="00004731" w:rsidRPr="00004731" w:rsidRDefault="00004731" w:rsidP="00004731">
            <w:pPr>
              <w:spacing w:before="120" w:after="0" w:line="240" w:lineRule="auto"/>
              <w:jc w:val="center"/>
              <w:rPr>
                <w:rFonts w:eastAsia="Times New Roman" w:cstheme="minorHAnsi"/>
                <w:b/>
                <w:bCs/>
                <w:sz w:val="18"/>
                <w:szCs w:val="18"/>
                <w:lang w:eastAsia="hr-HR"/>
              </w:rPr>
            </w:pPr>
            <w:r w:rsidRPr="00004731">
              <w:rPr>
                <w:rFonts w:ascii="Calibri" w:hAnsi="Calibri" w:cs="Calibri"/>
                <w:b/>
                <w:bCs/>
                <w:sz w:val="18"/>
                <w:szCs w:val="18"/>
              </w:rPr>
              <w:t>20.838</w:t>
            </w:r>
          </w:p>
        </w:tc>
        <w:tc>
          <w:tcPr>
            <w:tcW w:w="1153" w:type="dxa"/>
            <w:tcBorders>
              <w:top w:val="single" w:sz="4" w:space="0" w:color="auto"/>
            </w:tcBorders>
            <w:shd w:val="clear" w:color="auto" w:fill="auto"/>
            <w:noWrap/>
            <w:vAlign w:val="bottom"/>
            <w:hideMark/>
          </w:tcPr>
          <w:p w14:paraId="57471CB7" w14:textId="0AE59ED5" w:rsidR="00004731" w:rsidRPr="00004731" w:rsidRDefault="00004731" w:rsidP="00004731">
            <w:pPr>
              <w:spacing w:before="120" w:after="0" w:line="240" w:lineRule="auto"/>
              <w:jc w:val="center"/>
              <w:rPr>
                <w:rFonts w:eastAsia="Times New Roman" w:cstheme="minorHAnsi"/>
                <w:b/>
                <w:bCs/>
                <w:sz w:val="18"/>
                <w:szCs w:val="18"/>
                <w:lang w:eastAsia="hr-HR"/>
              </w:rPr>
            </w:pPr>
            <w:r w:rsidRPr="00004731">
              <w:rPr>
                <w:rFonts w:ascii="Calibri" w:hAnsi="Calibri" w:cs="Calibri"/>
                <w:b/>
                <w:bCs/>
                <w:sz w:val="18"/>
                <w:szCs w:val="18"/>
              </w:rPr>
              <w:t>27.683</w:t>
            </w:r>
          </w:p>
        </w:tc>
        <w:tc>
          <w:tcPr>
            <w:tcW w:w="1461" w:type="dxa"/>
            <w:tcBorders>
              <w:top w:val="single" w:sz="4" w:space="0" w:color="auto"/>
            </w:tcBorders>
            <w:shd w:val="clear" w:color="auto" w:fill="auto"/>
            <w:noWrap/>
            <w:vAlign w:val="bottom"/>
            <w:hideMark/>
          </w:tcPr>
          <w:p w14:paraId="5E2586C6" w14:textId="0F4D5CAA" w:rsidR="00004731" w:rsidRPr="00004731" w:rsidRDefault="00004731" w:rsidP="00004731">
            <w:pPr>
              <w:spacing w:before="120" w:after="0" w:line="240" w:lineRule="auto"/>
              <w:jc w:val="center"/>
              <w:rPr>
                <w:rFonts w:eastAsia="Times New Roman" w:cstheme="minorHAnsi"/>
                <w:b/>
                <w:bCs/>
                <w:sz w:val="18"/>
                <w:szCs w:val="18"/>
                <w:lang w:eastAsia="hr-HR"/>
              </w:rPr>
            </w:pPr>
            <w:r w:rsidRPr="00004731">
              <w:rPr>
                <w:rFonts w:ascii="Calibri" w:hAnsi="Calibri" w:cs="Calibri"/>
                <w:b/>
                <w:bCs/>
                <w:sz w:val="18"/>
                <w:szCs w:val="18"/>
              </w:rPr>
              <w:t>27.811</w:t>
            </w:r>
          </w:p>
        </w:tc>
        <w:tc>
          <w:tcPr>
            <w:tcW w:w="726" w:type="dxa"/>
            <w:tcBorders>
              <w:top w:val="single" w:sz="4" w:space="0" w:color="auto"/>
            </w:tcBorders>
            <w:shd w:val="clear" w:color="auto" w:fill="auto"/>
            <w:noWrap/>
            <w:vAlign w:val="bottom"/>
            <w:hideMark/>
          </w:tcPr>
          <w:p w14:paraId="60B04227" w14:textId="6A2B435C" w:rsidR="00004731" w:rsidRPr="00004731" w:rsidRDefault="00004731" w:rsidP="00004731">
            <w:pPr>
              <w:spacing w:before="120" w:after="0" w:line="240" w:lineRule="auto"/>
              <w:jc w:val="center"/>
              <w:rPr>
                <w:rFonts w:eastAsia="Times New Roman" w:cstheme="minorHAnsi"/>
                <w:b/>
                <w:bCs/>
                <w:sz w:val="18"/>
                <w:szCs w:val="18"/>
                <w:lang w:eastAsia="hr-HR"/>
              </w:rPr>
            </w:pPr>
            <w:r w:rsidRPr="00004731">
              <w:rPr>
                <w:rFonts w:ascii="Calibri" w:hAnsi="Calibri" w:cs="Calibri"/>
                <w:b/>
                <w:bCs/>
                <w:sz w:val="18"/>
                <w:szCs w:val="18"/>
              </w:rPr>
              <w:t>133%</w:t>
            </w:r>
          </w:p>
        </w:tc>
        <w:tc>
          <w:tcPr>
            <w:tcW w:w="726" w:type="dxa"/>
            <w:tcBorders>
              <w:top w:val="single" w:sz="4" w:space="0" w:color="auto"/>
            </w:tcBorders>
            <w:shd w:val="clear" w:color="auto" w:fill="auto"/>
            <w:noWrap/>
            <w:vAlign w:val="bottom"/>
            <w:hideMark/>
          </w:tcPr>
          <w:p w14:paraId="64E6C568" w14:textId="34334DAE" w:rsidR="00004731" w:rsidRPr="00004731" w:rsidRDefault="00004731" w:rsidP="00004731">
            <w:pPr>
              <w:spacing w:before="120" w:after="0" w:line="240" w:lineRule="auto"/>
              <w:jc w:val="center"/>
              <w:rPr>
                <w:rFonts w:eastAsia="Times New Roman" w:cstheme="minorHAnsi"/>
                <w:b/>
                <w:bCs/>
                <w:sz w:val="18"/>
                <w:szCs w:val="18"/>
                <w:lang w:eastAsia="hr-HR"/>
              </w:rPr>
            </w:pPr>
            <w:r w:rsidRPr="00004731">
              <w:rPr>
                <w:rFonts w:ascii="Calibri" w:hAnsi="Calibri" w:cs="Calibri"/>
                <w:b/>
                <w:bCs/>
                <w:sz w:val="18"/>
                <w:szCs w:val="18"/>
              </w:rPr>
              <w:t>100%</w:t>
            </w:r>
          </w:p>
        </w:tc>
      </w:tr>
      <w:tr w:rsidR="00004731" w:rsidRPr="00E85BF4" w14:paraId="3C8746D1" w14:textId="77777777" w:rsidTr="00CB3323">
        <w:trPr>
          <w:trHeight w:val="345"/>
        </w:trPr>
        <w:tc>
          <w:tcPr>
            <w:tcW w:w="668" w:type="dxa"/>
            <w:shd w:val="clear" w:color="auto" w:fill="auto"/>
            <w:noWrap/>
            <w:vAlign w:val="bottom"/>
            <w:hideMark/>
          </w:tcPr>
          <w:p w14:paraId="42AB4D61" w14:textId="51CEE4EA" w:rsidR="00004731" w:rsidRPr="00E73924" w:rsidRDefault="00004731" w:rsidP="00004731">
            <w:pPr>
              <w:spacing w:before="120" w:after="0" w:line="240" w:lineRule="auto"/>
              <w:rPr>
                <w:rFonts w:eastAsia="Times New Roman" w:cstheme="minorHAnsi"/>
                <w:sz w:val="18"/>
                <w:szCs w:val="18"/>
                <w:lang w:eastAsia="hr-HR"/>
              </w:rPr>
            </w:pPr>
            <w:r w:rsidRPr="00E73924">
              <w:rPr>
                <w:rFonts w:ascii="Calibri" w:hAnsi="Calibri" w:cs="Calibri"/>
                <w:color w:val="000000"/>
                <w:sz w:val="18"/>
                <w:szCs w:val="18"/>
              </w:rPr>
              <w:t>1.2.5.1</w:t>
            </w:r>
          </w:p>
        </w:tc>
        <w:tc>
          <w:tcPr>
            <w:tcW w:w="3036" w:type="dxa"/>
            <w:shd w:val="clear" w:color="auto" w:fill="auto"/>
            <w:noWrap/>
            <w:vAlign w:val="bottom"/>
            <w:hideMark/>
          </w:tcPr>
          <w:p w14:paraId="40C45C61" w14:textId="2C8F6E18" w:rsidR="00004731" w:rsidRPr="00E73924" w:rsidRDefault="00004731" w:rsidP="00004731">
            <w:pPr>
              <w:spacing w:before="120" w:after="0" w:line="240" w:lineRule="auto"/>
              <w:rPr>
                <w:rFonts w:eastAsia="Times New Roman" w:cstheme="minorHAnsi"/>
                <w:sz w:val="18"/>
                <w:szCs w:val="18"/>
                <w:lang w:eastAsia="hr-HR"/>
              </w:rPr>
            </w:pPr>
            <w:r w:rsidRPr="00E73924">
              <w:rPr>
                <w:rFonts w:ascii="Calibri" w:hAnsi="Calibri" w:cs="Calibri"/>
                <w:color w:val="000000"/>
                <w:sz w:val="18"/>
                <w:szCs w:val="18"/>
              </w:rPr>
              <w:t>Trošak registracije</w:t>
            </w:r>
          </w:p>
        </w:tc>
        <w:tc>
          <w:tcPr>
            <w:tcW w:w="1319" w:type="dxa"/>
            <w:shd w:val="clear" w:color="auto" w:fill="auto"/>
            <w:noWrap/>
            <w:vAlign w:val="bottom"/>
            <w:hideMark/>
          </w:tcPr>
          <w:p w14:paraId="4818BC6C" w14:textId="0F44C99B"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17.204</w:t>
            </w:r>
          </w:p>
        </w:tc>
        <w:tc>
          <w:tcPr>
            <w:tcW w:w="1153" w:type="dxa"/>
            <w:shd w:val="clear" w:color="auto" w:fill="auto"/>
            <w:noWrap/>
            <w:vAlign w:val="bottom"/>
            <w:hideMark/>
          </w:tcPr>
          <w:p w14:paraId="78014423" w14:textId="06FB2FA5"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18.398</w:t>
            </w:r>
          </w:p>
        </w:tc>
        <w:tc>
          <w:tcPr>
            <w:tcW w:w="1461" w:type="dxa"/>
            <w:shd w:val="clear" w:color="auto" w:fill="auto"/>
            <w:noWrap/>
            <w:vAlign w:val="bottom"/>
            <w:hideMark/>
          </w:tcPr>
          <w:p w14:paraId="639FE8CD" w14:textId="060D40AE"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18.606</w:t>
            </w:r>
          </w:p>
        </w:tc>
        <w:tc>
          <w:tcPr>
            <w:tcW w:w="726" w:type="dxa"/>
            <w:shd w:val="clear" w:color="auto" w:fill="auto"/>
            <w:noWrap/>
            <w:vAlign w:val="bottom"/>
            <w:hideMark/>
          </w:tcPr>
          <w:p w14:paraId="08B2E481" w14:textId="0533BDFD"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108%</w:t>
            </w:r>
          </w:p>
        </w:tc>
        <w:tc>
          <w:tcPr>
            <w:tcW w:w="726" w:type="dxa"/>
            <w:shd w:val="clear" w:color="auto" w:fill="auto"/>
            <w:noWrap/>
            <w:vAlign w:val="bottom"/>
            <w:hideMark/>
          </w:tcPr>
          <w:p w14:paraId="51F4EF25" w14:textId="4B4B51C2"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101%</w:t>
            </w:r>
          </w:p>
        </w:tc>
      </w:tr>
      <w:tr w:rsidR="00004731" w:rsidRPr="00E85BF4" w14:paraId="594C5EB0" w14:textId="77777777" w:rsidTr="00CB3323">
        <w:trPr>
          <w:trHeight w:val="345"/>
        </w:trPr>
        <w:tc>
          <w:tcPr>
            <w:tcW w:w="668" w:type="dxa"/>
            <w:shd w:val="clear" w:color="auto" w:fill="auto"/>
            <w:noWrap/>
            <w:vAlign w:val="bottom"/>
            <w:hideMark/>
          </w:tcPr>
          <w:p w14:paraId="2CB49ABE" w14:textId="12E28509" w:rsidR="00004731" w:rsidRPr="00E73924" w:rsidRDefault="00004731" w:rsidP="00004731">
            <w:pPr>
              <w:spacing w:before="120" w:after="0" w:line="240" w:lineRule="auto"/>
              <w:rPr>
                <w:rFonts w:eastAsia="Times New Roman" w:cstheme="minorHAnsi"/>
                <w:sz w:val="18"/>
                <w:szCs w:val="18"/>
                <w:lang w:eastAsia="hr-HR"/>
              </w:rPr>
            </w:pPr>
            <w:r w:rsidRPr="00E73924">
              <w:rPr>
                <w:rFonts w:ascii="Calibri" w:hAnsi="Calibri" w:cs="Calibri"/>
                <w:color w:val="000000"/>
                <w:sz w:val="18"/>
                <w:szCs w:val="18"/>
              </w:rPr>
              <w:t>1.2.5.2</w:t>
            </w:r>
          </w:p>
        </w:tc>
        <w:tc>
          <w:tcPr>
            <w:tcW w:w="3036" w:type="dxa"/>
            <w:shd w:val="clear" w:color="auto" w:fill="auto"/>
            <w:noWrap/>
            <w:vAlign w:val="bottom"/>
            <w:hideMark/>
          </w:tcPr>
          <w:p w14:paraId="27A12432" w14:textId="6D5EC9E7" w:rsidR="00004731" w:rsidRPr="00E73924" w:rsidRDefault="00004731" w:rsidP="00004731">
            <w:pPr>
              <w:spacing w:before="120" w:after="0" w:line="240" w:lineRule="auto"/>
              <w:rPr>
                <w:rFonts w:eastAsia="Times New Roman" w:cstheme="minorHAnsi"/>
                <w:sz w:val="18"/>
                <w:szCs w:val="18"/>
                <w:lang w:eastAsia="hr-HR"/>
              </w:rPr>
            </w:pPr>
            <w:r w:rsidRPr="00E73924">
              <w:rPr>
                <w:rFonts w:ascii="Calibri" w:hAnsi="Calibri" w:cs="Calibri"/>
                <w:color w:val="000000"/>
                <w:sz w:val="18"/>
                <w:szCs w:val="18"/>
              </w:rPr>
              <w:t xml:space="preserve">Troškovi licenci </w:t>
            </w:r>
          </w:p>
        </w:tc>
        <w:tc>
          <w:tcPr>
            <w:tcW w:w="1319" w:type="dxa"/>
            <w:shd w:val="clear" w:color="auto" w:fill="auto"/>
            <w:noWrap/>
            <w:vAlign w:val="bottom"/>
            <w:hideMark/>
          </w:tcPr>
          <w:p w14:paraId="6BF65C57" w14:textId="58F2599E"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3.237</w:t>
            </w:r>
          </w:p>
        </w:tc>
        <w:tc>
          <w:tcPr>
            <w:tcW w:w="1153" w:type="dxa"/>
            <w:shd w:val="clear" w:color="auto" w:fill="auto"/>
            <w:noWrap/>
            <w:vAlign w:val="bottom"/>
            <w:hideMark/>
          </w:tcPr>
          <w:p w14:paraId="65416F10" w14:textId="0BAFA9DB"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5.502</w:t>
            </w:r>
          </w:p>
        </w:tc>
        <w:tc>
          <w:tcPr>
            <w:tcW w:w="1461" w:type="dxa"/>
            <w:shd w:val="clear" w:color="auto" w:fill="auto"/>
            <w:noWrap/>
            <w:vAlign w:val="bottom"/>
            <w:hideMark/>
          </w:tcPr>
          <w:p w14:paraId="1A4EA397" w14:textId="2E00C439"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5.422</w:t>
            </w:r>
          </w:p>
        </w:tc>
        <w:tc>
          <w:tcPr>
            <w:tcW w:w="726" w:type="dxa"/>
            <w:shd w:val="clear" w:color="auto" w:fill="auto"/>
            <w:noWrap/>
            <w:vAlign w:val="bottom"/>
            <w:hideMark/>
          </w:tcPr>
          <w:p w14:paraId="55E6851C" w14:textId="06303106"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168%</w:t>
            </w:r>
          </w:p>
        </w:tc>
        <w:tc>
          <w:tcPr>
            <w:tcW w:w="726" w:type="dxa"/>
            <w:shd w:val="clear" w:color="auto" w:fill="auto"/>
            <w:noWrap/>
            <w:vAlign w:val="bottom"/>
            <w:hideMark/>
          </w:tcPr>
          <w:p w14:paraId="078D784A" w14:textId="727F9052"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99%</w:t>
            </w:r>
          </w:p>
        </w:tc>
      </w:tr>
      <w:tr w:rsidR="00004731" w:rsidRPr="00E85BF4" w14:paraId="74BA207E" w14:textId="77777777" w:rsidTr="00CB3323">
        <w:trPr>
          <w:trHeight w:val="345"/>
        </w:trPr>
        <w:tc>
          <w:tcPr>
            <w:tcW w:w="668" w:type="dxa"/>
            <w:shd w:val="clear" w:color="auto" w:fill="auto"/>
            <w:noWrap/>
            <w:vAlign w:val="bottom"/>
            <w:hideMark/>
          </w:tcPr>
          <w:p w14:paraId="61D95B6E" w14:textId="3C99224B" w:rsidR="00004731" w:rsidRPr="00E73924" w:rsidRDefault="00004731" w:rsidP="00004731">
            <w:pPr>
              <w:spacing w:before="120" w:after="0" w:line="240" w:lineRule="auto"/>
              <w:rPr>
                <w:rFonts w:eastAsia="Times New Roman" w:cstheme="minorHAnsi"/>
                <w:sz w:val="18"/>
                <w:szCs w:val="18"/>
                <w:lang w:eastAsia="hr-HR"/>
              </w:rPr>
            </w:pPr>
            <w:r w:rsidRPr="00E73924">
              <w:rPr>
                <w:rFonts w:ascii="Calibri" w:hAnsi="Calibri" w:cs="Calibri"/>
                <w:color w:val="000000"/>
                <w:sz w:val="18"/>
                <w:szCs w:val="18"/>
              </w:rPr>
              <w:t>1.2.5.3</w:t>
            </w:r>
          </w:p>
        </w:tc>
        <w:tc>
          <w:tcPr>
            <w:tcW w:w="3036" w:type="dxa"/>
            <w:shd w:val="clear" w:color="auto" w:fill="auto"/>
            <w:noWrap/>
            <w:vAlign w:val="bottom"/>
            <w:hideMark/>
          </w:tcPr>
          <w:p w14:paraId="6A956E77" w14:textId="08115957" w:rsidR="00004731" w:rsidRPr="00E73924" w:rsidRDefault="00004731" w:rsidP="00004731">
            <w:pPr>
              <w:spacing w:before="120" w:after="0" w:line="240" w:lineRule="auto"/>
              <w:rPr>
                <w:rFonts w:eastAsia="Times New Roman" w:cstheme="minorHAnsi"/>
                <w:sz w:val="18"/>
                <w:szCs w:val="18"/>
                <w:lang w:eastAsia="hr-HR"/>
              </w:rPr>
            </w:pPr>
            <w:r w:rsidRPr="00E73924">
              <w:rPr>
                <w:rFonts w:ascii="Calibri" w:hAnsi="Calibri" w:cs="Calibri"/>
                <w:color w:val="000000"/>
                <w:sz w:val="18"/>
                <w:szCs w:val="18"/>
              </w:rPr>
              <w:t>Troškovi za pristojbe i takse</w:t>
            </w:r>
          </w:p>
        </w:tc>
        <w:tc>
          <w:tcPr>
            <w:tcW w:w="1319" w:type="dxa"/>
            <w:shd w:val="clear" w:color="auto" w:fill="auto"/>
            <w:noWrap/>
            <w:vAlign w:val="bottom"/>
            <w:hideMark/>
          </w:tcPr>
          <w:p w14:paraId="01BBAD77" w14:textId="37AACE35"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397</w:t>
            </w:r>
          </w:p>
        </w:tc>
        <w:tc>
          <w:tcPr>
            <w:tcW w:w="1153" w:type="dxa"/>
            <w:shd w:val="clear" w:color="auto" w:fill="auto"/>
            <w:noWrap/>
            <w:vAlign w:val="bottom"/>
            <w:hideMark/>
          </w:tcPr>
          <w:p w14:paraId="17FA66BB" w14:textId="08C10998"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3.783</w:t>
            </w:r>
          </w:p>
        </w:tc>
        <w:tc>
          <w:tcPr>
            <w:tcW w:w="1461" w:type="dxa"/>
            <w:shd w:val="clear" w:color="auto" w:fill="auto"/>
            <w:noWrap/>
            <w:vAlign w:val="bottom"/>
            <w:hideMark/>
          </w:tcPr>
          <w:p w14:paraId="7C43C5C3" w14:textId="544ACD9F"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3.783</w:t>
            </w:r>
          </w:p>
        </w:tc>
        <w:tc>
          <w:tcPr>
            <w:tcW w:w="726" w:type="dxa"/>
            <w:shd w:val="clear" w:color="auto" w:fill="auto"/>
            <w:noWrap/>
            <w:vAlign w:val="bottom"/>
            <w:hideMark/>
          </w:tcPr>
          <w:p w14:paraId="4F06B2AA" w14:textId="455826AF"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953%</w:t>
            </w:r>
          </w:p>
        </w:tc>
        <w:tc>
          <w:tcPr>
            <w:tcW w:w="726" w:type="dxa"/>
            <w:shd w:val="clear" w:color="auto" w:fill="auto"/>
            <w:noWrap/>
            <w:vAlign w:val="bottom"/>
            <w:hideMark/>
          </w:tcPr>
          <w:p w14:paraId="4F010218" w14:textId="26CEA0E3" w:rsidR="00004731" w:rsidRPr="00004731" w:rsidRDefault="00004731" w:rsidP="00004731">
            <w:pPr>
              <w:spacing w:before="120" w:after="0" w:line="240" w:lineRule="auto"/>
              <w:jc w:val="center"/>
              <w:rPr>
                <w:rFonts w:eastAsia="Times New Roman" w:cstheme="minorHAnsi"/>
                <w:sz w:val="18"/>
                <w:szCs w:val="18"/>
                <w:lang w:eastAsia="hr-HR"/>
              </w:rPr>
            </w:pPr>
            <w:r w:rsidRPr="00004731">
              <w:rPr>
                <w:rFonts w:ascii="Calibri" w:hAnsi="Calibri" w:cs="Calibri"/>
                <w:sz w:val="18"/>
                <w:szCs w:val="18"/>
              </w:rPr>
              <w:t>100%</w:t>
            </w:r>
          </w:p>
        </w:tc>
      </w:tr>
    </w:tbl>
    <w:p w14:paraId="6067A315" w14:textId="77777777" w:rsidR="006253CF" w:rsidRDefault="006253CF" w:rsidP="00BD455D"/>
    <w:p w14:paraId="423D3903" w14:textId="77777777" w:rsidR="006253CF" w:rsidRDefault="006253CF" w:rsidP="006253CF">
      <w:pPr>
        <w:spacing w:line="360" w:lineRule="auto"/>
        <w:jc w:val="both"/>
      </w:pPr>
      <w:r w:rsidRPr="006253CF">
        <w:t>Ukupni troškovi registracija, licenci i pristojbi u 2024. godini iznose 27.811 eura, što predstavlja povećanje od 33% u odnosu na 2023. godinu te su na razini rebalansa plana.</w:t>
      </w:r>
      <w:r>
        <w:t xml:space="preserve"> </w:t>
      </w:r>
    </w:p>
    <w:p w14:paraId="1BA23B1E" w14:textId="19878A47" w:rsidR="00CC03D4" w:rsidRDefault="006253CF" w:rsidP="006253CF">
      <w:pPr>
        <w:spacing w:line="360" w:lineRule="auto"/>
        <w:jc w:val="both"/>
      </w:pPr>
      <w:r w:rsidRPr="006253CF">
        <w:t xml:space="preserve">Troškovi registracije </w:t>
      </w:r>
      <w:r>
        <w:t xml:space="preserve">povećani su </w:t>
      </w:r>
      <w:r w:rsidRPr="006253CF">
        <w:t>zbog nabave novih poluprikolica, troškovi licenc</w:t>
      </w:r>
      <w:r w:rsidR="00895D80">
        <w:t>i</w:t>
      </w:r>
      <w:r w:rsidRPr="006253CF">
        <w:t xml:space="preserve"> zbog povećanja obujma usluga dok su troškovi za pristojbe povećani zbog pristojbi za lokacijsku dozvolu</w:t>
      </w:r>
      <w:r w:rsidR="00CC03D4">
        <w:t>.</w:t>
      </w:r>
    </w:p>
    <w:p w14:paraId="39C29D67" w14:textId="37158AF0" w:rsidR="00CC03D4" w:rsidRPr="009E2CE8" w:rsidRDefault="00CC03D4" w:rsidP="00CC03D4">
      <w:pPr>
        <w:pStyle w:val="Caption"/>
        <w:spacing w:before="240" w:after="240" w:line="360" w:lineRule="auto"/>
        <w:jc w:val="both"/>
        <w:rPr>
          <w:rFonts w:asciiTheme="minorHAnsi" w:hAnsiTheme="minorHAnsi" w:cstheme="minorHAnsi"/>
          <w:b w:val="0"/>
          <w:bCs w:val="0"/>
          <w:sz w:val="22"/>
          <w:szCs w:val="22"/>
        </w:rPr>
      </w:pPr>
      <w:bookmarkStart w:id="66" w:name="_Toc200366464"/>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26</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w:t>
      </w:r>
      <w:r w:rsidRPr="00840E6B">
        <w:rPr>
          <w:rFonts w:asciiTheme="minorHAnsi" w:hAnsiTheme="minorHAnsi" w:cstheme="minorHAnsi"/>
          <w:b w:val="0"/>
          <w:bCs w:val="0"/>
          <w:sz w:val="22"/>
          <w:szCs w:val="22"/>
        </w:rPr>
        <w:t xml:space="preserve"> Troškovi zakupa</w:t>
      </w:r>
      <w:r>
        <w:rPr>
          <w:rFonts w:asciiTheme="minorHAnsi" w:hAnsiTheme="minorHAnsi" w:cstheme="minorHAnsi"/>
          <w:b w:val="0"/>
          <w:bCs w:val="0"/>
          <w:sz w:val="22"/>
          <w:szCs w:val="22"/>
        </w:rPr>
        <w:t>/leasinga</w:t>
      </w:r>
      <w:bookmarkEnd w:id="66"/>
      <w:r w:rsidRPr="00840E6B">
        <w:rPr>
          <w:rFonts w:asciiTheme="minorHAnsi" w:hAnsiTheme="minorHAnsi" w:cstheme="minorHAnsi"/>
          <w:b w:val="0"/>
          <w:bCs w:val="0"/>
          <w:sz w:val="22"/>
          <w:szCs w:val="22"/>
        </w:rPr>
        <w:t xml:space="preserve">  </w:t>
      </w:r>
    </w:p>
    <w:tbl>
      <w:tblPr>
        <w:tblW w:w="90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
        <w:gridCol w:w="3050"/>
        <w:gridCol w:w="1247"/>
        <w:gridCol w:w="1247"/>
        <w:gridCol w:w="1247"/>
        <w:gridCol w:w="737"/>
        <w:gridCol w:w="737"/>
      </w:tblGrid>
      <w:tr w:rsidR="00CC03D4" w:rsidRPr="009E2CE8" w14:paraId="28BFAE84" w14:textId="77777777" w:rsidTr="00CC03D4">
        <w:trPr>
          <w:trHeight w:val="624"/>
        </w:trPr>
        <w:tc>
          <w:tcPr>
            <w:tcW w:w="773" w:type="dxa"/>
            <w:tcBorders>
              <w:top w:val="single" w:sz="4" w:space="0" w:color="auto"/>
              <w:bottom w:val="single" w:sz="4" w:space="0" w:color="auto"/>
            </w:tcBorders>
            <w:shd w:val="clear" w:color="auto" w:fill="auto"/>
            <w:noWrap/>
            <w:vAlign w:val="center"/>
            <w:hideMark/>
          </w:tcPr>
          <w:p w14:paraId="7A1D5866" w14:textId="77777777" w:rsidR="00CC03D4" w:rsidRPr="009E2CE8" w:rsidRDefault="00CC03D4" w:rsidP="00CC03D4">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050" w:type="dxa"/>
            <w:tcBorders>
              <w:top w:val="single" w:sz="4" w:space="0" w:color="auto"/>
              <w:bottom w:val="single" w:sz="4" w:space="0" w:color="auto"/>
            </w:tcBorders>
            <w:shd w:val="clear" w:color="auto" w:fill="auto"/>
            <w:noWrap/>
            <w:vAlign w:val="center"/>
            <w:hideMark/>
          </w:tcPr>
          <w:p w14:paraId="52D5350B" w14:textId="77777777" w:rsidR="00CC03D4" w:rsidRPr="009E2CE8" w:rsidRDefault="00CC03D4" w:rsidP="00CC03D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5860C7BA" w14:textId="7C9A920D" w:rsidR="00CC03D4" w:rsidRPr="009E2CE8" w:rsidRDefault="00CC03D4" w:rsidP="00CC03D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13DB1785" w14:textId="08970316" w:rsidR="00CC03D4" w:rsidRPr="009E2CE8" w:rsidRDefault="00CC03D4" w:rsidP="00CC03D4">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572200D6" w14:textId="4A65562F" w:rsidR="00CC03D4" w:rsidRPr="009E2CE8" w:rsidRDefault="00CC03D4" w:rsidP="00CC03D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7" w:type="dxa"/>
            <w:tcBorders>
              <w:top w:val="single" w:sz="4" w:space="0" w:color="auto"/>
              <w:bottom w:val="single" w:sz="4" w:space="0" w:color="auto"/>
            </w:tcBorders>
            <w:shd w:val="clear" w:color="auto" w:fill="auto"/>
            <w:noWrap/>
            <w:vAlign w:val="center"/>
            <w:hideMark/>
          </w:tcPr>
          <w:p w14:paraId="4E87026F" w14:textId="77777777" w:rsidR="00CC03D4" w:rsidRPr="009E2CE8" w:rsidRDefault="00CC03D4" w:rsidP="00CC03D4">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2C753D5C" w14:textId="77777777" w:rsidR="00CC03D4" w:rsidRPr="009E2CE8" w:rsidRDefault="00CC03D4" w:rsidP="00CC03D4">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CC03D4" w:rsidRPr="009E2CE8" w14:paraId="3B3D7BD4" w14:textId="77777777" w:rsidTr="00CC03D4">
        <w:trPr>
          <w:trHeight w:val="57"/>
        </w:trPr>
        <w:tc>
          <w:tcPr>
            <w:tcW w:w="773" w:type="dxa"/>
            <w:tcBorders>
              <w:top w:val="single" w:sz="4" w:space="0" w:color="auto"/>
              <w:bottom w:val="single" w:sz="4" w:space="0" w:color="auto"/>
            </w:tcBorders>
            <w:shd w:val="clear" w:color="auto" w:fill="auto"/>
            <w:noWrap/>
            <w:vAlign w:val="center"/>
          </w:tcPr>
          <w:p w14:paraId="5C96CB5A" w14:textId="77777777" w:rsidR="00CC03D4" w:rsidRPr="00595DF2" w:rsidRDefault="00CC03D4" w:rsidP="009F3D2D">
            <w:pPr>
              <w:pStyle w:val="NoSpacing"/>
              <w:jc w:val="center"/>
              <w:rPr>
                <w:color w:val="D9D9D9" w:themeColor="background1" w:themeShade="D9"/>
                <w:sz w:val="16"/>
                <w:szCs w:val="16"/>
                <w:lang w:eastAsia="hr-HR"/>
              </w:rPr>
            </w:pPr>
            <w:r w:rsidRPr="00595DF2">
              <w:rPr>
                <w:color w:val="D9D9D9" w:themeColor="background1" w:themeShade="D9"/>
                <w:sz w:val="16"/>
                <w:szCs w:val="16"/>
                <w:lang w:eastAsia="hr-HR"/>
              </w:rPr>
              <w:t>1</w:t>
            </w:r>
          </w:p>
        </w:tc>
        <w:tc>
          <w:tcPr>
            <w:tcW w:w="3050" w:type="dxa"/>
            <w:tcBorders>
              <w:top w:val="single" w:sz="4" w:space="0" w:color="auto"/>
              <w:bottom w:val="single" w:sz="4" w:space="0" w:color="auto"/>
            </w:tcBorders>
            <w:shd w:val="clear" w:color="auto" w:fill="auto"/>
            <w:noWrap/>
            <w:vAlign w:val="center"/>
          </w:tcPr>
          <w:p w14:paraId="20042DE3" w14:textId="77777777" w:rsidR="00CC03D4" w:rsidRPr="00595DF2" w:rsidRDefault="00CC03D4" w:rsidP="009F3D2D">
            <w:pPr>
              <w:pStyle w:val="NoSpacing"/>
              <w:jc w:val="center"/>
              <w:rPr>
                <w:color w:val="D9D9D9" w:themeColor="background1" w:themeShade="D9"/>
                <w:sz w:val="16"/>
                <w:szCs w:val="16"/>
                <w:lang w:eastAsia="hr-HR"/>
              </w:rPr>
            </w:pPr>
            <w:r w:rsidRPr="00595DF2">
              <w:rPr>
                <w:color w:val="D9D9D9" w:themeColor="background1" w:themeShade="D9"/>
                <w:sz w:val="16"/>
                <w:szCs w:val="16"/>
                <w:lang w:eastAsia="hr-HR"/>
              </w:rPr>
              <w:t>2</w:t>
            </w:r>
          </w:p>
        </w:tc>
        <w:tc>
          <w:tcPr>
            <w:tcW w:w="1247" w:type="dxa"/>
            <w:tcBorders>
              <w:top w:val="single" w:sz="4" w:space="0" w:color="auto"/>
              <w:bottom w:val="single" w:sz="4" w:space="0" w:color="auto"/>
            </w:tcBorders>
            <w:shd w:val="clear" w:color="auto" w:fill="auto"/>
            <w:noWrap/>
            <w:vAlign w:val="center"/>
          </w:tcPr>
          <w:p w14:paraId="5B613069" w14:textId="77777777" w:rsidR="00CC03D4" w:rsidRPr="00595DF2" w:rsidRDefault="00CC03D4" w:rsidP="009F3D2D">
            <w:pPr>
              <w:pStyle w:val="NoSpacing"/>
              <w:jc w:val="center"/>
              <w:rPr>
                <w:rFonts w:ascii="Calibri" w:hAnsi="Calibri" w:cs="Calibri"/>
                <w:color w:val="D9D9D9" w:themeColor="background1" w:themeShade="D9"/>
                <w:sz w:val="16"/>
                <w:szCs w:val="16"/>
                <w:lang w:eastAsia="hr-HR"/>
              </w:rPr>
            </w:pPr>
            <w:r w:rsidRPr="00595DF2">
              <w:rPr>
                <w:color w:val="D9D9D9" w:themeColor="background1" w:themeShade="D9"/>
                <w:sz w:val="16"/>
                <w:szCs w:val="16"/>
                <w:lang w:eastAsia="hr-HR"/>
              </w:rPr>
              <w:t>3</w:t>
            </w:r>
          </w:p>
        </w:tc>
        <w:tc>
          <w:tcPr>
            <w:tcW w:w="1247" w:type="dxa"/>
            <w:tcBorders>
              <w:top w:val="single" w:sz="4" w:space="0" w:color="auto"/>
              <w:bottom w:val="single" w:sz="4" w:space="0" w:color="auto"/>
            </w:tcBorders>
            <w:shd w:val="clear" w:color="auto" w:fill="auto"/>
            <w:noWrap/>
            <w:vAlign w:val="center"/>
          </w:tcPr>
          <w:p w14:paraId="3A8B08E8" w14:textId="77777777" w:rsidR="00CC03D4" w:rsidRPr="00595DF2" w:rsidRDefault="00CC03D4" w:rsidP="009F3D2D">
            <w:pPr>
              <w:pStyle w:val="NoSpacing"/>
              <w:jc w:val="center"/>
              <w:rPr>
                <w:color w:val="D9D9D9" w:themeColor="background1" w:themeShade="D9"/>
                <w:sz w:val="16"/>
                <w:szCs w:val="16"/>
                <w:lang w:eastAsia="hr-HR"/>
              </w:rPr>
            </w:pPr>
            <w:r w:rsidRPr="00595DF2">
              <w:rPr>
                <w:color w:val="D9D9D9" w:themeColor="background1" w:themeShade="D9"/>
                <w:sz w:val="16"/>
                <w:szCs w:val="16"/>
                <w:lang w:eastAsia="hr-HR"/>
              </w:rPr>
              <w:t>4</w:t>
            </w:r>
          </w:p>
        </w:tc>
        <w:tc>
          <w:tcPr>
            <w:tcW w:w="1247" w:type="dxa"/>
            <w:tcBorders>
              <w:top w:val="single" w:sz="4" w:space="0" w:color="auto"/>
              <w:bottom w:val="single" w:sz="4" w:space="0" w:color="auto"/>
            </w:tcBorders>
            <w:shd w:val="clear" w:color="auto" w:fill="auto"/>
            <w:noWrap/>
            <w:vAlign w:val="center"/>
          </w:tcPr>
          <w:p w14:paraId="02E1812E" w14:textId="77777777" w:rsidR="00CC03D4" w:rsidRPr="00595DF2" w:rsidRDefault="00CC03D4" w:rsidP="009F3D2D">
            <w:pPr>
              <w:pStyle w:val="NoSpacing"/>
              <w:jc w:val="center"/>
              <w:rPr>
                <w:rFonts w:ascii="Calibri" w:hAnsi="Calibri" w:cs="Calibri"/>
                <w:color w:val="D9D9D9" w:themeColor="background1" w:themeShade="D9"/>
                <w:sz w:val="16"/>
                <w:szCs w:val="16"/>
                <w:lang w:eastAsia="hr-HR"/>
              </w:rPr>
            </w:pPr>
            <w:r w:rsidRPr="00595DF2">
              <w:rPr>
                <w:color w:val="D9D9D9" w:themeColor="background1" w:themeShade="D9"/>
                <w:sz w:val="16"/>
                <w:szCs w:val="16"/>
                <w:lang w:eastAsia="hr-HR"/>
              </w:rPr>
              <w:t>5</w:t>
            </w:r>
          </w:p>
        </w:tc>
        <w:tc>
          <w:tcPr>
            <w:tcW w:w="737" w:type="dxa"/>
            <w:tcBorders>
              <w:top w:val="single" w:sz="4" w:space="0" w:color="auto"/>
              <w:bottom w:val="single" w:sz="4" w:space="0" w:color="auto"/>
            </w:tcBorders>
            <w:shd w:val="clear" w:color="auto" w:fill="auto"/>
            <w:noWrap/>
            <w:vAlign w:val="center"/>
          </w:tcPr>
          <w:p w14:paraId="20256D79" w14:textId="77777777" w:rsidR="00CC03D4" w:rsidRPr="00595DF2" w:rsidRDefault="00CC03D4" w:rsidP="009F3D2D">
            <w:pPr>
              <w:pStyle w:val="NoSpacing"/>
              <w:jc w:val="center"/>
              <w:rPr>
                <w:rFonts w:ascii="Calibri" w:hAnsi="Calibri" w:cs="Calibri"/>
                <w:color w:val="D9D9D9" w:themeColor="background1" w:themeShade="D9"/>
                <w:sz w:val="16"/>
                <w:szCs w:val="16"/>
                <w:lang w:eastAsia="hr-HR"/>
              </w:rPr>
            </w:pPr>
            <w:r w:rsidRPr="00595DF2">
              <w:rPr>
                <w:color w:val="D9D9D9" w:themeColor="background1" w:themeShade="D9"/>
                <w:sz w:val="16"/>
                <w:szCs w:val="16"/>
                <w:lang w:eastAsia="hr-HR"/>
              </w:rPr>
              <w:t>6</w:t>
            </w:r>
          </w:p>
        </w:tc>
        <w:tc>
          <w:tcPr>
            <w:tcW w:w="737" w:type="dxa"/>
            <w:tcBorders>
              <w:top w:val="single" w:sz="4" w:space="0" w:color="auto"/>
              <w:bottom w:val="single" w:sz="4" w:space="0" w:color="auto"/>
            </w:tcBorders>
            <w:shd w:val="clear" w:color="auto" w:fill="auto"/>
            <w:noWrap/>
            <w:vAlign w:val="center"/>
          </w:tcPr>
          <w:p w14:paraId="56E5716E" w14:textId="77777777" w:rsidR="00CC03D4" w:rsidRPr="00595DF2" w:rsidRDefault="00CC03D4" w:rsidP="009F3D2D">
            <w:pPr>
              <w:pStyle w:val="NoSpacing"/>
              <w:jc w:val="center"/>
              <w:rPr>
                <w:rFonts w:ascii="Calibri" w:hAnsi="Calibri" w:cs="Calibri"/>
                <w:color w:val="D9D9D9" w:themeColor="background1" w:themeShade="D9"/>
                <w:sz w:val="16"/>
                <w:szCs w:val="16"/>
                <w:lang w:eastAsia="hr-HR"/>
              </w:rPr>
            </w:pPr>
            <w:r w:rsidRPr="00595DF2">
              <w:rPr>
                <w:color w:val="D9D9D9" w:themeColor="background1" w:themeShade="D9"/>
                <w:sz w:val="16"/>
                <w:szCs w:val="16"/>
                <w:lang w:eastAsia="hr-HR"/>
              </w:rPr>
              <w:t>7</w:t>
            </w:r>
          </w:p>
        </w:tc>
      </w:tr>
      <w:tr w:rsidR="00CC03D4" w:rsidRPr="009E2CE8" w14:paraId="707E8FB1" w14:textId="77777777" w:rsidTr="00CC03D4">
        <w:trPr>
          <w:trHeight w:val="340"/>
        </w:trPr>
        <w:tc>
          <w:tcPr>
            <w:tcW w:w="773" w:type="dxa"/>
            <w:tcBorders>
              <w:top w:val="single" w:sz="4" w:space="0" w:color="auto"/>
            </w:tcBorders>
            <w:shd w:val="clear" w:color="auto" w:fill="auto"/>
            <w:noWrap/>
            <w:vAlign w:val="bottom"/>
            <w:hideMark/>
          </w:tcPr>
          <w:p w14:paraId="40C438F3" w14:textId="77777777" w:rsidR="00CC03D4" w:rsidRPr="00215193" w:rsidRDefault="00CC03D4" w:rsidP="00CC03D4">
            <w:pPr>
              <w:spacing w:before="120" w:after="0" w:line="240" w:lineRule="auto"/>
              <w:rPr>
                <w:rFonts w:eastAsia="Times New Roman" w:cstheme="minorHAnsi"/>
                <w:b/>
                <w:bCs/>
                <w:sz w:val="18"/>
                <w:szCs w:val="18"/>
                <w:lang w:eastAsia="hr-HR"/>
              </w:rPr>
            </w:pPr>
            <w:r w:rsidRPr="00215193">
              <w:rPr>
                <w:rFonts w:ascii="Calibri" w:hAnsi="Calibri" w:cs="Calibri"/>
                <w:b/>
                <w:bCs/>
                <w:sz w:val="18"/>
                <w:szCs w:val="18"/>
              </w:rPr>
              <w:t>1.2.6.</w:t>
            </w:r>
          </w:p>
        </w:tc>
        <w:tc>
          <w:tcPr>
            <w:tcW w:w="3050" w:type="dxa"/>
            <w:tcBorders>
              <w:top w:val="single" w:sz="4" w:space="0" w:color="auto"/>
            </w:tcBorders>
            <w:shd w:val="clear" w:color="auto" w:fill="auto"/>
            <w:noWrap/>
            <w:vAlign w:val="bottom"/>
            <w:hideMark/>
          </w:tcPr>
          <w:p w14:paraId="42C9A050" w14:textId="77777777" w:rsidR="00CC03D4" w:rsidRPr="00215193" w:rsidRDefault="00CC03D4" w:rsidP="00CC03D4">
            <w:pPr>
              <w:spacing w:before="120" w:after="0" w:line="240" w:lineRule="auto"/>
              <w:rPr>
                <w:rFonts w:eastAsia="Times New Roman" w:cstheme="minorHAnsi"/>
                <w:b/>
                <w:bCs/>
                <w:sz w:val="18"/>
                <w:szCs w:val="18"/>
                <w:lang w:eastAsia="hr-HR"/>
              </w:rPr>
            </w:pPr>
            <w:r w:rsidRPr="00215193">
              <w:rPr>
                <w:rFonts w:ascii="Calibri" w:hAnsi="Calibri" w:cs="Calibri"/>
                <w:b/>
                <w:bCs/>
                <w:sz w:val="18"/>
                <w:szCs w:val="18"/>
              </w:rPr>
              <w:t xml:space="preserve">Troškovi zakupa </w:t>
            </w:r>
          </w:p>
        </w:tc>
        <w:tc>
          <w:tcPr>
            <w:tcW w:w="1247" w:type="dxa"/>
            <w:tcBorders>
              <w:top w:val="single" w:sz="4" w:space="0" w:color="auto"/>
            </w:tcBorders>
            <w:shd w:val="clear" w:color="auto" w:fill="auto"/>
            <w:noWrap/>
            <w:vAlign w:val="bottom"/>
            <w:hideMark/>
          </w:tcPr>
          <w:p w14:paraId="4C17F554" w14:textId="7D521197" w:rsidR="00CC03D4" w:rsidRPr="00CC03D4" w:rsidRDefault="00CC03D4" w:rsidP="00CC03D4">
            <w:pPr>
              <w:spacing w:before="120" w:after="0" w:line="240" w:lineRule="auto"/>
              <w:jc w:val="center"/>
              <w:rPr>
                <w:rFonts w:eastAsia="Times New Roman" w:cstheme="minorHAnsi"/>
                <w:b/>
                <w:bCs/>
                <w:sz w:val="18"/>
                <w:szCs w:val="18"/>
                <w:lang w:eastAsia="hr-HR"/>
              </w:rPr>
            </w:pPr>
            <w:r w:rsidRPr="00CC03D4">
              <w:rPr>
                <w:rFonts w:ascii="Calibri" w:hAnsi="Calibri" w:cs="Calibri"/>
                <w:b/>
                <w:bCs/>
                <w:sz w:val="18"/>
                <w:szCs w:val="18"/>
              </w:rPr>
              <w:t>7.522</w:t>
            </w:r>
          </w:p>
        </w:tc>
        <w:tc>
          <w:tcPr>
            <w:tcW w:w="1247" w:type="dxa"/>
            <w:tcBorders>
              <w:top w:val="single" w:sz="4" w:space="0" w:color="auto"/>
            </w:tcBorders>
            <w:shd w:val="clear" w:color="auto" w:fill="auto"/>
            <w:noWrap/>
            <w:vAlign w:val="bottom"/>
            <w:hideMark/>
          </w:tcPr>
          <w:p w14:paraId="4E2B704E" w14:textId="6C4782BE" w:rsidR="00CC03D4" w:rsidRPr="00CC03D4" w:rsidRDefault="00CC03D4" w:rsidP="00CC03D4">
            <w:pPr>
              <w:spacing w:before="120" w:after="0" w:line="240" w:lineRule="auto"/>
              <w:jc w:val="center"/>
              <w:rPr>
                <w:rFonts w:eastAsia="Times New Roman" w:cstheme="minorHAnsi"/>
                <w:b/>
                <w:bCs/>
                <w:sz w:val="18"/>
                <w:szCs w:val="18"/>
                <w:lang w:eastAsia="hr-HR"/>
              </w:rPr>
            </w:pPr>
            <w:r w:rsidRPr="00CC03D4">
              <w:rPr>
                <w:rFonts w:ascii="Calibri" w:hAnsi="Calibri" w:cs="Calibri"/>
                <w:b/>
                <w:bCs/>
                <w:sz w:val="18"/>
                <w:szCs w:val="18"/>
              </w:rPr>
              <w:t>48.628</w:t>
            </w:r>
          </w:p>
        </w:tc>
        <w:tc>
          <w:tcPr>
            <w:tcW w:w="1247" w:type="dxa"/>
            <w:tcBorders>
              <w:top w:val="single" w:sz="4" w:space="0" w:color="auto"/>
            </w:tcBorders>
            <w:shd w:val="clear" w:color="auto" w:fill="auto"/>
            <w:noWrap/>
            <w:vAlign w:val="bottom"/>
            <w:hideMark/>
          </w:tcPr>
          <w:p w14:paraId="7380438A" w14:textId="6BE2C4EB" w:rsidR="00CC03D4" w:rsidRPr="00CC03D4" w:rsidRDefault="00CC03D4" w:rsidP="00CC03D4">
            <w:pPr>
              <w:spacing w:before="120" w:after="0" w:line="240" w:lineRule="auto"/>
              <w:jc w:val="center"/>
              <w:rPr>
                <w:rFonts w:eastAsia="Times New Roman" w:cstheme="minorHAnsi"/>
                <w:b/>
                <w:bCs/>
                <w:sz w:val="18"/>
                <w:szCs w:val="18"/>
                <w:lang w:eastAsia="hr-HR"/>
              </w:rPr>
            </w:pPr>
            <w:r w:rsidRPr="00CC03D4">
              <w:rPr>
                <w:rFonts w:ascii="Calibri" w:hAnsi="Calibri" w:cs="Calibri"/>
                <w:b/>
                <w:bCs/>
                <w:sz w:val="18"/>
                <w:szCs w:val="18"/>
              </w:rPr>
              <w:t>48.383</w:t>
            </w:r>
          </w:p>
        </w:tc>
        <w:tc>
          <w:tcPr>
            <w:tcW w:w="737" w:type="dxa"/>
            <w:tcBorders>
              <w:top w:val="single" w:sz="4" w:space="0" w:color="auto"/>
            </w:tcBorders>
            <w:shd w:val="clear" w:color="auto" w:fill="auto"/>
            <w:noWrap/>
            <w:vAlign w:val="bottom"/>
            <w:hideMark/>
          </w:tcPr>
          <w:p w14:paraId="1AABF1DB" w14:textId="7E6E6548" w:rsidR="00CC03D4" w:rsidRPr="00CC03D4" w:rsidRDefault="00CC03D4" w:rsidP="00CC03D4">
            <w:pPr>
              <w:spacing w:before="120" w:after="0" w:line="240" w:lineRule="auto"/>
              <w:jc w:val="center"/>
              <w:rPr>
                <w:rFonts w:eastAsia="Times New Roman" w:cstheme="minorHAnsi"/>
                <w:b/>
                <w:bCs/>
                <w:sz w:val="18"/>
                <w:szCs w:val="18"/>
                <w:lang w:eastAsia="hr-HR"/>
              </w:rPr>
            </w:pPr>
            <w:r w:rsidRPr="00CC03D4">
              <w:rPr>
                <w:rFonts w:ascii="Calibri" w:hAnsi="Calibri" w:cs="Calibri"/>
                <w:b/>
                <w:bCs/>
                <w:sz w:val="18"/>
                <w:szCs w:val="18"/>
              </w:rPr>
              <w:t>643%</w:t>
            </w:r>
          </w:p>
        </w:tc>
        <w:tc>
          <w:tcPr>
            <w:tcW w:w="737" w:type="dxa"/>
            <w:tcBorders>
              <w:top w:val="single" w:sz="4" w:space="0" w:color="auto"/>
            </w:tcBorders>
            <w:shd w:val="clear" w:color="auto" w:fill="auto"/>
            <w:noWrap/>
            <w:vAlign w:val="bottom"/>
            <w:hideMark/>
          </w:tcPr>
          <w:p w14:paraId="516A279D" w14:textId="1C243CB9" w:rsidR="00CC03D4" w:rsidRPr="00CC03D4" w:rsidRDefault="00CC03D4" w:rsidP="00CC03D4">
            <w:pPr>
              <w:spacing w:before="120" w:after="0" w:line="240" w:lineRule="auto"/>
              <w:jc w:val="center"/>
              <w:rPr>
                <w:rFonts w:eastAsia="Times New Roman" w:cstheme="minorHAnsi"/>
                <w:b/>
                <w:bCs/>
                <w:sz w:val="18"/>
                <w:szCs w:val="18"/>
                <w:lang w:eastAsia="hr-HR"/>
              </w:rPr>
            </w:pPr>
            <w:r w:rsidRPr="00CC03D4">
              <w:rPr>
                <w:rFonts w:ascii="Calibri" w:hAnsi="Calibri" w:cs="Calibri"/>
                <w:b/>
                <w:bCs/>
                <w:sz w:val="18"/>
                <w:szCs w:val="18"/>
              </w:rPr>
              <w:t>99%</w:t>
            </w:r>
          </w:p>
        </w:tc>
      </w:tr>
      <w:tr w:rsidR="00CC03D4" w:rsidRPr="009E2CE8" w14:paraId="0A1C4426" w14:textId="77777777" w:rsidTr="00CC03D4">
        <w:trPr>
          <w:trHeight w:val="340"/>
        </w:trPr>
        <w:tc>
          <w:tcPr>
            <w:tcW w:w="773" w:type="dxa"/>
            <w:shd w:val="clear" w:color="auto" w:fill="auto"/>
            <w:noWrap/>
            <w:vAlign w:val="bottom"/>
            <w:hideMark/>
          </w:tcPr>
          <w:p w14:paraId="425B7B74" w14:textId="77777777" w:rsidR="00CC03D4" w:rsidRPr="00215193" w:rsidRDefault="00CC03D4" w:rsidP="00CC03D4">
            <w:pPr>
              <w:spacing w:before="120" w:after="0" w:line="240" w:lineRule="auto"/>
              <w:rPr>
                <w:rFonts w:eastAsia="Times New Roman" w:cstheme="minorHAnsi"/>
                <w:sz w:val="18"/>
                <w:szCs w:val="18"/>
                <w:lang w:eastAsia="hr-HR"/>
              </w:rPr>
            </w:pPr>
            <w:r w:rsidRPr="00215193">
              <w:rPr>
                <w:rFonts w:ascii="Calibri" w:hAnsi="Calibri" w:cs="Calibri"/>
                <w:color w:val="000000"/>
                <w:sz w:val="18"/>
                <w:szCs w:val="18"/>
              </w:rPr>
              <w:t>1.2.6.1</w:t>
            </w:r>
          </w:p>
        </w:tc>
        <w:tc>
          <w:tcPr>
            <w:tcW w:w="3050" w:type="dxa"/>
            <w:shd w:val="clear" w:color="auto" w:fill="auto"/>
            <w:noWrap/>
            <w:vAlign w:val="bottom"/>
            <w:hideMark/>
          </w:tcPr>
          <w:p w14:paraId="4A9BD83F" w14:textId="0889B008" w:rsidR="00CC03D4" w:rsidRPr="00CC03D4" w:rsidRDefault="00CC03D4" w:rsidP="00CC03D4">
            <w:pPr>
              <w:spacing w:before="120" w:after="0" w:line="240" w:lineRule="auto"/>
              <w:rPr>
                <w:rFonts w:eastAsia="Times New Roman" w:cstheme="minorHAnsi"/>
                <w:sz w:val="18"/>
                <w:szCs w:val="18"/>
                <w:lang w:eastAsia="hr-HR"/>
              </w:rPr>
            </w:pPr>
            <w:r w:rsidRPr="00CC03D4">
              <w:rPr>
                <w:rFonts w:ascii="Calibri" w:hAnsi="Calibri" w:cs="Calibri"/>
                <w:sz w:val="18"/>
                <w:szCs w:val="18"/>
              </w:rPr>
              <w:t>Zakupnine stvari-opreme</w:t>
            </w:r>
          </w:p>
        </w:tc>
        <w:tc>
          <w:tcPr>
            <w:tcW w:w="1247" w:type="dxa"/>
            <w:shd w:val="clear" w:color="auto" w:fill="auto"/>
            <w:noWrap/>
            <w:vAlign w:val="bottom"/>
            <w:hideMark/>
          </w:tcPr>
          <w:p w14:paraId="57C3D130" w14:textId="159D6340"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800</w:t>
            </w:r>
          </w:p>
        </w:tc>
        <w:tc>
          <w:tcPr>
            <w:tcW w:w="1247" w:type="dxa"/>
            <w:shd w:val="clear" w:color="auto" w:fill="auto"/>
            <w:noWrap/>
            <w:vAlign w:val="bottom"/>
            <w:hideMark/>
          </w:tcPr>
          <w:p w14:paraId="0E3CF249" w14:textId="48D60F05"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1247" w:type="dxa"/>
            <w:shd w:val="clear" w:color="auto" w:fill="auto"/>
            <w:noWrap/>
            <w:vAlign w:val="bottom"/>
            <w:hideMark/>
          </w:tcPr>
          <w:p w14:paraId="532797CF" w14:textId="5BD4F304"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737" w:type="dxa"/>
            <w:shd w:val="clear" w:color="auto" w:fill="auto"/>
            <w:noWrap/>
            <w:vAlign w:val="bottom"/>
            <w:hideMark/>
          </w:tcPr>
          <w:p w14:paraId="30F7D05E" w14:textId="0DB4D4C4"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737" w:type="dxa"/>
            <w:shd w:val="clear" w:color="auto" w:fill="auto"/>
            <w:noWrap/>
            <w:vAlign w:val="bottom"/>
            <w:hideMark/>
          </w:tcPr>
          <w:p w14:paraId="2E017CC4" w14:textId="302E7223"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r>
      <w:tr w:rsidR="00CC03D4" w:rsidRPr="009E2CE8" w14:paraId="1DF1F5AE" w14:textId="77777777" w:rsidTr="00CC03D4">
        <w:trPr>
          <w:trHeight w:val="340"/>
        </w:trPr>
        <w:tc>
          <w:tcPr>
            <w:tcW w:w="773" w:type="dxa"/>
            <w:shd w:val="clear" w:color="auto" w:fill="auto"/>
            <w:noWrap/>
            <w:vAlign w:val="bottom"/>
            <w:hideMark/>
          </w:tcPr>
          <w:p w14:paraId="796F0A37" w14:textId="77777777" w:rsidR="00CC03D4" w:rsidRPr="00215193" w:rsidRDefault="00CC03D4" w:rsidP="00CC03D4">
            <w:pPr>
              <w:spacing w:before="120" w:after="0" w:line="240" w:lineRule="auto"/>
              <w:rPr>
                <w:rFonts w:eastAsia="Times New Roman" w:cstheme="minorHAnsi"/>
                <w:sz w:val="18"/>
                <w:szCs w:val="18"/>
                <w:lang w:eastAsia="hr-HR"/>
              </w:rPr>
            </w:pPr>
            <w:r w:rsidRPr="00215193">
              <w:rPr>
                <w:rFonts w:ascii="Calibri" w:hAnsi="Calibri" w:cs="Calibri"/>
                <w:color w:val="000000"/>
                <w:sz w:val="18"/>
                <w:szCs w:val="18"/>
              </w:rPr>
              <w:t>1.2.6.2</w:t>
            </w:r>
          </w:p>
        </w:tc>
        <w:tc>
          <w:tcPr>
            <w:tcW w:w="3050" w:type="dxa"/>
            <w:shd w:val="clear" w:color="auto" w:fill="auto"/>
            <w:noWrap/>
            <w:vAlign w:val="bottom"/>
            <w:hideMark/>
          </w:tcPr>
          <w:p w14:paraId="33E7EAD3" w14:textId="288B53F8" w:rsidR="00CC03D4" w:rsidRPr="00CC03D4" w:rsidRDefault="00CC03D4" w:rsidP="00CC03D4">
            <w:pPr>
              <w:spacing w:before="120" w:after="0" w:line="240" w:lineRule="auto"/>
              <w:rPr>
                <w:rFonts w:eastAsia="Times New Roman" w:cstheme="minorHAnsi"/>
                <w:sz w:val="18"/>
                <w:szCs w:val="18"/>
                <w:lang w:eastAsia="hr-HR"/>
              </w:rPr>
            </w:pPr>
            <w:r w:rsidRPr="00CC03D4">
              <w:rPr>
                <w:rFonts w:ascii="Calibri" w:hAnsi="Calibri" w:cs="Calibri"/>
                <w:sz w:val="18"/>
                <w:szCs w:val="18"/>
              </w:rPr>
              <w:t>Najam boca</w:t>
            </w:r>
          </w:p>
        </w:tc>
        <w:tc>
          <w:tcPr>
            <w:tcW w:w="1247" w:type="dxa"/>
            <w:shd w:val="clear" w:color="auto" w:fill="auto"/>
            <w:noWrap/>
            <w:vAlign w:val="bottom"/>
            <w:hideMark/>
          </w:tcPr>
          <w:p w14:paraId="63286A74" w14:textId="0342D164"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1.096</w:t>
            </w:r>
          </w:p>
        </w:tc>
        <w:tc>
          <w:tcPr>
            <w:tcW w:w="1247" w:type="dxa"/>
            <w:shd w:val="clear" w:color="auto" w:fill="auto"/>
            <w:noWrap/>
            <w:vAlign w:val="bottom"/>
            <w:hideMark/>
          </w:tcPr>
          <w:p w14:paraId="2088E120" w14:textId="606DB9BC"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1.261</w:t>
            </w:r>
          </w:p>
        </w:tc>
        <w:tc>
          <w:tcPr>
            <w:tcW w:w="1247" w:type="dxa"/>
            <w:shd w:val="clear" w:color="auto" w:fill="auto"/>
            <w:noWrap/>
            <w:vAlign w:val="bottom"/>
            <w:hideMark/>
          </w:tcPr>
          <w:p w14:paraId="3E313B34" w14:textId="5391E618"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1.016</w:t>
            </w:r>
          </w:p>
        </w:tc>
        <w:tc>
          <w:tcPr>
            <w:tcW w:w="737" w:type="dxa"/>
            <w:shd w:val="clear" w:color="auto" w:fill="auto"/>
            <w:noWrap/>
            <w:vAlign w:val="bottom"/>
            <w:hideMark/>
          </w:tcPr>
          <w:p w14:paraId="01B904AC" w14:textId="51B364FB"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93%</w:t>
            </w:r>
          </w:p>
        </w:tc>
        <w:tc>
          <w:tcPr>
            <w:tcW w:w="737" w:type="dxa"/>
            <w:shd w:val="clear" w:color="auto" w:fill="auto"/>
            <w:noWrap/>
            <w:vAlign w:val="bottom"/>
            <w:hideMark/>
          </w:tcPr>
          <w:p w14:paraId="31F4F89A" w14:textId="2BEB802A"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81%</w:t>
            </w:r>
          </w:p>
        </w:tc>
      </w:tr>
      <w:tr w:rsidR="00CC03D4" w:rsidRPr="009E2CE8" w14:paraId="5FCD4090" w14:textId="77777777" w:rsidTr="00CC03D4">
        <w:trPr>
          <w:trHeight w:val="340"/>
        </w:trPr>
        <w:tc>
          <w:tcPr>
            <w:tcW w:w="773" w:type="dxa"/>
            <w:shd w:val="clear" w:color="auto" w:fill="auto"/>
            <w:noWrap/>
            <w:vAlign w:val="bottom"/>
            <w:hideMark/>
          </w:tcPr>
          <w:p w14:paraId="666AD47F" w14:textId="77777777" w:rsidR="00CC03D4" w:rsidRPr="00215193" w:rsidRDefault="00CC03D4" w:rsidP="00CC03D4">
            <w:pPr>
              <w:spacing w:before="120" w:after="0" w:line="240" w:lineRule="auto"/>
              <w:rPr>
                <w:rFonts w:eastAsia="Times New Roman" w:cstheme="minorHAnsi"/>
                <w:sz w:val="18"/>
                <w:szCs w:val="18"/>
                <w:lang w:eastAsia="hr-HR"/>
              </w:rPr>
            </w:pPr>
            <w:r w:rsidRPr="00215193">
              <w:rPr>
                <w:rFonts w:ascii="Calibri" w:hAnsi="Calibri" w:cs="Calibri"/>
                <w:color w:val="000000"/>
                <w:sz w:val="18"/>
                <w:szCs w:val="18"/>
              </w:rPr>
              <w:t>1.2.6.3</w:t>
            </w:r>
          </w:p>
        </w:tc>
        <w:tc>
          <w:tcPr>
            <w:tcW w:w="3050" w:type="dxa"/>
            <w:shd w:val="clear" w:color="auto" w:fill="auto"/>
            <w:noWrap/>
            <w:vAlign w:val="bottom"/>
            <w:hideMark/>
          </w:tcPr>
          <w:p w14:paraId="2B67067F" w14:textId="02BBDB13" w:rsidR="00CC03D4" w:rsidRPr="00CC03D4" w:rsidRDefault="00CC03D4" w:rsidP="00CC03D4">
            <w:pPr>
              <w:spacing w:before="120" w:after="0" w:line="240" w:lineRule="auto"/>
              <w:rPr>
                <w:rFonts w:eastAsia="Times New Roman" w:cstheme="minorHAnsi"/>
                <w:sz w:val="18"/>
                <w:szCs w:val="18"/>
                <w:lang w:eastAsia="hr-HR"/>
              </w:rPr>
            </w:pPr>
            <w:r w:rsidRPr="00CC03D4">
              <w:rPr>
                <w:rFonts w:ascii="Calibri" w:hAnsi="Calibri" w:cs="Calibri"/>
                <w:sz w:val="18"/>
                <w:szCs w:val="18"/>
              </w:rPr>
              <w:t>Najam wc kabina</w:t>
            </w:r>
          </w:p>
        </w:tc>
        <w:tc>
          <w:tcPr>
            <w:tcW w:w="1247" w:type="dxa"/>
            <w:shd w:val="clear" w:color="auto" w:fill="auto"/>
            <w:noWrap/>
            <w:vAlign w:val="bottom"/>
            <w:hideMark/>
          </w:tcPr>
          <w:p w14:paraId="2A71015E" w14:textId="2052541F"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792</w:t>
            </w:r>
          </w:p>
        </w:tc>
        <w:tc>
          <w:tcPr>
            <w:tcW w:w="1247" w:type="dxa"/>
            <w:shd w:val="clear" w:color="auto" w:fill="auto"/>
            <w:noWrap/>
            <w:vAlign w:val="bottom"/>
            <w:hideMark/>
          </w:tcPr>
          <w:p w14:paraId="4C4E34B6" w14:textId="5992804B"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866</w:t>
            </w:r>
          </w:p>
        </w:tc>
        <w:tc>
          <w:tcPr>
            <w:tcW w:w="1247" w:type="dxa"/>
            <w:shd w:val="clear" w:color="auto" w:fill="auto"/>
            <w:noWrap/>
            <w:vAlign w:val="bottom"/>
            <w:hideMark/>
          </w:tcPr>
          <w:p w14:paraId="6F49017B" w14:textId="06980C70"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866</w:t>
            </w:r>
          </w:p>
        </w:tc>
        <w:tc>
          <w:tcPr>
            <w:tcW w:w="737" w:type="dxa"/>
            <w:shd w:val="clear" w:color="auto" w:fill="auto"/>
            <w:noWrap/>
            <w:vAlign w:val="bottom"/>
            <w:hideMark/>
          </w:tcPr>
          <w:p w14:paraId="5ECAC3F1" w14:textId="38DE8460"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109%</w:t>
            </w:r>
          </w:p>
        </w:tc>
        <w:tc>
          <w:tcPr>
            <w:tcW w:w="737" w:type="dxa"/>
            <w:shd w:val="clear" w:color="auto" w:fill="auto"/>
            <w:noWrap/>
            <w:vAlign w:val="bottom"/>
            <w:hideMark/>
          </w:tcPr>
          <w:p w14:paraId="23CBE2EC" w14:textId="6A7D5E5F"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100%</w:t>
            </w:r>
          </w:p>
        </w:tc>
      </w:tr>
      <w:tr w:rsidR="00CC03D4" w:rsidRPr="009E2CE8" w14:paraId="79BA55C3" w14:textId="77777777" w:rsidTr="00CC03D4">
        <w:trPr>
          <w:trHeight w:val="340"/>
        </w:trPr>
        <w:tc>
          <w:tcPr>
            <w:tcW w:w="773" w:type="dxa"/>
            <w:shd w:val="clear" w:color="auto" w:fill="auto"/>
            <w:noWrap/>
            <w:vAlign w:val="bottom"/>
            <w:hideMark/>
          </w:tcPr>
          <w:p w14:paraId="6032C36E" w14:textId="77777777" w:rsidR="00CC03D4" w:rsidRPr="00215193" w:rsidRDefault="00CC03D4" w:rsidP="00CC03D4">
            <w:pPr>
              <w:spacing w:before="120" w:after="0" w:line="240" w:lineRule="auto"/>
              <w:rPr>
                <w:rFonts w:eastAsia="Times New Roman" w:cstheme="minorHAnsi"/>
                <w:sz w:val="18"/>
                <w:szCs w:val="18"/>
                <w:lang w:eastAsia="hr-HR"/>
              </w:rPr>
            </w:pPr>
            <w:r w:rsidRPr="00215193">
              <w:rPr>
                <w:rFonts w:ascii="Calibri" w:hAnsi="Calibri" w:cs="Calibri"/>
                <w:color w:val="000000"/>
                <w:sz w:val="18"/>
                <w:szCs w:val="18"/>
              </w:rPr>
              <w:t>1.2.6.4</w:t>
            </w:r>
          </w:p>
        </w:tc>
        <w:tc>
          <w:tcPr>
            <w:tcW w:w="3050" w:type="dxa"/>
            <w:shd w:val="clear" w:color="auto" w:fill="auto"/>
            <w:noWrap/>
            <w:vAlign w:val="bottom"/>
            <w:hideMark/>
          </w:tcPr>
          <w:p w14:paraId="16803B1D" w14:textId="7B8E94B3" w:rsidR="00CC03D4" w:rsidRPr="00CC03D4" w:rsidRDefault="00CC03D4" w:rsidP="00CC03D4">
            <w:pPr>
              <w:spacing w:before="120" w:after="0" w:line="240" w:lineRule="auto"/>
              <w:rPr>
                <w:rFonts w:eastAsia="Times New Roman" w:cstheme="minorHAnsi"/>
                <w:sz w:val="18"/>
                <w:szCs w:val="18"/>
                <w:lang w:eastAsia="hr-HR"/>
              </w:rPr>
            </w:pPr>
            <w:r w:rsidRPr="00CC03D4">
              <w:rPr>
                <w:rFonts w:ascii="Calibri" w:hAnsi="Calibri" w:cs="Calibri"/>
                <w:sz w:val="18"/>
                <w:szCs w:val="18"/>
              </w:rPr>
              <w:t xml:space="preserve">Najam grajfera </w:t>
            </w:r>
          </w:p>
        </w:tc>
        <w:tc>
          <w:tcPr>
            <w:tcW w:w="1247" w:type="dxa"/>
            <w:shd w:val="clear" w:color="auto" w:fill="auto"/>
            <w:noWrap/>
            <w:vAlign w:val="bottom"/>
            <w:hideMark/>
          </w:tcPr>
          <w:p w14:paraId="50688D71" w14:textId="4B1D5FE9"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1247" w:type="dxa"/>
            <w:shd w:val="clear" w:color="auto" w:fill="auto"/>
            <w:noWrap/>
            <w:vAlign w:val="bottom"/>
            <w:hideMark/>
          </w:tcPr>
          <w:p w14:paraId="560713F2" w14:textId="1F425503"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6.420</w:t>
            </w:r>
          </w:p>
        </w:tc>
        <w:tc>
          <w:tcPr>
            <w:tcW w:w="1247" w:type="dxa"/>
            <w:shd w:val="clear" w:color="auto" w:fill="auto"/>
            <w:noWrap/>
            <w:vAlign w:val="bottom"/>
            <w:hideMark/>
          </w:tcPr>
          <w:p w14:paraId="68951A55" w14:textId="52320E09"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6.420</w:t>
            </w:r>
          </w:p>
        </w:tc>
        <w:tc>
          <w:tcPr>
            <w:tcW w:w="737" w:type="dxa"/>
            <w:shd w:val="clear" w:color="auto" w:fill="auto"/>
            <w:noWrap/>
            <w:vAlign w:val="bottom"/>
            <w:hideMark/>
          </w:tcPr>
          <w:p w14:paraId="3B200C8A" w14:textId="523D520A"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737" w:type="dxa"/>
            <w:shd w:val="clear" w:color="auto" w:fill="auto"/>
            <w:noWrap/>
            <w:vAlign w:val="bottom"/>
            <w:hideMark/>
          </w:tcPr>
          <w:p w14:paraId="578DE5EB" w14:textId="7D4665A4"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100%</w:t>
            </w:r>
          </w:p>
        </w:tc>
      </w:tr>
      <w:tr w:rsidR="00CC03D4" w:rsidRPr="009E2CE8" w14:paraId="4D0344AE" w14:textId="77777777" w:rsidTr="00CC03D4">
        <w:trPr>
          <w:trHeight w:val="340"/>
        </w:trPr>
        <w:tc>
          <w:tcPr>
            <w:tcW w:w="773" w:type="dxa"/>
            <w:shd w:val="clear" w:color="auto" w:fill="auto"/>
            <w:noWrap/>
            <w:vAlign w:val="bottom"/>
            <w:hideMark/>
          </w:tcPr>
          <w:p w14:paraId="7C792188" w14:textId="77777777" w:rsidR="00CC03D4" w:rsidRPr="00215193" w:rsidRDefault="00CC03D4" w:rsidP="00CC03D4">
            <w:pPr>
              <w:spacing w:before="120" w:after="0" w:line="240" w:lineRule="auto"/>
              <w:rPr>
                <w:rFonts w:eastAsia="Times New Roman" w:cstheme="minorHAnsi"/>
                <w:sz w:val="18"/>
                <w:szCs w:val="18"/>
                <w:lang w:eastAsia="hr-HR"/>
              </w:rPr>
            </w:pPr>
            <w:r w:rsidRPr="00215193">
              <w:rPr>
                <w:rFonts w:ascii="Calibri" w:hAnsi="Calibri" w:cs="Calibri"/>
                <w:color w:val="000000"/>
                <w:sz w:val="18"/>
                <w:szCs w:val="18"/>
              </w:rPr>
              <w:t>1.2.6.5</w:t>
            </w:r>
          </w:p>
        </w:tc>
        <w:tc>
          <w:tcPr>
            <w:tcW w:w="3050" w:type="dxa"/>
            <w:shd w:val="clear" w:color="auto" w:fill="auto"/>
            <w:noWrap/>
            <w:vAlign w:val="bottom"/>
            <w:hideMark/>
          </w:tcPr>
          <w:p w14:paraId="4E085CCF" w14:textId="13ED45FE" w:rsidR="00CC03D4" w:rsidRPr="00CC03D4" w:rsidRDefault="00CC03D4" w:rsidP="00CC03D4">
            <w:pPr>
              <w:spacing w:before="120" w:after="0" w:line="240" w:lineRule="auto"/>
              <w:rPr>
                <w:rFonts w:eastAsia="Times New Roman" w:cstheme="minorHAnsi"/>
                <w:sz w:val="18"/>
                <w:szCs w:val="18"/>
                <w:lang w:eastAsia="hr-HR"/>
              </w:rPr>
            </w:pPr>
            <w:r w:rsidRPr="00CC03D4">
              <w:rPr>
                <w:rFonts w:ascii="Calibri" w:hAnsi="Calibri" w:cs="Calibri"/>
                <w:sz w:val="18"/>
                <w:szCs w:val="18"/>
              </w:rPr>
              <w:t>Najam kiper kamiona</w:t>
            </w:r>
          </w:p>
        </w:tc>
        <w:tc>
          <w:tcPr>
            <w:tcW w:w="1247" w:type="dxa"/>
            <w:shd w:val="clear" w:color="auto" w:fill="auto"/>
            <w:noWrap/>
            <w:vAlign w:val="bottom"/>
            <w:hideMark/>
          </w:tcPr>
          <w:p w14:paraId="31DD5B86" w14:textId="3B4B8079"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1247" w:type="dxa"/>
            <w:shd w:val="clear" w:color="auto" w:fill="auto"/>
            <w:noWrap/>
            <w:vAlign w:val="bottom"/>
            <w:hideMark/>
          </w:tcPr>
          <w:p w14:paraId="140CF3DB" w14:textId="59D23A27"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36.000</w:t>
            </w:r>
          </w:p>
        </w:tc>
        <w:tc>
          <w:tcPr>
            <w:tcW w:w="1247" w:type="dxa"/>
            <w:shd w:val="clear" w:color="auto" w:fill="auto"/>
            <w:noWrap/>
            <w:vAlign w:val="bottom"/>
            <w:hideMark/>
          </w:tcPr>
          <w:p w14:paraId="4FF3D9AC" w14:textId="38C92B07"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36.000</w:t>
            </w:r>
          </w:p>
        </w:tc>
        <w:tc>
          <w:tcPr>
            <w:tcW w:w="737" w:type="dxa"/>
            <w:shd w:val="clear" w:color="auto" w:fill="auto"/>
            <w:noWrap/>
            <w:vAlign w:val="bottom"/>
            <w:hideMark/>
          </w:tcPr>
          <w:p w14:paraId="58F26F67" w14:textId="1581220D"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0%</w:t>
            </w:r>
          </w:p>
        </w:tc>
        <w:tc>
          <w:tcPr>
            <w:tcW w:w="737" w:type="dxa"/>
            <w:shd w:val="clear" w:color="auto" w:fill="auto"/>
            <w:noWrap/>
            <w:vAlign w:val="bottom"/>
            <w:hideMark/>
          </w:tcPr>
          <w:p w14:paraId="67A8AD0A" w14:textId="2E3A5B12"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100%</w:t>
            </w:r>
          </w:p>
        </w:tc>
      </w:tr>
      <w:tr w:rsidR="00CC03D4" w:rsidRPr="009E2CE8" w14:paraId="51292549" w14:textId="77777777" w:rsidTr="00CC03D4">
        <w:trPr>
          <w:trHeight w:val="340"/>
        </w:trPr>
        <w:tc>
          <w:tcPr>
            <w:tcW w:w="773" w:type="dxa"/>
            <w:shd w:val="clear" w:color="auto" w:fill="auto"/>
            <w:noWrap/>
            <w:vAlign w:val="bottom"/>
            <w:hideMark/>
          </w:tcPr>
          <w:p w14:paraId="116E9E35" w14:textId="77777777" w:rsidR="00CC03D4" w:rsidRPr="00215193" w:rsidRDefault="00CC03D4" w:rsidP="00CC03D4">
            <w:pPr>
              <w:spacing w:before="120" w:after="0" w:line="240" w:lineRule="auto"/>
              <w:rPr>
                <w:rFonts w:eastAsia="Times New Roman" w:cstheme="minorHAnsi"/>
                <w:sz w:val="18"/>
                <w:szCs w:val="18"/>
                <w:lang w:eastAsia="hr-HR"/>
              </w:rPr>
            </w:pPr>
            <w:r w:rsidRPr="00215193">
              <w:rPr>
                <w:rFonts w:ascii="Calibri" w:hAnsi="Calibri" w:cs="Calibri"/>
                <w:color w:val="000000"/>
                <w:sz w:val="18"/>
                <w:szCs w:val="18"/>
              </w:rPr>
              <w:t>1.2.6.6</w:t>
            </w:r>
          </w:p>
        </w:tc>
        <w:tc>
          <w:tcPr>
            <w:tcW w:w="3050" w:type="dxa"/>
            <w:shd w:val="clear" w:color="auto" w:fill="auto"/>
            <w:noWrap/>
            <w:vAlign w:val="bottom"/>
            <w:hideMark/>
          </w:tcPr>
          <w:p w14:paraId="5BB8064F" w14:textId="55A84ECE" w:rsidR="00CC03D4" w:rsidRPr="00CC03D4" w:rsidRDefault="00CC03D4" w:rsidP="00CC03D4">
            <w:pPr>
              <w:spacing w:before="120" w:after="0" w:line="240" w:lineRule="auto"/>
              <w:rPr>
                <w:rFonts w:eastAsia="Times New Roman" w:cstheme="minorHAnsi"/>
                <w:sz w:val="18"/>
                <w:szCs w:val="18"/>
                <w:lang w:eastAsia="hr-HR"/>
              </w:rPr>
            </w:pPr>
            <w:r w:rsidRPr="00CC03D4">
              <w:rPr>
                <w:rFonts w:ascii="Calibri" w:hAnsi="Calibri" w:cs="Calibri"/>
                <w:sz w:val="18"/>
                <w:szCs w:val="18"/>
              </w:rPr>
              <w:t>Rent-a-car</w:t>
            </w:r>
          </w:p>
        </w:tc>
        <w:tc>
          <w:tcPr>
            <w:tcW w:w="1247" w:type="dxa"/>
            <w:shd w:val="clear" w:color="auto" w:fill="auto"/>
            <w:noWrap/>
            <w:vAlign w:val="bottom"/>
            <w:hideMark/>
          </w:tcPr>
          <w:p w14:paraId="3DD6E13C" w14:textId="007918BB"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1.744</w:t>
            </w:r>
          </w:p>
        </w:tc>
        <w:tc>
          <w:tcPr>
            <w:tcW w:w="1247" w:type="dxa"/>
            <w:shd w:val="clear" w:color="auto" w:fill="auto"/>
            <w:noWrap/>
            <w:vAlign w:val="bottom"/>
            <w:hideMark/>
          </w:tcPr>
          <w:p w14:paraId="778BA125" w14:textId="3171A318"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141</w:t>
            </w:r>
          </w:p>
        </w:tc>
        <w:tc>
          <w:tcPr>
            <w:tcW w:w="1247" w:type="dxa"/>
            <w:shd w:val="clear" w:color="auto" w:fill="auto"/>
            <w:noWrap/>
            <w:vAlign w:val="bottom"/>
            <w:hideMark/>
          </w:tcPr>
          <w:p w14:paraId="42B20D4A" w14:textId="368639E3"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141</w:t>
            </w:r>
          </w:p>
        </w:tc>
        <w:tc>
          <w:tcPr>
            <w:tcW w:w="737" w:type="dxa"/>
            <w:shd w:val="clear" w:color="auto" w:fill="auto"/>
            <w:noWrap/>
            <w:vAlign w:val="bottom"/>
            <w:hideMark/>
          </w:tcPr>
          <w:p w14:paraId="43B4ABAC" w14:textId="5EF82418"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8%</w:t>
            </w:r>
          </w:p>
        </w:tc>
        <w:tc>
          <w:tcPr>
            <w:tcW w:w="737" w:type="dxa"/>
            <w:shd w:val="clear" w:color="auto" w:fill="auto"/>
            <w:noWrap/>
            <w:vAlign w:val="bottom"/>
            <w:hideMark/>
          </w:tcPr>
          <w:p w14:paraId="052AAC85" w14:textId="708D82F5" w:rsidR="00CC03D4" w:rsidRPr="00CC03D4" w:rsidRDefault="00CC03D4" w:rsidP="00CC03D4">
            <w:pPr>
              <w:spacing w:before="120" w:after="0" w:line="240" w:lineRule="auto"/>
              <w:jc w:val="center"/>
              <w:rPr>
                <w:rFonts w:eastAsia="Times New Roman" w:cstheme="minorHAnsi"/>
                <w:sz w:val="18"/>
                <w:szCs w:val="18"/>
                <w:lang w:eastAsia="hr-HR"/>
              </w:rPr>
            </w:pPr>
            <w:r w:rsidRPr="00CC03D4">
              <w:rPr>
                <w:rFonts w:ascii="Calibri" w:hAnsi="Calibri" w:cs="Calibri"/>
                <w:sz w:val="18"/>
                <w:szCs w:val="18"/>
              </w:rPr>
              <w:t>100%</w:t>
            </w:r>
          </w:p>
        </w:tc>
      </w:tr>
      <w:tr w:rsidR="00CC03D4" w:rsidRPr="009E2CE8" w14:paraId="1EE68CE1" w14:textId="77777777" w:rsidTr="00CC03D4">
        <w:trPr>
          <w:trHeight w:val="340"/>
        </w:trPr>
        <w:tc>
          <w:tcPr>
            <w:tcW w:w="773" w:type="dxa"/>
            <w:shd w:val="clear" w:color="auto" w:fill="auto"/>
            <w:noWrap/>
            <w:vAlign w:val="bottom"/>
          </w:tcPr>
          <w:p w14:paraId="3288397D" w14:textId="77777777" w:rsidR="00CC03D4" w:rsidRPr="00215193" w:rsidRDefault="00CC03D4" w:rsidP="00CC03D4">
            <w:pPr>
              <w:spacing w:before="120" w:after="0" w:line="240" w:lineRule="auto"/>
              <w:rPr>
                <w:rFonts w:ascii="Calibri" w:hAnsi="Calibri" w:cs="Calibri"/>
                <w:sz w:val="18"/>
                <w:szCs w:val="18"/>
              </w:rPr>
            </w:pPr>
            <w:r w:rsidRPr="00215193">
              <w:rPr>
                <w:rFonts w:ascii="Calibri" w:hAnsi="Calibri" w:cs="Calibri"/>
                <w:color w:val="000000"/>
                <w:sz w:val="18"/>
                <w:szCs w:val="18"/>
              </w:rPr>
              <w:t>1.2.6.7</w:t>
            </w:r>
          </w:p>
        </w:tc>
        <w:tc>
          <w:tcPr>
            <w:tcW w:w="3050" w:type="dxa"/>
            <w:shd w:val="clear" w:color="auto" w:fill="auto"/>
            <w:noWrap/>
            <w:vAlign w:val="bottom"/>
          </w:tcPr>
          <w:p w14:paraId="2F122D54" w14:textId="40B91BBD" w:rsidR="00CC03D4" w:rsidRPr="00CC03D4" w:rsidRDefault="00CC03D4" w:rsidP="00CC03D4">
            <w:pPr>
              <w:spacing w:before="120" w:after="0" w:line="240" w:lineRule="auto"/>
              <w:rPr>
                <w:rFonts w:eastAsia="Times New Roman" w:cstheme="minorHAnsi"/>
                <w:sz w:val="18"/>
                <w:szCs w:val="18"/>
                <w:lang w:eastAsia="hr-HR"/>
              </w:rPr>
            </w:pPr>
            <w:r>
              <w:rPr>
                <w:rFonts w:ascii="Calibri" w:hAnsi="Calibri" w:cs="Calibri"/>
                <w:sz w:val="18"/>
                <w:szCs w:val="18"/>
              </w:rPr>
              <w:t>L</w:t>
            </w:r>
            <w:r w:rsidRPr="00CC03D4">
              <w:rPr>
                <w:rFonts w:ascii="Calibri" w:hAnsi="Calibri" w:cs="Calibri"/>
                <w:sz w:val="18"/>
                <w:szCs w:val="18"/>
              </w:rPr>
              <w:t>easing osobni automobili</w:t>
            </w:r>
          </w:p>
        </w:tc>
        <w:tc>
          <w:tcPr>
            <w:tcW w:w="1247" w:type="dxa"/>
            <w:shd w:val="clear" w:color="auto" w:fill="auto"/>
            <w:noWrap/>
            <w:vAlign w:val="bottom"/>
          </w:tcPr>
          <w:p w14:paraId="6761BCD7" w14:textId="33C7EB8D" w:rsidR="00CC03D4" w:rsidRPr="00CC03D4" w:rsidRDefault="00CC03D4" w:rsidP="00CC03D4">
            <w:pPr>
              <w:spacing w:before="120" w:after="0" w:line="240" w:lineRule="auto"/>
              <w:jc w:val="center"/>
              <w:rPr>
                <w:rFonts w:ascii="Calibri" w:hAnsi="Calibri" w:cs="Calibri"/>
                <w:color w:val="000000"/>
                <w:sz w:val="18"/>
                <w:szCs w:val="18"/>
              </w:rPr>
            </w:pPr>
            <w:r w:rsidRPr="00CC03D4">
              <w:rPr>
                <w:rFonts w:ascii="Calibri" w:hAnsi="Calibri" w:cs="Calibri"/>
                <w:sz w:val="18"/>
                <w:szCs w:val="18"/>
              </w:rPr>
              <w:t>446</w:t>
            </w:r>
          </w:p>
        </w:tc>
        <w:tc>
          <w:tcPr>
            <w:tcW w:w="1247" w:type="dxa"/>
            <w:shd w:val="clear" w:color="auto" w:fill="auto"/>
            <w:noWrap/>
            <w:vAlign w:val="bottom"/>
          </w:tcPr>
          <w:p w14:paraId="2B966F54" w14:textId="14CA0463" w:rsidR="00CC03D4" w:rsidRPr="00CC03D4" w:rsidRDefault="00CC03D4" w:rsidP="00CC03D4">
            <w:pPr>
              <w:spacing w:before="120" w:after="0" w:line="240" w:lineRule="auto"/>
              <w:jc w:val="center"/>
              <w:rPr>
                <w:rFonts w:ascii="Calibri" w:hAnsi="Calibri" w:cs="Calibri"/>
                <w:sz w:val="18"/>
                <w:szCs w:val="18"/>
              </w:rPr>
            </w:pPr>
            <w:r w:rsidRPr="00CC03D4">
              <w:rPr>
                <w:rFonts w:ascii="Calibri" w:hAnsi="Calibri" w:cs="Calibri"/>
                <w:sz w:val="18"/>
                <w:szCs w:val="18"/>
              </w:rPr>
              <w:t>0</w:t>
            </w:r>
          </w:p>
        </w:tc>
        <w:tc>
          <w:tcPr>
            <w:tcW w:w="1247" w:type="dxa"/>
            <w:shd w:val="clear" w:color="auto" w:fill="auto"/>
            <w:noWrap/>
            <w:vAlign w:val="bottom"/>
          </w:tcPr>
          <w:p w14:paraId="4539C095" w14:textId="7FEE53BC" w:rsidR="00CC03D4" w:rsidRPr="00CC03D4" w:rsidRDefault="00CC03D4" w:rsidP="00CC03D4">
            <w:pPr>
              <w:spacing w:before="120" w:after="0" w:line="240" w:lineRule="auto"/>
              <w:jc w:val="center"/>
              <w:rPr>
                <w:rFonts w:ascii="Calibri" w:hAnsi="Calibri" w:cs="Calibri"/>
                <w:color w:val="000000"/>
                <w:sz w:val="18"/>
                <w:szCs w:val="18"/>
              </w:rPr>
            </w:pPr>
            <w:r w:rsidRPr="00CC03D4">
              <w:rPr>
                <w:rFonts w:ascii="Calibri" w:hAnsi="Calibri" w:cs="Calibri"/>
                <w:sz w:val="18"/>
                <w:szCs w:val="18"/>
              </w:rPr>
              <w:t>0</w:t>
            </w:r>
          </w:p>
        </w:tc>
        <w:tc>
          <w:tcPr>
            <w:tcW w:w="737" w:type="dxa"/>
            <w:shd w:val="clear" w:color="auto" w:fill="auto"/>
            <w:noWrap/>
            <w:vAlign w:val="bottom"/>
          </w:tcPr>
          <w:p w14:paraId="539DF084" w14:textId="6670B95A" w:rsidR="00CC03D4" w:rsidRPr="00CC03D4" w:rsidRDefault="00CC03D4" w:rsidP="00CC03D4">
            <w:pPr>
              <w:spacing w:before="120" w:after="0" w:line="240" w:lineRule="auto"/>
              <w:jc w:val="center"/>
              <w:rPr>
                <w:rFonts w:ascii="Calibri" w:hAnsi="Calibri" w:cs="Calibri"/>
                <w:color w:val="000000"/>
                <w:sz w:val="18"/>
                <w:szCs w:val="18"/>
              </w:rPr>
            </w:pPr>
            <w:r w:rsidRPr="00CC03D4">
              <w:rPr>
                <w:rFonts w:ascii="Calibri" w:hAnsi="Calibri" w:cs="Calibri"/>
                <w:sz w:val="18"/>
                <w:szCs w:val="18"/>
              </w:rPr>
              <w:t>0%</w:t>
            </w:r>
          </w:p>
        </w:tc>
        <w:tc>
          <w:tcPr>
            <w:tcW w:w="737" w:type="dxa"/>
            <w:shd w:val="clear" w:color="auto" w:fill="auto"/>
            <w:noWrap/>
            <w:vAlign w:val="bottom"/>
          </w:tcPr>
          <w:p w14:paraId="6D20D05E" w14:textId="33B8C3D3" w:rsidR="00CC03D4" w:rsidRPr="00CC03D4" w:rsidRDefault="00CC03D4" w:rsidP="00CC03D4">
            <w:pPr>
              <w:spacing w:before="120" w:after="0" w:line="240" w:lineRule="auto"/>
              <w:jc w:val="center"/>
              <w:rPr>
                <w:rFonts w:ascii="Calibri" w:hAnsi="Calibri" w:cs="Calibri"/>
                <w:color w:val="000000"/>
                <w:sz w:val="18"/>
                <w:szCs w:val="18"/>
              </w:rPr>
            </w:pPr>
            <w:r w:rsidRPr="00CC03D4">
              <w:rPr>
                <w:rFonts w:ascii="Calibri" w:hAnsi="Calibri" w:cs="Calibri"/>
                <w:sz w:val="18"/>
                <w:szCs w:val="18"/>
              </w:rPr>
              <w:t>0%</w:t>
            </w:r>
          </w:p>
        </w:tc>
      </w:tr>
      <w:tr w:rsidR="00CC03D4" w:rsidRPr="009E2CE8" w14:paraId="2C8B2C3E" w14:textId="77777777" w:rsidTr="00CC03D4">
        <w:trPr>
          <w:trHeight w:val="340"/>
        </w:trPr>
        <w:tc>
          <w:tcPr>
            <w:tcW w:w="773" w:type="dxa"/>
            <w:shd w:val="clear" w:color="auto" w:fill="auto"/>
            <w:noWrap/>
            <w:vAlign w:val="bottom"/>
          </w:tcPr>
          <w:p w14:paraId="2B81BEC3" w14:textId="038BD0F5" w:rsidR="00CC03D4" w:rsidRPr="00215193" w:rsidRDefault="00CC03D4" w:rsidP="00CC03D4">
            <w:pPr>
              <w:spacing w:before="120" w:after="0" w:line="240" w:lineRule="auto"/>
              <w:rPr>
                <w:rFonts w:ascii="Calibri" w:hAnsi="Calibri" w:cs="Calibri"/>
                <w:color w:val="000000"/>
                <w:sz w:val="18"/>
                <w:szCs w:val="18"/>
              </w:rPr>
            </w:pPr>
            <w:r w:rsidRPr="00215193">
              <w:rPr>
                <w:rFonts w:ascii="Calibri" w:hAnsi="Calibri" w:cs="Calibri"/>
                <w:color w:val="000000"/>
                <w:sz w:val="18"/>
                <w:szCs w:val="18"/>
              </w:rPr>
              <w:t>1.2.6.</w:t>
            </w:r>
            <w:r>
              <w:rPr>
                <w:rFonts w:ascii="Calibri" w:hAnsi="Calibri" w:cs="Calibri"/>
                <w:color w:val="000000"/>
                <w:sz w:val="18"/>
                <w:szCs w:val="18"/>
              </w:rPr>
              <w:t>8</w:t>
            </w:r>
          </w:p>
        </w:tc>
        <w:tc>
          <w:tcPr>
            <w:tcW w:w="3050" w:type="dxa"/>
            <w:shd w:val="clear" w:color="auto" w:fill="auto"/>
            <w:noWrap/>
            <w:vAlign w:val="bottom"/>
          </w:tcPr>
          <w:p w14:paraId="2B80160F" w14:textId="1F9F7DC1" w:rsidR="00CC03D4" w:rsidRPr="00CC03D4" w:rsidRDefault="00CC03D4" w:rsidP="00CC03D4">
            <w:pPr>
              <w:spacing w:before="120" w:after="0" w:line="240" w:lineRule="auto"/>
              <w:rPr>
                <w:rFonts w:ascii="Calibri" w:hAnsi="Calibri" w:cs="Calibri"/>
                <w:sz w:val="18"/>
                <w:szCs w:val="18"/>
              </w:rPr>
            </w:pPr>
            <w:r w:rsidRPr="00CC03D4">
              <w:rPr>
                <w:rFonts w:ascii="Calibri" w:hAnsi="Calibri" w:cs="Calibri"/>
                <w:sz w:val="18"/>
                <w:szCs w:val="18"/>
              </w:rPr>
              <w:t>Najam informatičke opreme</w:t>
            </w:r>
          </w:p>
        </w:tc>
        <w:tc>
          <w:tcPr>
            <w:tcW w:w="1247" w:type="dxa"/>
            <w:shd w:val="clear" w:color="auto" w:fill="auto"/>
            <w:noWrap/>
            <w:vAlign w:val="bottom"/>
          </w:tcPr>
          <w:p w14:paraId="6BDB0168" w14:textId="5E0CECA1" w:rsidR="00CC03D4" w:rsidRPr="00CC03D4" w:rsidRDefault="00CC03D4" w:rsidP="00CC03D4">
            <w:pPr>
              <w:spacing w:before="120" w:after="0" w:line="240" w:lineRule="auto"/>
              <w:jc w:val="center"/>
              <w:rPr>
                <w:rFonts w:ascii="Calibri" w:hAnsi="Calibri" w:cs="Calibri"/>
                <w:sz w:val="18"/>
                <w:szCs w:val="18"/>
              </w:rPr>
            </w:pPr>
            <w:r w:rsidRPr="00CC03D4">
              <w:rPr>
                <w:rFonts w:ascii="Calibri" w:hAnsi="Calibri" w:cs="Calibri"/>
                <w:sz w:val="18"/>
                <w:szCs w:val="18"/>
              </w:rPr>
              <w:t>2.644</w:t>
            </w:r>
          </w:p>
        </w:tc>
        <w:tc>
          <w:tcPr>
            <w:tcW w:w="1247" w:type="dxa"/>
            <w:shd w:val="clear" w:color="auto" w:fill="auto"/>
            <w:noWrap/>
            <w:vAlign w:val="bottom"/>
          </w:tcPr>
          <w:p w14:paraId="4BD1E951" w14:textId="30DED32D" w:rsidR="00CC03D4" w:rsidRPr="00CC03D4" w:rsidRDefault="00CC03D4" w:rsidP="00CC03D4">
            <w:pPr>
              <w:spacing w:before="120" w:after="0" w:line="240" w:lineRule="auto"/>
              <w:jc w:val="center"/>
              <w:rPr>
                <w:rFonts w:ascii="Calibri" w:hAnsi="Calibri" w:cs="Calibri"/>
                <w:sz w:val="18"/>
                <w:szCs w:val="18"/>
              </w:rPr>
            </w:pPr>
            <w:r w:rsidRPr="00CC03D4">
              <w:rPr>
                <w:rFonts w:ascii="Calibri" w:hAnsi="Calibri" w:cs="Calibri"/>
                <w:sz w:val="18"/>
                <w:szCs w:val="18"/>
              </w:rPr>
              <w:t>3.940</w:t>
            </w:r>
          </w:p>
        </w:tc>
        <w:tc>
          <w:tcPr>
            <w:tcW w:w="1247" w:type="dxa"/>
            <w:shd w:val="clear" w:color="auto" w:fill="auto"/>
            <w:noWrap/>
            <w:vAlign w:val="bottom"/>
          </w:tcPr>
          <w:p w14:paraId="4EF0B00D" w14:textId="6F583465" w:rsidR="00CC03D4" w:rsidRPr="00CC03D4" w:rsidRDefault="00CC03D4" w:rsidP="00CC03D4">
            <w:pPr>
              <w:spacing w:before="120" w:after="0" w:line="240" w:lineRule="auto"/>
              <w:jc w:val="center"/>
              <w:rPr>
                <w:rFonts w:ascii="Calibri" w:hAnsi="Calibri" w:cs="Calibri"/>
                <w:sz w:val="18"/>
                <w:szCs w:val="18"/>
              </w:rPr>
            </w:pPr>
            <w:r w:rsidRPr="00CC03D4">
              <w:rPr>
                <w:rFonts w:ascii="Calibri" w:hAnsi="Calibri" w:cs="Calibri"/>
                <w:sz w:val="18"/>
                <w:szCs w:val="18"/>
              </w:rPr>
              <w:t>3.940</w:t>
            </w:r>
          </w:p>
        </w:tc>
        <w:tc>
          <w:tcPr>
            <w:tcW w:w="737" w:type="dxa"/>
            <w:shd w:val="clear" w:color="auto" w:fill="auto"/>
            <w:noWrap/>
            <w:vAlign w:val="bottom"/>
          </w:tcPr>
          <w:p w14:paraId="029EC495" w14:textId="25DEF8BC" w:rsidR="00CC03D4" w:rsidRPr="00CC03D4" w:rsidRDefault="00CC03D4" w:rsidP="00CC03D4">
            <w:pPr>
              <w:spacing w:before="120" w:after="0" w:line="240" w:lineRule="auto"/>
              <w:jc w:val="center"/>
              <w:rPr>
                <w:rFonts w:ascii="Calibri" w:hAnsi="Calibri" w:cs="Calibri"/>
                <w:sz w:val="18"/>
                <w:szCs w:val="18"/>
              </w:rPr>
            </w:pPr>
            <w:r w:rsidRPr="00CC03D4">
              <w:rPr>
                <w:rFonts w:ascii="Calibri" w:hAnsi="Calibri" w:cs="Calibri"/>
                <w:sz w:val="18"/>
                <w:szCs w:val="18"/>
              </w:rPr>
              <w:t>149%</w:t>
            </w:r>
          </w:p>
        </w:tc>
        <w:tc>
          <w:tcPr>
            <w:tcW w:w="737" w:type="dxa"/>
            <w:shd w:val="clear" w:color="auto" w:fill="auto"/>
            <w:noWrap/>
            <w:vAlign w:val="bottom"/>
          </w:tcPr>
          <w:p w14:paraId="1FE84426" w14:textId="75F90974" w:rsidR="00CC03D4" w:rsidRPr="00CC03D4" w:rsidRDefault="00CC03D4" w:rsidP="00CC03D4">
            <w:pPr>
              <w:spacing w:before="120" w:after="0" w:line="240" w:lineRule="auto"/>
              <w:jc w:val="center"/>
              <w:rPr>
                <w:rFonts w:ascii="Calibri" w:hAnsi="Calibri" w:cs="Calibri"/>
                <w:sz w:val="18"/>
                <w:szCs w:val="18"/>
              </w:rPr>
            </w:pPr>
            <w:r w:rsidRPr="00CC03D4">
              <w:rPr>
                <w:rFonts w:ascii="Calibri" w:hAnsi="Calibri" w:cs="Calibri"/>
                <w:sz w:val="18"/>
                <w:szCs w:val="18"/>
              </w:rPr>
              <w:t>100%</w:t>
            </w:r>
          </w:p>
        </w:tc>
      </w:tr>
    </w:tbl>
    <w:p w14:paraId="0DB7486B" w14:textId="77777777" w:rsidR="00CC03D4" w:rsidRDefault="00CC03D4" w:rsidP="00CC03D4"/>
    <w:p w14:paraId="4B61D895" w14:textId="102EBF46" w:rsidR="00CC03D4" w:rsidRDefault="00CC03D4" w:rsidP="00CC03D4">
      <w:pPr>
        <w:spacing w:line="360" w:lineRule="auto"/>
        <w:jc w:val="both"/>
      </w:pPr>
      <w:r>
        <w:t>Troškovi zakupa ostvareni su u iznosu od 48.383 eura. Na povećanja u odnosu na 2023. godinu najviše su utjecali troškovi koji nisu bili prisutni u prethodnom razdoblju, a odnose se na  n</w:t>
      </w:r>
      <w:r w:rsidR="002E3BFD">
        <w:t>a</w:t>
      </w:r>
      <w:r>
        <w:t>j</w:t>
      </w:r>
      <w:r w:rsidR="002E3BFD">
        <w:t>a</w:t>
      </w:r>
      <w:r>
        <w:t xml:space="preserve">m kiper kamiona </w:t>
      </w:r>
      <w:r w:rsidR="002E3BFD">
        <w:t xml:space="preserve">tijekom ljetnih mjeseci </w:t>
      </w:r>
      <w:r>
        <w:t>i naj</w:t>
      </w:r>
      <w:r w:rsidR="002E3BFD">
        <w:t>a</w:t>
      </w:r>
      <w:r>
        <w:t xml:space="preserve">m grajfera koji su bili nužni prilikom kvara u postrojenju. </w:t>
      </w:r>
      <w:r w:rsidR="007C0373">
        <w:t xml:space="preserve">U odnosu na </w:t>
      </w:r>
      <w:r w:rsidR="00A14D1A">
        <w:t>rebalans</w:t>
      </w:r>
      <w:r w:rsidR="007C0373">
        <w:t xml:space="preserve"> plana za 2024. godinu troškovi su gotovo u potpunosti realizirani. </w:t>
      </w:r>
    </w:p>
    <w:p w14:paraId="16E0934D" w14:textId="65A23A44" w:rsidR="00BD455D" w:rsidRDefault="00BD455D" w:rsidP="006253CF">
      <w:pPr>
        <w:spacing w:line="360" w:lineRule="auto"/>
        <w:jc w:val="both"/>
      </w:pPr>
      <w:r>
        <w:br w:type="page"/>
      </w:r>
    </w:p>
    <w:p w14:paraId="207E763A" w14:textId="0AE3EA51" w:rsidR="00BD455D" w:rsidRPr="002033B7" w:rsidRDefault="00BD455D" w:rsidP="00BD455D">
      <w:pPr>
        <w:pStyle w:val="Caption"/>
        <w:spacing w:before="240" w:after="120" w:line="360" w:lineRule="auto"/>
        <w:jc w:val="both"/>
        <w:rPr>
          <w:rFonts w:asciiTheme="minorHAnsi" w:hAnsiTheme="minorHAnsi" w:cstheme="minorHAnsi"/>
          <w:b w:val="0"/>
          <w:bCs w:val="0"/>
          <w:sz w:val="22"/>
          <w:szCs w:val="22"/>
        </w:rPr>
      </w:pPr>
      <w:bookmarkStart w:id="67" w:name="_Toc200366465"/>
      <w:r w:rsidRPr="00840E6B">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27</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promidžbe</w:t>
      </w:r>
      <w:bookmarkEnd w:id="67"/>
    </w:p>
    <w:tbl>
      <w:tblPr>
        <w:tblW w:w="9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0"/>
        <w:gridCol w:w="2882"/>
        <w:gridCol w:w="1339"/>
        <w:gridCol w:w="1170"/>
        <w:gridCol w:w="1482"/>
        <w:gridCol w:w="737"/>
        <w:gridCol w:w="737"/>
      </w:tblGrid>
      <w:tr w:rsidR="00E12ACB" w:rsidRPr="002033B7" w14:paraId="5EFBD611" w14:textId="77777777" w:rsidTr="00E12ACB">
        <w:trPr>
          <w:trHeight w:val="707"/>
        </w:trPr>
        <w:tc>
          <w:tcPr>
            <w:tcW w:w="730" w:type="dxa"/>
            <w:tcBorders>
              <w:top w:val="single" w:sz="4" w:space="0" w:color="auto"/>
              <w:bottom w:val="single" w:sz="4" w:space="0" w:color="auto"/>
            </w:tcBorders>
            <w:shd w:val="clear" w:color="auto" w:fill="auto"/>
            <w:noWrap/>
            <w:vAlign w:val="center"/>
            <w:hideMark/>
          </w:tcPr>
          <w:p w14:paraId="2E8A45B2" w14:textId="77777777" w:rsidR="00E12ACB" w:rsidRPr="002033B7" w:rsidRDefault="00E12ACB" w:rsidP="00E12AC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2882" w:type="dxa"/>
            <w:tcBorders>
              <w:top w:val="single" w:sz="4" w:space="0" w:color="auto"/>
              <w:bottom w:val="single" w:sz="4" w:space="0" w:color="auto"/>
            </w:tcBorders>
            <w:shd w:val="clear" w:color="auto" w:fill="auto"/>
            <w:noWrap/>
            <w:vAlign w:val="center"/>
            <w:hideMark/>
          </w:tcPr>
          <w:p w14:paraId="09A0811A" w14:textId="77777777" w:rsidR="00E12ACB" w:rsidRPr="002033B7" w:rsidRDefault="00E12ACB" w:rsidP="00E12AC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39" w:type="dxa"/>
            <w:tcBorders>
              <w:top w:val="single" w:sz="4" w:space="0" w:color="auto"/>
              <w:bottom w:val="single" w:sz="4" w:space="0" w:color="auto"/>
            </w:tcBorders>
            <w:shd w:val="clear" w:color="auto" w:fill="auto"/>
            <w:noWrap/>
            <w:vAlign w:val="center"/>
            <w:hideMark/>
          </w:tcPr>
          <w:p w14:paraId="6D858833" w14:textId="250CF1CA" w:rsidR="00E12ACB" w:rsidRPr="002033B7" w:rsidRDefault="00E12ACB" w:rsidP="00E12AC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70" w:type="dxa"/>
            <w:tcBorders>
              <w:top w:val="single" w:sz="4" w:space="0" w:color="auto"/>
              <w:bottom w:val="single" w:sz="4" w:space="0" w:color="auto"/>
            </w:tcBorders>
            <w:shd w:val="clear" w:color="auto" w:fill="auto"/>
            <w:noWrap/>
            <w:vAlign w:val="center"/>
            <w:hideMark/>
          </w:tcPr>
          <w:p w14:paraId="36C710DA" w14:textId="4EE3D844" w:rsidR="00E12ACB" w:rsidRPr="002033B7" w:rsidRDefault="00E12ACB" w:rsidP="00E12ACB">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82" w:type="dxa"/>
            <w:tcBorders>
              <w:top w:val="single" w:sz="4" w:space="0" w:color="auto"/>
              <w:bottom w:val="single" w:sz="4" w:space="0" w:color="auto"/>
            </w:tcBorders>
            <w:shd w:val="clear" w:color="auto" w:fill="auto"/>
            <w:noWrap/>
            <w:vAlign w:val="center"/>
            <w:hideMark/>
          </w:tcPr>
          <w:p w14:paraId="0DDE4CA5" w14:textId="2DA95C8C" w:rsidR="00E12ACB" w:rsidRPr="002033B7" w:rsidRDefault="00E12ACB" w:rsidP="00E12AC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7" w:type="dxa"/>
            <w:tcBorders>
              <w:top w:val="single" w:sz="4" w:space="0" w:color="auto"/>
              <w:bottom w:val="single" w:sz="4" w:space="0" w:color="auto"/>
            </w:tcBorders>
            <w:shd w:val="clear" w:color="auto" w:fill="auto"/>
            <w:noWrap/>
            <w:vAlign w:val="center"/>
            <w:hideMark/>
          </w:tcPr>
          <w:p w14:paraId="242F1A6E" w14:textId="77777777" w:rsidR="00E12ACB" w:rsidRPr="002033B7" w:rsidRDefault="00E12ACB" w:rsidP="00E12ACB">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3E15A230" w14:textId="77777777" w:rsidR="00E12ACB" w:rsidRPr="002033B7" w:rsidRDefault="00E12ACB" w:rsidP="00E12ACB">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BD455D" w:rsidRPr="002033B7" w14:paraId="41BB2AEE" w14:textId="77777777" w:rsidTr="00E12ACB">
        <w:trPr>
          <w:trHeight w:val="192"/>
        </w:trPr>
        <w:tc>
          <w:tcPr>
            <w:tcW w:w="730" w:type="dxa"/>
            <w:tcBorders>
              <w:top w:val="single" w:sz="4" w:space="0" w:color="auto"/>
              <w:bottom w:val="single" w:sz="4" w:space="0" w:color="auto"/>
            </w:tcBorders>
            <w:shd w:val="clear" w:color="auto" w:fill="auto"/>
            <w:noWrap/>
            <w:vAlign w:val="center"/>
          </w:tcPr>
          <w:p w14:paraId="7E5020B7" w14:textId="77777777" w:rsidR="00BD455D" w:rsidRPr="006C5E72" w:rsidRDefault="00BD455D" w:rsidP="009F3D2D">
            <w:pPr>
              <w:spacing w:after="0" w:line="240" w:lineRule="auto"/>
              <w:jc w:val="center"/>
              <w:rPr>
                <w:rFonts w:eastAsia="Times New Roman" w:cstheme="minorHAnsi"/>
                <w:b/>
                <w:bCs/>
                <w:sz w:val="14"/>
                <w:szCs w:val="14"/>
                <w:lang w:eastAsia="hr-HR"/>
              </w:rPr>
            </w:pPr>
            <w:r w:rsidRPr="006C5E72">
              <w:rPr>
                <w:color w:val="D9D9D9" w:themeColor="background1" w:themeShade="D9"/>
                <w:sz w:val="14"/>
                <w:szCs w:val="14"/>
                <w:lang w:eastAsia="hr-HR"/>
              </w:rPr>
              <w:t>1</w:t>
            </w:r>
          </w:p>
        </w:tc>
        <w:tc>
          <w:tcPr>
            <w:tcW w:w="2882" w:type="dxa"/>
            <w:tcBorders>
              <w:top w:val="single" w:sz="4" w:space="0" w:color="auto"/>
              <w:bottom w:val="single" w:sz="4" w:space="0" w:color="auto"/>
            </w:tcBorders>
            <w:shd w:val="clear" w:color="auto" w:fill="auto"/>
            <w:noWrap/>
            <w:vAlign w:val="center"/>
          </w:tcPr>
          <w:p w14:paraId="630404D0" w14:textId="77777777" w:rsidR="00BD455D" w:rsidRPr="006C5E72" w:rsidRDefault="00BD455D" w:rsidP="009F3D2D">
            <w:pPr>
              <w:spacing w:after="0" w:line="240" w:lineRule="auto"/>
              <w:jc w:val="center"/>
              <w:rPr>
                <w:rFonts w:eastAsia="Times New Roman" w:cstheme="minorHAnsi"/>
                <w:b/>
                <w:bCs/>
                <w:sz w:val="14"/>
                <w:szCs w:val="14"/>
                <w:lang w:eastAsia="hr-HR"/>
              </w:rPr>
            </w:pPr>
            <w:r w:rsidRPr="006C5E72">
              <w:rPr>
                <w:color w:val="D9D9D9" w:themeColor="background1" w:themeShade="D9"/>
                <w:sz w:val="14"/>
                <w:szCs w:val="14"/>
                <w:lang w:eastAsia="hr-HR"/>
              </w:rPr>
              <w:t>2</w:t>
            </w:r>
          </w:p>
        </w:tc>
        <w:tc>
          <w:tcPr>
            <w:tcW w:w="1339" w:type="dxa"/>
            <w:tcBorders>
              <w:top w:val="single" w:sz="4" w:space="0" w:color="auto"/>
              <w:bottom w:val="single" w:sz="4" w:space="0" w:color="auto"/>
            </w:tcBorders>
            <w:shd w:val="clear" w:color="auto" w:fill="auto"/>
            <w:noWrap/>
            <w:vAlign w:val="center"/>
          </w:tcPr>
          <w:p w14:paraId="2C3994FA" w14:textId="77777777" w:rsidR="00BD455D" w:rsidRPr="006C5E72" w:rsidRDefault="00BD455D" w:rsidP="009F3D2D">
            <w:pPr>
              <w:spacing w:after="0" w:line="240" w:lineRule="auto"/>
              <w:jc w:val="center"/>
              <w:rPr>
                <w:rFonts w:ascii="Calibri" w:eastAsia="Times New Roman" w:hAnsi="Calibri" w:cs="Calibri"/>
                <w:b/>
                <w:bCs/>
                <w:sz w:val="14"/>
                <w:szCs w:val="14"/>
                <w:lang w:eastAsia="hr-HR"/>
              </w:rPr>
            </w:pPr>
            <w:r w:rsidRPr="006C5E72">
              <w:rPr>
                <w:color w:val="D9D9D9" w:themeColor="background1" w:themeShade="D9"/>
                <w:sz w:val="14"/>
                <w:szCs w:val="14"/>
                <w:lang w:eastAsia="hr-HR"/>
              </w:rPr>
              <w:t>3</w:t>
            </w:r>
          </w:p>
        </w:tc>
        <w:tc>
          <w:tcPr>
            <w:tcW w:w="1170" w:type="dxa"/>
            <w:tcBorders>
              <w:top w:val="single" w:sz="4" w:space="0" w:color="auto"/>
              <w:bottom w:val="single" w:sz="4" w:space="0" w:color="auto"/>
            </w:tcBorders>
            <w:shd w:val="clear" w:color="auto" w:fill="auto"/>
            <w:noWrap/>
            <w:vAlign w:val="center"/>
          </w:tcPr>
          <w:p w14:paraId="38150680" w14:textId="77777777" w:rsidR="00BD455D" w:rsidRPr="006C5E72" w:rsidRDefault="00BD455D" w:rsidP="009F3D2D">
            <w:pPr>
              <w:spacing w:after="0" w:line="240" w:lineRule="auto"/>
              <w:jc w:val="center"/>
              <w:rPr>
                <w:rFonts w:eastAsia="Times New Roman" w:cstheme="minorHAnsi"/>
                <w:b/>
                <w:bCs/>
                <w:sz w:val="14"/>
                <w:szCs w:val="14"/>
                <w:lang w:eastAsia="hr-HR"/>
              </w:rPr>
            </w:pPr>
            <w:r w:rsidRPr="006C5E72">
              <w:rPr>
                <w:color w:val="D9D9D9" w:themeColor="background1" w:themeShade="D9"/>
                <w:sz w:val="14"/>
                <w:szCs w:val="14"/>
                <w:lang w:eastAsia="hr-HR"/>
              </w:rPr>
              <w:t>4</w:t>
            </w:r>
          </w:p>
        </w:tc>
        <w:tc>
          <w:tcPr>
            <w:tcW w:w="1482" w:type="dxa"/>
            <w:tcBorders>
              <w:top w:val="single" w:sz="4" w:space="0" w:color="auto"/>
              <w:bottom w:val="single" w:sz="4" w:space="0" w:color="auto"/>
            </w:tcBorders>
            <w:shd w:val="clear" w:color="auto" w:fill="auto"/>
            <w:noWrap/>
            <w:vAlign w:val="center"/>
          </w:tcPr>
          <w:p w14:paraId="19A72183" w14:textId="77777777" w:rsidR="00BD455D" w:rsidRPr="006C5E72" w:rsidRDefault="00BD455D" w:rsidP="009F3D2D">
            <w:pPr>
              <w:spacing w:after="0" w:line="240" w:lineRule="auto"/>
              <w:jc w:val="center"/>
              <w:rPr>
                <w:rFonts w:ascii="Calibri" w:eastAsia="Times New Roman" w:hAnsi="Calibri" w:cs="Calibri"/>
                <w:b/>
                <w:bCs/>
                <w:sz w:val="14"/>
                <w:szCs w:val="14"/>
                <w:lang w:eastAsia="hr-HR"/>
              </w:rPr>
            </w:pPr>
            <w:r w:rsidRPr="006C5E72">
              <w:rPr>
                <w:color w:val="D9D9D9" w:themeColor="background1" w:themeShade="D9"/>
                <w:sz w:val="14"/>
                <w:szCs w:val="14"/>
                <w:lang w:eastAsia="hr-HR"/>
              </w:rPr>
              <w:t>5</w:t>
            </w:r>
          </w:p>
        </w:tc>
        <w:tc>
          <w:tcPr>
            <w:tcW w:w="737" w:type="dxa"/>
            <w:tcBorders>
              <w:top w:val="single" w:sz="4" w:space="0" w:color="auto"/>
              <w:bottom w:val="single" w:sz="4" w:space="0" w:color="auto"/>
            </w:tcBorders>
            <w:shd w:val="clear" w:color="auto" w:fill="auto"/>
            <w:noWrap/>
            <w:vAlign w:val="center"/>
          </w:tcPr>
          <w:p w14:paraId="3BBD5D3B" w14:textId="77777777" w:rsidR="00BD455D" w:rsidRPr="006C5E72" w:rsidRDefault="00BD455D" w:rsidP="009F3D2D">
            <w:pPr>
              <w:spacing w:after="0" w:line="240" w:lineRule="auto"/>
              <w:jc w:val="center"/>
              <w:rPr>
                <w:rFonts w:ascii="Calibri" w:eastAsia="Times New Roman" w:hAnsi="Calibri" w:cs="Calibri"/>
                <w:b/>
                <w:bCs/>
                <w:color w:val="000000"/>
                <w:sz w:val="14"/>
                <w:szCs w:val="14"/>
                <w:lang w:eastAsia="hr-HR"/>
              </w:rPr>
            </w:pPr>
            <w:r w:rsidRPr="006C5E72">
              <w:rPr>
                <w:color w:val="D9D9D9" w:themeColor="background1" w:themeShade="D9"/>
                <w:sz w:val="14"/>
                <w:szCs w:val="14"/>
                <w:lang w:eastAsia="hr-HR"/>
              </w:rPr>
              <w:t>6</w:t>
            </w:r>
          </w:p>
        </w:tc>
        <w:tc>
          <w:tcPr>
            <w:tcW w:w="737" w:type="dxa"/>
            <w:tcBorders>
              <w:top w:val="single" w:sz="4" w:space="0" w:color="auto"/>
              <w:bottom w:val="single" w:sz="4" w:space="0" w:color="auto"/>
            </w:tcBorders>
            <w:shd w:val="clear" w:color="auto" w:fill="auto"/>
            <w:noWrap/>
            <w:vAlign w:val="center"/>
          </w:tcPr>
          <w:p w14:paraId="6AAE7493" w14:textId="77777777" w:rsidR="00BD455D" w:rsidRPr="006C5E72" w:rsidRDefault="00BD455D" w:rsidP="009F3D2D">
            <w:pPr>
              <w:spacing w:after="0" w:line="240" w:lineRule="auto"/>
              <w:jc w:val="center"/>
              <w:rPr>
                <w:rFonts w:ascii="Calibri" w:eastAsia="Times New Roman" w:hAnsi="Calibri" w:cs="Calibri"/>
                <w:b/>
                <w:bCs/>
                <w:color w:val="000000"/>
                <w:sz w:val="14"/>
                <w:szCs w:val="14"/>
                <w:lang w:eastAsia="hr-HR"/>
              </w:rPr>
            </w:pPr>
            <w:r w:rsidRPr="006C5E72">
              <w:rPr>
                <w:color w:val="D9D9D9" w:themeColor="background1" w:themeShade="D9"/>
                <w:sz w:val="14"/>
                <w:szCs w:val="14"/>
                <w:lang w:eastAsia="hr-HR"/>
              </w:rPr>
              <w:t>7</w:t>
            </w:r>
          </w:p>
        </w:tc>
      </w:tr>
      <w:tr w:rsidR="00E12ACB" w:rsidRPr="002033B7" w14:paraId="4AC38522" w14:textId="77777777" w:rsidTr="00622BB2">
        <w:trPr>
          <w:trHeight w:val="340"/>
        </w:trPr>
        <w:tc>
          <w:tcPr>
            <w:tcW w:w="730" w:type="dxa"/>
            <w:tcBorders>
              <w:top w:val="single" w:sz="4" w:space="0" w:color="auto"/>
            </w:tcBorders>
            <w:shd w:val="clear" w:color="auto" w:fill="auto"/>
            <w:noWrap/>
            <w:vAlign w:val="center"/>
            <w:hideMark/>
          </w:tcPr>
          <w:p w14:paraId="446ACC25" w14:textId="77777777" w:rsidR="00E12ACB" w:rsidRPr="00016A28" w:rsidRDefault="00E12ACB" w:rsidP="00E12ACB">
            <w:pPr>
              <w:spacing w:before="120" w:after="0" w:line="240" w:lineRule="auto"/>
              <w:rPr>
                <w:rFonts w:eastAsia="Times New Roman" w:cstheme="minorHAnsi"/>
                <w:sz w:val="18"/>
                <w:szCs w:val="18"/>
                <w:lang w:eastAsia="hr-HR"/>
              </w:rPr>
            </w:pPr>
            <w:r w:rsidRPr="00016A28">
              <w:rPr>
                <w:rFonts w:eastAsia="Times New Roman" w:cstheme="minorHAnsi"/>
                <w:sz w:val="18"/>
                <w:szCs w:val="18"/>
                <w:lang w:eastAsia="hr-HR"/>
              </w:rPr>
              <w:t>1.2.7</w:t>
            </w:r>
          </w:p>
        </w:tc>
        <w:tc>
          <w:tcPr>
            <w:tcW w:w="2882" w:type="dxa"/>
            <w:tcBorders>
              <w:top w:val="single" w:sz="4" w:space="0" w:color="auto"/>
            </w:tcBorders>
            <w:shd w:val="clear" w:color="auto" w:fill="auto"/>
            <w:noWrap/>
            <w:vAlign w:val="center"/>
            <w:hideMark/>
          </w:tcPr>
          <w:p w14:paraId="50267F8E" w14:textId="77777777" w:rsidR="00E12ACB" w:rsidRPr="00016A28" w:rsidRDefault="00E12ACB" w:rsidP="00E12ACB">
            <w:pPr>
              <w:spacing w:before="120" w:after="0" w:line="240" w:lineRule="auto"/>
              <w:rPr>
                <w:rFonts w:eastAsia="Times New Roman" w:cstheme="minorHAnsi"/>
                <w:sz w:val="18"/>
                <w:szCs w:val="18"/>
                <w:lang w:eastAsia="hr-HR"/>
              </w:rPr>
            </w:pPr>
            <w:r w:rsidRPr="00016A28">
              <w:rPr>
                <w:rFonts w:eastAsia="Times New Roman" w:cstheme="minorHAnsi"/>
                <w:sz w:val="18"/>
                <w:szCs w:val="18"/>
                <w:lang w:eastAsia="hr-HR"/>
              </w:rPr>
              <w:t>Troškovi promidžbe</w:t>
            </w:r>
          </w:p>
        </w:tc>
        <w:tc>
          <w:tcPr>
            <w:tcW w:w="1339" w:type="dxa"/>
            <w:tcBorders>
              <w:top w:val="single" w:sz="4" w:space="0" w:color="auto"/>
            </w:tcBorders>
            <w:shd w:val="clear" w:color="auto" w:fill="auto"/>
            <w:noWrap/>
            <w:vAlign w:val="center"/>
            <w:hideMark/>
          </w:tcPr>
          <w:p w14:paraId="6FF85BCD" w14:textId="06AADDB4" w:rsidR="00E12ACB" w:rsidRPr="00E12ACB" w:rsidRDefault="00E12ACB" w:rsidP="00E12ACB">
            <w:pPr>
              <w:spacing w:before="120" w:after="0" w:line="240" w:lineRule="auto"/>
              <w:jc w:val="center"/>
              <w:rPr>
                <w:rFonts w:eastAsia="Times New Roman" w:cstheme="minorHAnsi"/>
                <w:sz w:val="18"/>
                <w:szCs w:val="18"/>
                <w:lang w:eastAsia="hr-HR"/>
              </w:rPr>
            </w:pPr>
            <w:r w:rsidRPr="00E12ACB">
              <w:rPr>
                <w:rFonts w:ascii="Calibri" w:hAnsi="Calibri" w:cs="Calibri"/>
                <w:sz w:val="18"/>
                <w:szCs w:val="18"/>
              </w:rPr>
              <w:t>18.690</w:t>
            </w:r>
          </w:p>
        </w:tc>
        <w:tc>
          <w:tcPr>
            <w:tcW w:w="1170" w:type="dxa"/>
            <w:tcBorders>
              <w:top w:val="single" w:sz="4" w:space="0" w:color="auto"/>
            </w:tcBorders>
            <w:shd w:val="clear" w:color="auto" w:fill="auto"/>
            <w:noWrap/>
            <w:vAlign w:val="center"/>
            <w:hideMark/>
          </w:tcPr>
          <w:p w14:paraId="25E6B2EC" w14:textId="1E34110F" w:rsidR="00E12ACB" w:rsidRPr="00E12ACB" w:rsidRDefault="00E12ACB" w:rsidP="00E12ACB">
            <w:pPr>
              <w:spacing w:before="120" w:after="0" w:line="240" w:lineRule="auto"/>
              <w:jc w:val="center"/>
              <w:rPr>
                <w:rFonts w:eastAsia="Times New Roman" w:cstheme="minorHAnsi"/>
                <w:sz w:val="18"/>
                <w:szCs w:val="18"/>
                <w:lang w:eastAsia="hr-HR"/>
              </w:rPr>
            </w:pPr>
            <w:r w:rsidRPr="00E12ACB">
              <w:rPr>
                <w:rFonts w:ascii="Calibri" w:hAnsi="Calibri" w:cs="Calibri"/>
                <w:sz w:val="18"/>
                <w:szCs w:val="18"/>
              </w:rPr>
              <w:t>10.992</w:t>
            </w:r>
          </w:p>
        </w:tc>
        <w:tc>
          <w:tcPr>
            <w:tcW w:w="1482" w:type="dxa"/>
            <w:tcBorders>
              <w:top w:val="single" w:sz="4" w:space="0" w:color="auto"/>
            </w:tcBorders>
            <w:shd w:val="clear" w:color="auto" w:fill="auto"/>
            <w:noWrap/>
            <w:vAlign w:val="center"/>
            <w:hideMark/>
          </w:tcPr>
          <w:p w14:paraId="1E6ACD7F" w14:textId="00122097" w:rsidR="00E12ACB" w:rsidRPr="00E12ACB" w:rsidRDefault="00E12ACB" w:rsidP="00E12ACB">
            <w:pPr>
              <w:spacing w:before="120" w:after="0" w:line="240" w:lineRule="auto"/>
              <w:jc w:val="center"/>
              <w:rPr>
                <w:rFonts w:eastAsia="Times New Roman" w:cstheme="minorHAnsi"/>
                <w:sz w:val="18"/>
                <w:szCs w:val="18"/>
                <w:lang w:eastAsia="hr-HR"/>
              </w:rPr>
            </w:pPr>
            <w:r w:rsidRPr="00E12ACB">
              <w:rPr>
                <w:rFonts w:ascii="Calibri" w:hAnsi="Calibri" w:cs="Calibri"/>
                <w:sz w:val="18"/>
                <w:szCs w:val="18"/>
              </w:rPr>
              <w:t>10.448</w:t>
            </w:r>
          </w:p>
        </w:tc>
        <w:tc>
          <w:tcPr>
            <w:tcW w:w="737" w:type="dxa"/>
            <w:tcBorders>
              <w:top w:val="single" w:sz="4" w:space="0" w:color="auto"/>
            </w:tcBorders>
            <w:shd w:val="clear" w:color="auto" w:fill="auto"/>
            <w:noWrap/>
            <w:vAlign w:val="center"/>
            <w:hideMark/>
          </w:tcPr>
          <w:p w14:paraId="025A38BD" w14:textId="04AF9927" w:rsidR="00E12ACB" w:rsidRPr="00E12ACB" w:rsidRDefault="00E12ACB" w:rsidP="00E12ACB">
            <w:pPr>
              <w:spacing w:before="120" w:after="0" w:line="240" w:lineRule="auto"/>
              <w:jc w:val="center"/>
              <w:rPr>
                <w:rFonts w:eastAsia="Times New Roman" w:cstheme="minorHAnsi"/>
                <w:sz w:val="18"/>
                <w:szCs w:val="18"/>
                <w:lang w:eastAsia="hr-HR"/>
              </w:rPr>
            </w:pPr>
            <w:r w:rsidRPr="00E12ACB">
              <w:rPr>
                <w:rFonts w:ascii="Calibri" w:hAnsi="Calibri" w:cs="Calibri"/>
                <w:sz w:val="18"/>
                <w:szCs w:val="18"/>
              </w:rPr>
              <w:t>56%</w:t>
            </w:r>
          </w:p>
        </w:tc>
        <w:tc>
          <w:tcPr>
            <w:tcW w:w="737" w:type="dxa"/>
            <w:tcBorders>
              <w:top w:val="single" w:sz="4" w:space="0" w:color="auto"/>
            </w:tcBorders>
            <w:shd w:val="clear" w:color="auto" w:fill="auto"/>
            <w:noWrap/>
            <w:vAlign w:val="center"/>
            <w:hideMark/>
          </w:tcPr>
          <w:p w14:paraId="5A3F5598" w14:textId="29529762" w:rsidR="00E12ACB" w:rsidRPr="00E12ACB" w:rsidRDefault="00E12ACB" w:rsidP="00E12ACB">
            <w:pPr>
              <w:spacing w:before="120" w:after="0" w:line="240" w:lineRule="auto"/>
              <w:jc w:val="center"/>
              <w:rPr>
                <w:rFonts w:eastAsia="Times New Roman" w:cstheme="minorHAnsi"/>
                <w:sz w:val="18"/>
                <w:szCs w:val="18"/>
                <w:lang w:eastAsia="hr-HR"/>
              </w:rPr>
            </w:pPr>
            <w:r w:rsidRPr="00E12ACB">
              <w:rPr>
                <w:rFonts w:ascii="Calibri" w:hAnsi="Calibri" w:cs="Calibri"/>
                <w:sz w:val="18"/>
                <w:szCs w:val="18"/>
              </w:rPr>
              <w:t>95%</w:t>
            </w:r>
          </w:p>
        </w:tc>
      </w:tr>
    </w:tbl>
    <w:p w14:paraId="6399ADD9" w14:textId="77777777" w:rsidR="00E12ACB" w:rsidRDefault="00E12ACB" w:rsidP="00E12ACB">
      <w:pPr>
        <w:pStyle w:val="Caption"/>
        <w:spacing w:after="120" w:line="360" w:lineRule="auto"/>
        <w:jc w:val="both"/>
        <w:rPr>
          <w:rFonts w:eastAsiaTheme="majorEastAsia"/>
        </w:rPr>
      </w:pPr>
    </w:p>
    <w:p w14:paraId="4FFBA4AD" w14:textId="13CABBF7" w:rsidR="00E12ACB" w:rsidRPr="00E12ACB" w:rsidRDefault="00E12ACB" w:rsidP="00E12ACB">
      <w:pPr>
        <w:pStyle w:val="NoSpacing"/>
        <w:spacing w:line="360" w:lineRule="auto"/>
        <w:jc w:val="both"/>
      </w:pPr>
      <w:r w:rsidRPr="00E12ACB">
        <w:rPr>
          <w:rFonts w:eastAsiaTheme="majorEastAsia"/>
        </w:rPr>
        <w:t>T</w:t>
      </w:r>
      <w:r w:rsidRPr="00E12ACB">
        <w:t>roškovi promidžbe u 2024. godini ostvareni su u iznosu od 10.448 eura, što predstavlja pad od 44% u odnosu na prethodnu godinu te su 5% manji u odnosu na rebalans plana.</w:t>
      </w:r>
    </w:p>
    <w:p w14:paraId="03E95525" w14:textId="2951BA1D" w:rsidR="00E12ACB" w:rsidRDefault="00E12ACB" w:rsidP="00E12ACB">
      <w:pPr>
        <w:pStyle w:val="NoSpacing"/>
        <w:spacing w:line="360" w:lineRule="auto"/>
        <w:jc w:val="both"/>
      </w:pPr>
      <w:r w:rsidRPr="00E12ACB">
        <w:t>U prethodnom razdoblju, konkretno tijekom 2023. godine, zabilježeno je veće ulaganje u promidžbene aktivnosti uslijed izrade novog vizualnog identiteta Društva. Budući da su ti troškovi bili jednokratnog karaktera, izostanak sličnih aktivnosti rezultirao je padom ukupnih izdataka za promidžbu.</w:t>
      </w:r>
    </w:p>
    <w:p w14:paraId="64D3B849" w14:textId="77777777" w:rsidR="00E12ACB" w:rsidRPr="00E12ACB" w:rsidRDefault="00E12ACB" w:rsidP="00E12ACB">
      <w:pPr>
        <w:pStyle w:val="NoSpacing"/>
        <w:spacing w:line="360" w:lineRule="auto"/>
        <w:jc w:val="both"/>
      </w:pPr>
    </w:p>
    <w:p w14:paraId="0FF46B3E" w14:textId="6E56058E" w:rsidR="00BD455D" w:rsidRPr="004C6BB1" w:rsidRDefault="00BD455D" w:rsidP="00BD455D">
      <w:pPr>
        <w:pStyle w:val="Caption"/>
        <w:spacing w:after="120" w:line="360" w:lineRule="auto"/>
        <w:jc w:val="both"/>
        <w:rPr>
          <w:rFonts w:asciiTheme="minorHAnsi" w:hAnsiTheme="minorHAnsi" w:cstheme="minorHAnsi"/>
          <w:b w:val="0"/>
          <w:bCs w:val="0"/>
          <w:sz w:val="22"/>
          <w:szCs w:val="22"/>
        </w:rPr>
      </w:pPr>
      <w:bookmarkStart w:id="68" w:name="_Toc200366466"/>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28</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intelektualnih usluga</w:t>
      </w:r>
      <w:bookmarkEnd w:id="68"/>
    </w:p>
    <w:tbl>
      <w:tblPr>
        <w:tblW w:w="907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0"/>
        <w:gridCol w:w="2882"/>
        <w:gridCol w:w="1339"/>
        <w:gridCol w:w="1170"/>
        <w:gridCol w:w="1482"/>
        <w:gridCol w:w="737"/>
        <w:gridCol w:w="737"/>
      </w:tblGrid>
      <w:tr w:rsidR="00622BB2" w:rsidRPr="004C6BB1" w14:paraId="30FA90DE" w14:textId="77777777" w:rsidTr="008E4817">
        <w:trPr>
          <w:trHeight w:val="649"/>
        </w:trPr>
        <w:tc>
          <w:tcPr>
            <w:tcW w:w="730" w:type="dxa"/>
            <w:tcBorders>
              <w:top w:val="single" w:sz="4" w:space="0" w:color="auto"/>
              <w:bottom w:val="single" w:sz="4" w:space="0" w:color="auto"/>
            </w:tcBorders>
            <w:shd w:val="clear" w:color="auto" w:fill="auto"/>
            <w:noWrap/>
            <w:vAlign w:val="center"/>
            <w:hideMark/>
          </w:tcPr>
          <w:p w14:paraId="2EC2D6B5" w14:textId="77777777" w:rsidR="00622BB2" w:rsidRPr="004C6BB1" w:rsidRDefault="00622BB2" w:rsidP="00622BB2">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2882" w:type="dxa"/>
            <w:tcBorders>
              <w:top w:val="single" w:sz="4" w:space="0" w:color="auto"/>
              <w:bottom w:val="single" w:sz="4" w:space="0" w:color="auto"/>
            </w:tcBorders>
            <w:shd w:val="clear" w:color="auto" w:fill="auto"/>
            <w:noWrap/>
            <w:vAlign w:val="center"/>
            <w:hideMark/>
          </w:tcPr>
          <w:p w14:paraId="03B3A58A" w14:textId="77777777" w:rsidR="00622BB2" w:rsidRPr="004C6BB1" w:rsidRDefault="00622BB2" w:rsidP="00622BB2">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39" w:type="dxa"/>
            <w:tcBorders>
              <w:top w:val="single" w:sz="4" w:space="0" w:color="auto"/>
              <w:bottom w:val="single" w:sz="4" w:space="0" w:color="auto"/>
            </w:tcBorders>
            <w:shd w:val="clear" w:color="auto" w:fill="auto"/>
            <w:noWrap/>
            <w:vAlign w:val="center"/>
            <w:hideMark/>
          </w:tcPr>
          <w:p w14:paraId="1DE2530F" w14:textId="66618FEE" w:rsidR="00622BB2" w:rsidRPr="004C6BB1" w:rsidRDefault="00622BB2" w:rsidP="00622BB2">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70" w:type="dxa"/>
            <w:tcBorders>
              <w:top w:val="single" w:sz="4" w:space="0" w:color="auto"/>
              <w:bottom w:val="single" w:sz="4" w:space="0" w:color="auto"/>
            </w:tcBorders>
            <w:shd w:val="clear" w:color="auto" w:fill="auto"/>
            <w:noWrap/>
            <w:vAlign w:val="center"/>
            <w:hideMark/>
          </w:tcPr>
          <w:p w14:paraId="0E993B92" w14:textId="4D9E670D" w:rsidR="00622BB2" w:rsidRPr="004C6BB1" w:rsidRDefault="00622BB2" w:rsidP="00622BB2">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82" w:type="dxa"/>
            <w:tcBorders>
              <w:top w:val="single" w:sz="4" w:space="0" w:color="auto"/>
              <w:bottom w:val="single" w:sz="4" w:space="0" w:color="auto"/>
            </w:tcBorders>
            <w:shd w:val="clear" w:color="auto" w:fill="auto"/>
            <w:noWrap/>
            <w:vAlign w:val="center"/>
            <w:hideMark/>
          </w:tcPr>
          <w:p w14:paraId="278F10B4" w14:textId="60D502B8" w:rsidR="00622BB2" w:rsidRPr="004C6BB1" w:rsidRDefault="00622BB2" w:rsidP="00622BB2">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7" w:type="dxa"/>
            <w:tcBorders>
              <w:top w:val="single" w:sz="4" w:space="0" w:color="auto"/>
              <w:bottom w:val="single" w:sz="4" w:space="0" w:color="auto"/>
            </w:tcBorders>
            <w:shd w:val="clear" w:color="auto" w:fill="auto"/>
            <w:noWrap/>
            <w:vAlign w:val="center"/>
            <w:hideMark/>
          </w:tcPr>
          <w:p w14:paraId="368099DD" w14:textId="77777777" w:rsidR="00622BB2" w:rsidRPr="004C6BB1" w:rsidRDefault="00622BB2" w:rsidP="00622BB2">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7E9B9045" w14:textId="77777777" w:rsidR="00622BB2" w:rsidRPr="004C6BB1" w:rsidRDefault="00622BB2" w:rsidP="00622BB2">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BD455D" w:rsidRPr="004C6BB1" w14:paraId="46528902" w14:textId="77777777" w:rsidTr="008E4817">
        <w:trPr>
          <w:trHeight w:val="176"/>
        </w:trPr>
        <w:tc>
          <w:tcPr>
            <w:tcW w:w="730" w:type="dxa"/>
            <w:tcBorders>
              <w:top w:val="single" w:sz="4" w:space="0" w:color="auto"/>
              <w:bottom w:val="single" w:sz="4" w:space="0" w:color="auto"/>
            </w:tcBorders>
            <w:shd w:val="clear" w:color="auto" w:fill="auto"/>
            <w:noWrap/>
            <w:vAlign w:val="center"/>
          </w:tcPr>
          <w:p w14:paraId="17945A69" w14:textId="77777777" w:rsidR="00BD455D" w:rsidRPr="007659E6" w:rsidRDefault="00BD455D" w:rsidP="009F3D2D">
            <w:pPr>
              <w:spacing w:after="0" w:line="240" w:lineRule="auto"/>
              <w:jc w:val="center"/>
              <w:rPr>
                <w:rFonts w:eastAsia="Times New Roman" w:cstheme="minorHAnsi"/>
                <w:b/>
                <w:bCs/>
                <w:sz w:val="14"/>
                <w:szCs w:val="14"/>
                <w:lang w:eastAsia="hr-HR"/>
              </w:rPr>
            </w:pPr>
            <w:r w:rsidRPr="007659E6">
              <w:rPr>
                <w:rFonts w:eastAsia="Times New Roman" w:cstheme="minorHAnsi"/>
                <w:b/>
                <w:bCs/>
                <w:i/>
                <w:iCs/>
                <w:color w:val="D9D9D9" w:themeColor="background1" w:themeShade="D9"/>
                <w:sz w:val="14"/>
                <w:szCs w:val="14"/>
                <w:lang w:eastAsia="hr-HR"/>
              </w:rPr>
              <w:t>1</w:t>
            </w:r>
          </w:p>
        </w:tc>
        <w:tc>
          <w:tcPr>
            <w:tcW w:w="2882" w:type="dxa"/>
            <w:tcBorders>
              <w:top w:val="single" w:sz="4" w:space="0" w:color="auto"/>
              <w:bottom w:val="single" w:sz="4" w:space="0" w:color="auto"/>
            </w:tcBorders>
            <w:shd w:val="clear" w:color="auto" w:fill="auto"/>
            <w:noWrap/>
            <w:vAlign w:val="center"/>
          </w:tcPr>
          <w:p w14:paraId="315D25BE" w14:textId="77777777" w:rsidR="00BD455D" w:rsidRPr="007659E6" w:rsidRDefault="00BD455D" w:rsidP="009F3D2D">
            <w:pPr>
              <w:spacing w:after="0" w:line="240" w:lineRule="auto"/>
              <w:jc w:val="center"/>
              <w:rPr>
                <w:rFonts w:eastAsia="Times New Roman" w:cstheme="minorHAnsi"/>
                <w:b/>
                <w:bCs/>
                <w:sz w:val="14"/>
                <w:szCs w:val="14"/>
                <w:lang w:eastAsia="hr-HR"/>
              </w:rPr>
            </w:pPr>
            <w:r w:rsidRPr="007659E6">
              <w:rPr>
                <w:rFonts w:eastAsia="Times New Roman" w:cstheme="minorHAnsi"/>
                <w:b/>
                <w:bCs/>
                <w:i/>
                <w:iCs/>
                <w:color w:val="D9D9D9" w:themeColor="background1" w:themeShade="D9"/>
                <w:sz w:val="14"/>
                <w:szCs w:val="14"/>
                <w:lang w:eastAsia="hr-HR"/>
              </w:rPr>
              <w:t>2</w:t>
            </w:r>
          </w:p>
        </w:tc>
        <w:tc>
          <w:tcPr>
            <w:tcW w:w="1339" w:type="dxa"/>
            <w:tcBorders>
              <w:top w:val="single" w:sz="4" w:space="0" w:color="auto"/>
              <w:bottom w:val="single" w:sz="4" w:space="0" w:color="auto"/>
            </w:tcBorders>
            <w:shd w:val="clear" w:color="auto" w:fill="auto"/>
            <w:noWrap/>
            <w:vAlign w:val="center"/>
          </w:tcPr>
          <w:p w14:paraId="5D7DBB52" w14:textId="77777777" w:rsidR="00BD455D" w:rsidRPr="007659E6" w:rsidRDefault="00BD455D" w:rsidP="009F3D2D">
            <w:pPr>
              <w:spacing w:after="0" w:line="240" w:lineRule="auto"/>
              <w:jc w:val="center"/>
              <w:rPr>
                <w:rFonts w:ascii="Calibri" w:eastAsia="Times New Roman" w:hAnsi="Calibri" w:cs="Calibri"/>
                <w:b/>
                <w:bCs/>
                <w:sz w:val="14"/>
                <w:szCs w:val="14"/>
                <w:lang w:eastAsia="hr-HR"/>
              </w:rPr>
            </w:pPr>
            <w:r w:rsidRPr="007659E6">
              <w:rPr>
                <w:rFonts w:ascii="Calibri" w:eastAsia="Times New Roman" w:hAnsi="Calibri" w:cs="Calibri"/>
                <w:b/>
                <w:bCs/>
                <w:i/>
                <w:iCs/>
                <w:color w:val="D9D9D9" w:themeColor="background1" w:themeShade="D9"/>
                <w:sz w:val="14"/>
                <w:szCs w:val="14"/>
                <w:lang w:eastAsia="hr-HR"/>
              </w:rPr>
              <w:t>3</w:t>
            </w:r>
          </w:p>
        </w:tc>
        <w:tc>
          <w:tcPr>
            <w:tcW w:w="1170" w:type="dxa"/>
            <w:tcBorders>
              <w:top w:val="single" w:sz="4" w:space="0" w:color="auto"/>
              <w:bottom w:val="single" w:sz="4" w:space="0" w:color="auto"/>
            </w:tcBorders>
            <w:shd w:val="clear" w:color="auto" w:fill="auto"/>
            <w:noWrap/>
            <w:vAlign w:val="center"/>
          </w:tcPr>
          <w:p w14:paraId="3B8815B3" w14:textId="77777777" w:rsidR="00BD455D" w:rsidRPr="007659E6" w:rsidRDefault="00BD455D" w:rsidP="009F3D2D">
            <w:pPr>
              <w:spacing w:after="0" w:line="240" w:lineRule="auto"/>
              <w:jc w:val="center"/>
              <w:rPr>
                <w:rFonts w:eastAsia="Times New Roman" w:cstheme="minorHAnsi"/>
                <w:b/>
                <w:bCs/>
                <w:sz w:val="14"/>
                <w:szCs w:val="14"/>
                <w:lang w:eastAsia="hr-HR"/>
              </w:rPr>
            </w:pPr>
            <w:r w:rsidRPr="007659E6">
              <w:rPr>
                <w:rFonts w:eastAsia="Times New Roman" w:cstheme="minorHAnsi"/>
                <w:b/>
                <w:bCs/>
                <w:i/>
                <w:iCs/>
                <w:color w:val="D9D9D9" w:themeColor="background1" w:themeShade="D9"/>
                <w:sz w:val="14"/>
                <w:szCs w:val="14"/>
                <w:lang w:eastAsia="hr-HR"/>
              </w:rPr>
              <w:t>4</w:t>
            </w:r>
          </w:p>
        </w:tc>
        <w:tc>
          <w:tcPr>
            <w:tcW w:w="1482" w:type="dxa"/>
            <w:tcBorders>
              <w:top w:val="single" w:sz="4" w:space="0" w:color="auto"/>
              <w:bottom w:val="single" w:sz="4" w:space="0" w:color="auto"/>
            </w:tcBorders>
            <w:shd w:val="clear" w:color="auto" w:fill="auto"/>
            <w:noWrap/>
            <w:vAlign w:val="center"/>
          </w:tcPr>
          <w:p w14:paraId="6EB556DB" w14:textId="77777777" w:rsidR="00BD455D" w:rsidRPr="007659E6" w:rsidRDefault="00BD455D" w:rsidP="009F3D2D">
            <w:pPr>
              <w:spacing w:after="0" w:line="240" w:lineRule="auto"/>
              <w:jc w:val="center"/>
              <w:rPr>
                <w:rFonts w:ascii="Calibri" w:eastAsia="Times New Roman" w:hAnsi="Calibri" w:cs="Calibri"/>
                <w:b/>
                <w:bCs/>
                <w:sz w:val="14"/>
                <w:szCs w:val="14"/>
                <w:lang w:eastAsia="hr-HR"/>
              </w:rPr>
            </w:pPr>
            <w:r w:rsidRPr="007659E6">
              <w:rPr>
                <w:rFonts w:ascii="Calibri" w:eastAsia="Times New Roman" w:hAnsi="Calibri" w:cs="Calibri"/>
                <w:b/>
                <w:bCs/>
                <w:i/>
                <w:iCs/>
                <w:color w:val="D9D9D9" w:themeColor="background1" w:themeShade="D9"/>
                <w:sz w:val="14"/>
                <w:szCs w:val="14"/>
                <w:lang w:eastAsia="hr-HR"/>
              </w:rPr>
              <w:t>5</w:t>
            </w:r>
          </w:p>
        </w:tc>
        <w:tc>
          <w:tcPr>
            <w:tcW w:w="737" w:type="dxa"/>
            <w:tcBorders>
              <w:top w:val="single" w:sz="4" w:space="0" w:color="auto"/>
              <w:bottom w:val="single" w:sz="4" w:space="0" w:color="auto"/>
            </w:tcBorders>
            <w:shd w:val="clear" w:color="auto" w:fill="auto"/>
            <w:noWrap/>
            <w:vAlign w:val="center"/>
          </w:tcPr>
          <w:p w14:paraId="3DD1FFCD" w14:textId="77777777" w:rsidR="00BD455D" w:rsidRPr="007659E6" w:rsidRDefault="00BD455D" w:rsidP="009F3D2D">
            <w:pPr>
              <w:spacing w:after="0" w:line="240" w:lineRule="auto"/>
              <w:jc w:val="center"/>
              <w:rPr>
                <w:rFonts w:ascii="Calibri" w:eastAsia="Times New Roman" w:hAnsi="Calibri" w:cs="Calibri"/>
                <w:b/>
                <w:bCs/>
                <w:color w:val="000000"/>
                <w:sz w:val="14"/>
                <w:szCs w:val="14"/>
                <w:lang w:eastAsia="hr-HR"/>
              </w:rPr>
            </w:pPr>
            <w:r w:rsidRPr="007659E6">
              <w:rPr>
                <w:rFonts w:ascii="Calibri" w:eastAsia="Times New Roman" w:hAnsi="Calibri" w:cs="Calibri"/>
                <w:b/>
                <w:bCs/>
                <w:i/>
                <w:iCs/>
                <w:color w:val="D9D9D9" w:themeColor="background1" w:themeShade="D9"/>
                <w:sz w:val="14"/>
                <w:szCs w:val="14"/>
                <w:lang w:eastAsia="hr-HR"/>
              </w:rPr>
              <w:t>6</w:t>
            </w:r>
          </w:p>
        </w:tc>
        <w:tc>
          <w:tcPr>
            <w:tcW w:w="737" w:type="dxa"/>
            <w:tcBorders>
              <w:top w:val="single" w:sz="4" w:space="0" w:color="auto"/>
              <w:bottom w:val="single" w:sz="4" w:space="0" w:color="auto"/>
            </w:tcBorders>
            <w:shd w:val="clear" w:color="auto" w:fill="auto"/>
            <w:noWrap/>
            <w:vAlign w:val="center"/>
          </w:tcPr>
          <w:p w14:paraId="3C4F3935" w14:textId="77777777" w:rsidR="00BD455D" w:rsidRPr="007659E6" w:rsidRDefault="00BD455D" w:rsidP="009F3D2D">
            <w:pPr>
              <w:spacing w:after="0" w:line="240" w:lineRule="auto"/>
              <w:jc w:val="center"/>
              <w:rPr>
                <w:rFonts w:ascii="Calibri" w:eastAsia="Times New Roman" w:hAnsi="Calibri" w:cs="Calibri"/>
                <w:b/>
                <w:bCs/>
                <w:color w:val="000000"/>
                <w:sz w:val="14"/>
                <w:szCs w:val="14"/>
                <w:lang w:eastAsia="hr-HR"/>
              </w:rPr>
            </w:pPr>
            <w:r w:rsidRPr="007659E6">
              <w:rPr>
                <w:rFonts w:ascii="Calibri" w:eastAsia="Times New Roman" w:hAnsi="Calibri" w:cs="Calibri"/>
                <w:b/>
                <w:bCs/>
                <w:i/>
                <w:iCs/>
                <w:color w:val="D9D9D9" w:themeColor="background1" w:themeShade="D9"/>
                <w:sz w:val="14"/>
                <w:szCs w:val="14"/>
                <w:lang w:eastAsia="hr-HR"/>
              </w:rPr>
              <w:t>7</w:t>
            </w:r>
          </w:p>
        </w:tc>
      </w:tr>
      <w:tr w:rsidR="00622BB2" w:rsidRPr="004C6BB1" w14:paraId="0788658A" w14:textId="77777777" w:rsidTr="008E4817">
        <w:trPr>
          <w:trHeight w:val="353"/>
        </w:trPr>
        <w:tc>
          <w:tcPr>
            <w:tcW w:w="730" w:type="dxa"/>
            <w:tcBorders>
              <w:top w:val="single" w:sz="4" w:space="0" w:color="auto"/>
            </w:tcBorders>
            <w:shd w:val="clear" w:color="auto" w:fill="auto"/>
            <w:noWrap/>
            <w:vAlign w:val="bottom"/>
            <w:hideMark/>
          </w:tcPr>
          <w:p w14:paraId="675EFB00" w14:textId="77777777" w:rsidR="00622BB2" w:rsidRPr="007659E6" w:rsidRDefault="00622BB2" w:rsidP="00622BB2">
            <w:pPr>
              <w:spacing w:before="120" w:after="0" w:line="240" w:lineRule="auto"/>
              <w:rPr>
                <w:rFonts w:eastAsia="Times New Roman" w:cstheme="minorHAnsi"/>
                <w:b/>
                <w:bCs/>
                <w:sz w:val="18"/>
                <w:szCs w:val="18"/>
                <w:lang w:eastAsia="hr-HR"/>
              </w:rPr>
            </w:pPr>
            <w:r w:rsidRPr="007659E6">
              <w:rPr>
                <w:rFonts w:eastAsia="Times New Roman" w:cstheme="minorHAnsi"/>
                <w:b/>
                <w:bCs/>
                <w:sz w:val="18"/>
                <w:szCs w:val="18"/>
                <w:lang w:eastAsia="hr-HR"/>
              </w:rPr>
              <w:t>1.2.8</w:t>
            </w:r>
          </w:p>
        </w:tc>
        <w:tc>
          <w:tcPr>
            <w:tcW w:w="2882" w:type="dxa"/>
            <w:tcBorders>
              <w:top w:val="single" w:sz="4" w:space="0" w:color="auto"/>
            </w:tcBorders>
            <w:shd w:val="clear" w:color="auto" w:fill="auto"/>
            <w:noWrap/>
            <w:vAlign w:val="bottom"/>
            <w:hideMark/>
          </w:tcPr>
          <w:p w14:paraId="41D010B5" w14:textId="77777777" w:rsidR="00622BB2" w:rsidRPr="007659E6" w:rsidRDefault="00622BB2" w:rsidP="00622BB2">
            <w:pPr>
              <w:spacing w:before="120" w:after="0" w:line="240" w:lineRule="auto"/>
              <w:rPr>
                <w:rFonts w:eastAsia="Times New Roman" w:cstheme="minorHAnsi"/>
                <w:b/>
                <w:bCs/>
                <w:sz w:val="18"/>
                <w:szCs w:val="18"/>
                <w:lang w:eastAsia="hr-HR"/>
              </w:rPr>
            </w:pPr>
            <w:r w:rsidRPr="007659E6">
              <w:rPr>
                <w:rFonts w:eastAsia="Times New Roman" w:cstheme="minorHAnsi"/>
                <w:b/>
                <w:bCs/>
                <w:sz w:val="18"/>
                <w:szCs w:val="18"/>
                <w:lang w:eastAsia="hr-HR"/>
              </w:rPr>
              <w:t xml:space="preserve">Intelektualne usluge </w:t>
            </w:r>
          </w:p>
        </w:tc>
        <w:tc>
          <w:tcPr>
            <w:tcW w:w="1339" w:type="dxa"/>
            <w:tcBorders>
              <w:top w:val="single" w:sz="4" w:space="0" w:color="auto"/>
            </w:tcBorders>
            <w:shd w:val="clear" w:color="auto" w:fill="auto"/>
            <w:noWrap/>
            <w:vAlign w:val="bottom"/>
            <w:hideMark/>
          </w:tcPr>
          <w:p w14:paraId="661DC432" w14:textId="423FCB5A" w:rsidR="00622BB2" w:rsidRPr="00622BB2" w:rsidRDefault="00622BB2" w:rsidP="00622BB2">
            <w:pPr>
              <w:spacing w:before="120" w:after="0" w:line="240" w:lineRule="auto"/>
              <w:jc w:val="center"/>
              <w:rPr>
                <w:rFonts w:eastAsia="Times New Roman" w:cstheme="minorHAnsi"/>
                <w:b/>
                <w:bCs/>
                <w:sz w:val="18"/>
                <w:szCs w:val="18"/>
                <w:lang w:eastAsia="hr-HR"/>
              </w:rPr>
            </w:pPr>
            <w:r w:rsidRPr="00622BB2">
              <w:rPr>
                <w:rFonts w:ascii="Calibri" w:hAnsi="Calibri" w:cs="Calibri"/>
                <w:b/>
                <w:bCs/>
                <w:sz w:val="18"/>
                <w:szCs w:val="18"/>
              </w:rPr>
              <w:t>195.326</w:t>
            </w:r>
          </w:p>
        </w:tc>
        <w:tc>
          <w:tcPr>
            <w:tcW w:w="1170" w:type="dxa"/>
            <w:tcBorders>
              <w:top w:val="single" w:sz="4" w:space="0" w:color="auto"/>
            </w:tcBorders>
            <w:shd w:val="clear" w:color="auto" w:fill="auto"/>
            <w:noWrap/>
            <w:vAlign w:val="bottom"/>
            <w:hideMark/>
          </w:tcPr>
          <w:p w14:paraId="1EFCA734" w14:textId="6BBCF959" w:rsidR="00622BB2" w:rsidRPr="00622BB2" w:rsidRDefault="00622BB2" w:rsidP="00622BB2">
            <w:pPr>
              <w:spacing w:before="120" w:after="0" w:line="240" w:lineRule="auto"/>
              <w:jc w:val="center"/>
              <w:rPr>
                <w:rFonts w:eastAsia="Times New Roman" w:cstheme="minorHAnsi"/>
                <w:b/>
                <w:bCs/>
                <w:sz w:val="18"/>
                <w:szCs w:val="18"/>
                <w:lang w:eastAsia="hr-HR"/>
              </w:rPr>
            </w:pPr>
            <w:r w:rsidRPr="00622BB2">
              <w:rPr>
                <w:rFonts w:ascii="Calibri" w:hAnsi="Calibri" w:cs="Calibri"/>
                <w:b/>
                <w:bCs/>
                <w:sz w:val="18"/>
                <w:szCs w:val="18"/>
              </w:rPr>
              <w:t>158.758</w:t>
            </w:r>
          </w:p>
        </w:tc>
        <w:tc>
          <w:tcPr>
            <w:tcW w:w="1482" w:type="dxa"/>
            <w:tcBorders>
              <w:top w:val="single" w:sz="4" w:space="0" w:color="auto"/>
            </w:tcBorders>
            <w:shd w:val="clear" w:color="auto" w:fill="auto"/>
            <w:noWrap/>
            <w:vAlign w:val="bottom"/>
            <w:hideMark/>
          </w:tcPr>
          <w:p w14:paraId="5DA74517" w14:textId="3CB9CEF7" w:rsidR="00622BB2" w:rsidRPr="00622BB2" w:rsidRDefault="00622BB2" w:rsidP="00622BB2">
            <w:pPr>
              <w:spacing w:before="120" w:after="0" w:line="240" w:lineRule="auto"/>
              <w:jc w:val="center"/>
              <w:rPr>
                <w:rFonts w:eastAsia="Times New Roman" w:cstheme="minorHAnsi"/>
                <w:b/>
                <w:bCs/>
                <w:sz w:val="18"/>
                <w:szCs w:val="18"/>
                <w:lang w:eastAsia="hr-HR"/>
              </w:rPr>
            </w:pPr>
            <w:r w:rsidRPr="00622BB2">
              <w:rPr>
                <w:rFonts w:ascii="Calibri" w:hAnsi="Calibri" w:cs="Calibri"/>
                <w:b/>
                <w:bCs/>
                <w:sz w:val="18"/>
                <w:szCs w:val="18"/>
              </w:rPr>
              <w:t>160.711</w:t>
            </w:r>
          </w:p>
        </w:tc>
        <w:tc>
          <w:tcPr>
            <w:tcW w:w="737" w:type="dxa"/>
            <w:tcBorders>
              <w:top w:val="single" w:sz="4" w:space="0" w:color="auto"/>
            </w:tcBorders>
            <w:shd w:val="clear" w:color="auto" w:fill="auto"/>
            <w:noWrap/>
            <w:vAlign w:val="bottom"/>
            <w:hideMark/>
          </w:tcPr>
          <w:p w14:paraId="75125CF7" w14:textId="6FA7DDFA" w:rsidR="00622BB2" w:rsidRPr="00622BB2" w:rsidRDefault="00622BB2" w:rsidP="00622BB2">
            <w:pPr>
              <w:spacing w:before="120" w:after="0" w:line="240" w:lineRule="auto"/>
              <w:jc w:val="center"/>
              <w:rPr>
                <w:rFonts w:eastAsia="Times New Roman" w:cstheme="minorHAnsi"/>
                <w:b/>
                <w:bCs/>
                <w:sz w:val="18"/>
                <w:szCs w:val="18"/>
                <w:lang w:eastAsia="hr-HR"/>
              </w:rPr>
            </w:pPr>
            <w:r w:rsidRPr="00622BB2">
              <w:rPr>
                <w:rFonts w:ascii="Calibri" w:hAnsi="Calibri" w:cs="Calibri"/>
                <w:b/>
                <w:bCs/>
                <w:sz w:val="18"/>
                <w:szCs w:val="18"/>
              </w:rPr>
              <w:t>82%</w:t>
            </w:r>
          </w:p>
        </w:tc>
        <w:tc>
          <w:tcPr>
            <w:tcW w:w="737" w:type="dxa"/>
            <w:tcBorders>
              <w:top w:val="single" w:sz="4" w:space="0" w:color="auto"/>
            </w:tcBorders>
            <w:shd w:val="clear" w:color="auto" w:fill="auto"/>
            <w:noWrap/>
            <w:vAlign w:val="bottom"/>
            <w:hideMark/>
          </w:tcPr>
          <w:p w14:paraId="5C857939" w14:textId="735376C2" w:rsidR="00622BB2" w:rsidRPr="00622BB2" w:rsidRDefault="00622BB2" w:rsidP="00622BB2">
            <w:pPr>
              <w:spacing w:before="120" w:after="0" w:line="240" w:lineRule="auto"/>
              <w:jc w:val="center"/>
              <w:rPr>
                <w:rFonts w:eastAsia="Times New Roman" w:cstheme="minorHAnsi"/>
                <w:b/>
                <w:bCs/>
                <w:sz w:val="18"/>
                <w:szCs w:val="18"/>
                <w:lang w:eastAsia="hr-HR"/>
              </w:rPr>
            </w:pPr>
            <w:r w:rsidRPr="00622BB2">
              <w:rPr>
                <w:rFonts w:ascii="Calibri" w:hAnsi="Calibri" w:cs="Calibri"/>
                <w:b/>
                <w:bCs/>
                <w:sz w:val="18"/>
                <w:szCs w:val="18"/>
              </w:rPr>
              <w:t>101%</w:t>
            </w:r>
          </w:p>
        </w:tc>
      </w:tr>
      <w:tr w:rsidR="00622BB2" w:rsidRPr="004C6BB1" w14:paraId="09612555" w14:textId="77777777" w:rsidTr="008E4817">
        <w:trPr>
          <w:trHeight w:val="353"/>
        </w:trPr>
        <w:tc>
          <w:tcPr>
            <w:tcW w:w="730" w:type="dxa"/>
            <w:shd w:val="clear" w:color="auto" w:fill="auto"/>
            <w:noWrap/>
            <w:vAlign w:val="bottom"/>
            <w:hideMark/>
          </w:tcPr>
          <w:p w14:paraId="16AC0CD8"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1.2.8.1</w:t>
            </w:r>
          </w:p>
        </w:tc>
        <w:tc>
          <w:tcPr>
            <w:tcW w:w="2882" w:type="dxa"/>
            <w:shd w:val="clear" w:color="auto" w:fill="auto"/>
            <w:noWrap/>
            <w:vAlign w:val="bottom"/>
            <w:hideMark/>
          </w:tcPr>
          <w:p w14:paraId="6175664D"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Konzultantske i savjetničke usl.</w:t>
            </w:r>
          </w:p>
        </w:tc>
        <w:tc>
          <w:tcPr>
            <w:tcW w:w="1339" w:type="dxa"/>
            <w:shd w:val="clear" w:color="auto" w:fill="auto"/>
            <w:noWrap/>
            <w:vAlign w:val="bottom"/>
            <w:hideMark/>
          </w:tcPr>
          <w:p w14:paraId="6FE27BC6" w14:textId="6ACFCB67"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86.910</w:t>
            </w:r>
          </w:p>
        </w:tc>
        <w:tc>
          <w:tcPr>
            <w:tcW w:w="1170" w:type="dxa"/>
            <w:shd w:val="clear" w:color="auto" w:fill="auto"/>
            <w:noWrap/>
            <w:vAlign w:val="bottom"/>
            <w:hideMark/>
          </w:tcPr>
          <w:p w14:paraId="5EB35908" w14:textId="67997FD9"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52.200</w:t>
            </w:r>
          </w:p>
        </w:tc>
        <w:tc>
          <w:tcPr>
            <w:tcW w:w="1482" w:type="dxa"/>
            <w:shd w:val="clear" w:color="auto" w:fill="auto"/>
            <w:noWrap/>
            <w:vAlign w:val="bottom"/>
            <w:hideMark/>
          </w:tcPr>
          <w:p w14:paraId="216B7CB9" w14:textId="2704D9CC"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58.200</w:t>
            </w:r>
          </w:p>
        </w:tc>
        <w:tc>
          <w:tcPr>
            <w:tcW w:w="737" w:type="dxa"/>
            <w:shd w:val="clear" w:color="auto" w:fill="auto"/>
            <w:noWrap/>
            <w:vAlign w:val="bottom"/>
            <w:hideMark/>
          </w:tcPr>
          <w:p w14:paraId="339C7F81" w14:textId="0807F108"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67%</w:t>
            </w:r>
          </w:p>
        </w:tc>
        <w:tc>
          <w:tcPr>
            <w:tcW w:w="737" w:type="dxa"/>
            <w:shd w:val="clear" w:color="auto" w:fill="auto"/>
            <w:noWrap/>
            <w:vAlign w:val="bottom"/>
            <w:hideMark/>
          </w:tcPr>
          <w:p w14:paraId="15D4377B" w14:textId="7C5255AB"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111%</w:t>
            </w:r>
          </w:p>
        </w:tc>
      </w:tr>
      <w:tr w:rsidR="00622BB2" w:rsidRPr="004C6BB1" w14:paraId="4F5410FC" w14:textId="77777777" w:rsidTr="008E4817">
        <w:trPr>
          <w:trHeight w:val="353"/>
        </w:trPr>
        <w:tc>
          <w:tcPr>
            <w:tcW w:w="730" w:type="dxa"/>
            <w:shd w:val="clear" w:color="auto" w:fill="auto"/>
            <w:noWrap/>
            <w:vAlign w:val="bottom"/>
          </w:tcPr>
          <w:p w14:paraId="6EE1D178"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1.2.8.2</w:t>
            </w:r>
          </w:p>
        </w:tc>
        <w:tc>
          <w:tcPr>
            <w:tcW w:w="2882" w:type="dxa"/>
            <w:shd w:val="clear" w:color="auto" w:fill="auto"/>
            <w:noWrap/>
            <w:vAlign w:val="bottom"/>
          </w:tcPr>
          <w:p w14:paraId="682DCD25"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Savjetničke usluge za PR</w:t>
            </w:r>
          </w:p>
        </w:tc>
        <w:tc>
          <w:tcPr>
            <w:tcW w:w="1339" w:type="dxa"/>
            <w:shd w:val="clear" w:color="auto" w:fill="auto"/>
            <w:noWrap/>
            <w:vAlign w:val="bottom"/>
          </w:tcPr>
          <w:p w14:paraId="4023FBA7" w14:textId="04B2EA17"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23.545</w:t>
            </w:r>
          </w:p>
        </w:tc>
        <w:tc>
          <w:tcPr>
            <w:tcW w:w="1170" w:type="dxa"/>
            <w:shd w:val="clear" w:color="auto" w:fill="auto"/>
            <w:noWrap/>
            <w:vAlign w:val="bottom"/>
          </w:tcPr>
          <w:p w14:paraId="3F7A0F22" w14:textId="341CD888"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23.047</w:t>
            </w:r>
          </w:p>
        </w:tc>
        <w:tc>
          <w:tcPr>
            <w:tcW w:w="1482" w:type="dxa"/>
            <w:shd w:val="clear" w:color="auto" w:fill="auto"/>
            <w:noWrap/>
            <w:vAlign w:val="bottom"/>
          </w:tcPr>
          <w:p w14:paraId="48A3608B" w14:textId="43980318"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23.050</w:t>
            </w:r>
          </w:p>
        </w:tc>
        <w:tc>
          <w:tcPr>
            <w:tcW w:w="737" w:type="dxa"/>
            <w:shd w:val="clear" w:color="auto" w:fill="auto"/>
            <w:noWrap/>
            <w:vAlign w:val="bottom"/>
          </w:tcPr>
          <w:p w14:paraId="3EBBA27E" w14:textId="68659DF7"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98%</w:t>
            </w:r>
          </w:p>
        </w:tc>
        <w:tc>
          <w:tcPr>
            <w:tcW w:w="737" w:type="dxa"/>
            <w:shd w:val="clear" w:color="auto" w:fill="auto"/>
            <w:noWrap/>
            <w:vAlign w:val="bottom"/>
          </w:tcPr>
          <w:p w14:paraId="3F558820" w14:textId="08BE3BA8"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100%</w:t>
            </w:r>
          </w:p>
        </w:tc>
      </w:tr>
      <w:tr w:rsidR="00622BB2" w:rsidRPr="004C6BB1" w14:paraId="3BF73EA7" w14:textId="77777777" w:rsidTr="008E4817">
        <w:trPr>
          <w:trHeight w:val="353"/>
        </w:trPr>
        <w:tc>
          <w:tcPr>
            <w:tcW w:w="730" w:type="dxa"/>
            <w:shd w:val="clear" w:color="auto" w:fill="auto"/>
            <w:noWrap/>
            <w:vAlign w:val="bottom"/>
            <w:hideMark/>
          </w:tcPr>
          <w:p w14:paraId="671C79D2"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1.2.8.3</w:t>
            </w:r>
          </w:p>
        </w:tc>
        <w:tc>
          <w:tcPr>
            <w:tcW w:w="2882" w:type="dxa"/>
            <w:shd w:val="clear" w:color="auto" w:fill="auto"/>
            <w:noWrap/>
            <w:vAlign w:val="bottom"/>
            <w:hideMark/>
          </w:tcPr>
          <w:p w14:paraId="4A7A6B2B"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Knjigovodstvene usluge</w:t>
            </w:r>
          </w:p>
        </w:tc>
        <w:tc>
          <w:tcPr>
            <w:tcW w:w="1339" w:type="dxa"/>
            <w:shd w:val="clear" w:color="auto" w:fill="auto"/>
            <w:noWrap/>
            <w:vAlign w:val="bottom"/>
            <w:hideMark/>
          </w:tcPr>
          <w:p w14:paraId="556E3074" w14:textId="68E618BA"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15.591</w:t>
            </w:r>
          </w:p>
        </w:tc>
        <w:tc>
          <w:tcPr>
            <w:tcW w:w="1170" w:type="dxa"/>
            <w:shd w:val="clear" w:color="auto" w:fill="auto"/>
            <w:noWrap/>
            <w:vAlign w:val="bottom"/>
            <w:hideMark/>
          </w:tcPr>
          <w:p w14:paraId="7F45B830" w14:textId="2C453236"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16.259</w:t>
            </w:r>
          </w:p>
        </w:tc>
        <w:tc>
          <w:tcPr>
            <w:tcW w:w="1482" w:type="dxa"/>
            <w:shd w:val="clear" w:color="auto" w:fill="auto"/>
            <w:noWrap/>
            <w:vAlign w:val="bottom"/>
            <w:hideMark/>
          </w:tcPr>
          <w:p w14:paraId="30B818C7" w14:textId="2F79DA52"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15.515</w:t>
            </w:r>
          </w:p>
        </w:tc>
        <w:tc>
          <w:tcPr>
            <w:tcW w:w="737" w:type="dxa"/>
            <w:shd w:val="clear" w:color="auto" w:fill="auto"/>
            <w:noWrap/>
            <w:vAlign w:val="bottom"/>
            <w:hideMark/>
          </w:tcPr>
          <w:p w14:paraId="219B5034" w14:textId="1002DF94"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100%</w:t>
            </w:r>
          </w:p>
        </w:tc>
        <w:tc>
          <w:tcPr>
            <w:tcW w:w="737" w:type="dxa"/>
            <w:shd w:val="clear" w:color="auto" w:fill="auto"/>
            <w:noWrap/>
            <w:vAlign w:val="bottom"/>
            <w:hideMark/>
          </w:tcPr>
          <w:p w14:paraId="5E60A06C" w14:textId="37CC5C05"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95%</w:t>
            </w:r>
          </w:p>
        </w:tc>
      </w:tr>
      <w:tr w:rsidR="00622BB2" w:rsidRPr="004C6BB1" w14:paraId="08CDFAEF" w14:textId="77777777" w:rsidTr="008E4817">
        <w:trPr>
          <w:trHeight w:val="353"/>
        </w:trPr>
        <w:tc>
          <w:tcPr>
            <w:tcW w:w="730" w:type="dxa"/>
            <w:shd w:val="clear" w:color="auto" w:fill="auto"/>
            <w:noWrap/>
            <w:vAlign w:val="bottom"/>
            <w:hideMark/>
          </w:tcPr>
          <w:p w14:paraId="172B6A55"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1.2.8.4</w:t>
            </w:r>
          </w:p>
        </w:tc>
        <w:tc>
          <w:tcPr>
            <w:tcW w:w="2882" w:type="dxa"/>
            <w:shd w:val="clear" w:color="auto" w:fill="auto"/>
            <w:noWrap/>
            <w:vAlign w:val="bottom"/>
            <w:hideMark/>
          </w:tcPr>
          <w:p w14:paraId="779AF44D"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Usluge poreznih savjetnika</w:t>
            </w:r>
          </w:p>
        </w:tc>
        <w:tc>
          <w:tcPr>
            <w:tcW w:w="1339" w:type="dxa"/>
            <w:shd w:val="clear" w:color="auto" w:fill="auto"/>
            <w:noWrap/>
            <w:vAlign w:val="bottom"/>
            <w:hideMark/>
          </w:tcPr>
          <w:p w14:paraId="0E9B1B5F" w14:textId="48800071"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0</w:t>
            </w:r>
          </w:p>
        </w:tc>
        <w:tc>
          <w:tcPr>
            <w:tcW w:w="1170" w:type="dxa"/>
            <w:shd w:val="clear" w:color="auto" w:fill="auto"/>
            <w:noWrap/>
            <w:vAlign w:val="bottom"/>
            <w:hideMark/>
          </w:tcPr>
          <w:p w14:paraId="6F75C67A" w14:textId="4EFC8FCF"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5.000</w:t>
            </w:r>
          </w:p>
        </w:tc>
        <w:tc>
          <w:tcPr>
            <w:tcW w:w="1482" w:type="dxa"/>
            <w:shd w:val="clear" w:color="auto" w:fill="auto"/>
            <w:noWrap/>
            <w:vAlign w:val="bottom"/>
            <w:hideMark/>
          </w:tcPr>
          <w:p w14:paraId="144C34A7" w14:textId="26D8283D"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5.000</w:t>
            </w:r>
          </w:p>
        </w:tc>
        <w:tc>
          <w:tcPr>
            <w:tcW w:w="737" w:type="dxa"/>
            <w:shd w:val="clear" w:color="auto" w:fill="auto"/>
            <w:noWrap/>
            <w:vAlign w:val="bottom"/>
            <w:hideMark/>
          </w:tcPr>
          <w:p w14:paraId="4A8CA7BC" w14:textId="34503259" w:rsidR="00622BB2" w:rsidRPr="00622BB2" w:rsidRDefault="00622BB2" w:rsidP="00622BB2">
            <w:pPr>
              <w:spacing w:before="120" w:after="0" w:line="240" w:lineRule="auto"/>
              <w:jc w:val="center"/>
              <w:rPr>
                <w:rFonts w:eastAsia="Times New Roman" w:cstheme="minorHAnsi"/>
                <w:sz w:val="18"/>
                <w:szCs w:val="18"/>
                <w:lang w:eastAsia="hr-HR"/>
              </w:rPr>
            </w:pPr>
            <w:r>
              <w:rPr>
                <w:rFonts w:eastAsia="Times New Roman" w:cstheme="minorHAnsi"/>
                <w:sz w:val="18"/>
                <w:szCs w:val="18"/>
                <w:lang w:eastAsia="hr-HR"/>
              </w:rPr>
              <w:t>0%</w:t>
            </w:r>
          </w:p>
        </w:tc>
        <w:tc>
          <w:tcPr>
            <w:tcW w:w="737" w:type="dxa"/>
            <w:shd w:val="clear" w:color="auto" w:fill="auto"/>
            <w:noWrap/>
            <w:vAlign w:val="bottom"/>
            <w:hideMark/>
          </w:tcPr>
          <w:p w14:paraId="110BB290" w14:textId="4D789D9E"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100%</w:t>
            </w:r>
          </w:p>
        </w:tc>
      </w:tr>
      <w:tr w:rsidR="00622BB2" w:rsidRPr="004C6BB1" w14:paraId="5D11C7CC" w14:textId="77777777" w:rsidTr="008E4817">
        <w:trPr>
          <w:trHeight w:val="353"/>
        </w:trPr>
        <w:tc>
          <w:tcPr>
            <w:tcW w:w="730" w:type="dxa"/>
            <w:shd w:val="clear" w:color="auto" w:fill="auto"/>
            <w:noWrap/>
            <w:vAlign w:val="bottom"/>
            <w:hideMark/>
          </w:tcPr>
          <w:p w14:paraId="61205446"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1.2.8.5</w:t>
            </w:r>
          </w:p>
        </w:tc>
        <w:tc>
          <w:tcPr>
            <w:tcW w:w="2882" w:type="dxa"/>
            <w:shd w:val="clear" w:color="auto" w:fill="auto"/>
            <w:noWrap/>
            <w:vAlign w:val="bottom"/>
            <w:hideMark/>
          </w:tcPr>
          <w:p w14:paraId="304DFD23"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 xml:space="preserve">Usluge revizije </w:t>
            </w:r>
          </w:p>
        </w:tc>
        <w:tc>
          <w:tcPr>
            <w:tcW w:w="1339" w:type="dxa"/>
            <w:shd w:val="clear" w:color="auto" w:fill="auto"/>
            <w:noWrap/>
            <w:vAlign w:val="bottom"/>
            <w:hideMark/>
          </w:tcPr>
          <w:p w14:paraId="3AF4FD49" w14:textId="67BC004D"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11.945</w:t>
            </w:r>
          </w:p>
        </w:tc>
        <w:tc>
          <w:tcPr>
            <w:tcW w:w="1170" w:type="dxa"/>
            <w:shd w:val="clear" w:color="auto" w:fill="auto"/>
            <w:noWrap/>
            <w:vAlign w:val="bottom"/>
            <w:hideMark/>
          </w:tcPr>
          <w:p w14:paraId="63A59DA1" w14:textId="522D5F06"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12.000</w:t>
            </w:r>
          </w:p>
        </w:tc>
        <w:tc>
          <w:tcPr>
            <w:tcW w:w="1482" w:type="dxa"/>
            <w:shd w:val="clear" w:color="auto" w:fill="auto"/>
            <w:noWrap/>
            <w:vAlign w:val="bottom"/>
            <w:hideMark/>
          </w:tcPr>
          <w:p w14:paraId="639D0799" w14:textId="61710FEA"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12.000</w:t>
            </w:r>
          </w:p>
        </w:tc>
        <w:tc>
          <w:tcPr>
            <w:tcW w:w="737" w:type="dxa"/>
            <w:shd w:val="clear" w:color="auto" w:fill="auto"/>
            <w:noWrap/>
            <w:vAlign w:val="bottom"/>
            <w:hideMark/>
          </w:tcPr>
          <w:p w14:paraId="1A3957D2" w14:textId="467BF939"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100%</w:t>
            </w:r>
          </w:p>
        </w:tc>
        <w:tc>
          <w:tcPr>
            <w:tcW w:w="737" w:type="dxa"/>
            <w:shd w:val="clear" w:color="auto" w:fill="auto"/>
            <w:noWrap/>
            <w:vAlign w:val="bottom"/>
            <w:hideMark/>
          </w:tcPr>
          <w:p w14:paraId="24EAC199" w14:textId="450454DB"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100%</w:t>
            </w:r>
          </w:p>
        </w:tc>
      </w:tr>
      <w:tr w:rsidR="00622BB2" w:rsidRPr="004C6BB1" w14:paraId="31F3A594" w14:textId="77777777" w:rsidTr="008E4817">
        <w:trPr>
          <w:trHeight w:val="353"/>
        </w:trPr>
        <w:tc>
          <w:tcPr>
            <w:tcW w:w="730" w:type="dxa"/>
            <w:shd w:val="clear" w:color="auto" w:fill="auto"/>
            <w:noWrap/>
            <w:vAlign w:val="bottom"/>
            <w:hideMark/>
          </w:tcPr>
          <w:p w14:paraId="0E2AC650"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1.2.8.6</w:t>
            </w:r>
          </w:p>
        </w:tc>
        <w:tc>
          <w:tcPr>
            <w:tcW w:w="2882" w:type="dxa"/>
            <w:shd w:val="clear" w:color="auto" w:fill="auto"/>
            <w:noWrap/>
            <w:vAlign w:val="bottom"/>
            <w:hideMark/>
          </w:tcPr>
          <w:p w14:paraId="1A069F71"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Odvjetničke i bilježničke usluge</w:t>
            </w:r>
          </w:p>
        </w:tc>
        <w:tc>
          <w:tcPr>
            <w:tcW w:w="1339" w:type="dxa"/>
            <w:shd w:val="clear" w:color="auto" w:fill="auto"/>
            <w:noWrap/>
            <w:vAlign w:val="bottom"/>
            <w:hideMark/>
          </w:tcPr>
          <w:p w14:paraId="0B1F6442" w14:textId="53258F34"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22.083</w:t>
            </w:r>
          </w:p>
        </w:tc>
        <w:tc>
          <w:tcPr>
            <w:tcW w:w="1170" w:type="dxa"/>
            <w:shd w:val="clear" w:color="auto" w:fill="auto"/>
            <w:noWrap/>
            <w:vAlign w:val="bottom"/>
            <w:hideMark/>
          </w:tcPr>
          <w:p w14:paraId="4E55DFEA" w14:textId="39B9C872"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20.000</w:t>
            </w:r>
          </w:p>
        </w:tc>
        <w:tc>
          <w:tcPr>
            <w:tcW w:w="1482" w:type="dxa"/>
            <w:shd w:val="clear" w:color="auto" w:fill="auto"/>
            <w:noWrap/>
            <w:vAlign w:val="bottom"/>
            <w:hideMark/>
          </w:tcPr>
          <w:p w14:paraId="4F7BE6BA" w14:textId="19C86C5B"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16.695</w:t>
            </w:r>
          </w:p>
        </w:tc>
        <w:tc>
          <w:tcPr>
            <w:tcW w:w="737" w:type="dxa"/>
            <w:shd w:val="clear" w:color="auto" w:fill="auto"/>
            <w:noWrap/>
            <w:vAlign w:val="bottom"/>
            <w:hideMark/>
          </w:tcPr>
          <w:p w14:paraId="5F4F5BCA" w14:textId="2A9FF4A1"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76%</w:t>
            </w:r>
          </w:p>
        </w:tc>
        <w:tc>
          <w:tcPr>
            <w:tcW w:w="737" w:type="dxa"/>
            <w:shd w:val="clear" w:color="auto" w:fill="auto"/>
            <w:noWrap/>
            <w:vAlign w:val="bottom"/>
            <w:hideMark/>
          </w:tcPr>
          <w:p w14:paraId="028135A5" w14:textId="0A3489AE"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83%</w:t>
            </w:r>
          </w:p>
        </w:tc>
      </w:tr>
      <w:tr w:rsidR="00622BB2" w:rsidRPr="004C6BB1" w14:paraId="021E6737" w14:textId="77777777" w:rsidTr="008E4817">
        <w:trPr>
          <w:trHeight w:val="353"/>
        </w:trPr>
        <w:tc>
          <w:tcPr>
            <w:tcW w:w="730" w:type="dxa"/>
            <w:shd w:val="clear" w:color="auto" w:fill="auto"/>
            <w:noWrap/>
            <w:vAlign w:val="bottom"/>
            <w:hideMark/>
          </w:tcPr>
          <w:p w14:paraId="6B23DFCE"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1.2.8.7</w:t>
            </w:r>
          </w:p>
        </w:tc>
        <w:tc>
          <w:tcPr>
            <w:tcW w:w="2882" w:type="dxa"/>
            <w:shd w:val="clear" w:color="auto" w:fill="auto"/>
            <w:noWrap/>
            <w:vAlign w:val="bottom"/>
            <w:hideMark/>
          </w:tcPr>
          <w:p w14:paraId="5A4DC5CA" w14:textId="77777777" w:rsidR="00622BB2" w:rsidRPr="007659E6" w:rsidRDefault="00622BB2" w:rsidP="00622BB2">
            <w:pPr>
              <w:spacing w:before="120" w:after="0" w:line="240" w:lineRule="auto"/>
              <w:rPr>
                <w:rFonts w:eastAsia="Times New Roman" w:cstheme="minorHAnsi"/>
                <w:sz w:val="18"/>
                <w:szCs w:val="18"/>
                <w:lang w:eastAsia="hr-HR"/>
              </w:rPr>
            </w:pPr>
            <w:r w:rsidRPr="007659E6">
              <w:rPr>
                <w:rFonts w:eastAsia="Times New Roman" w:cstheme="minorHAnsi"/>
                <w:sz w:val="18"/>
                <w:szCs w:val="18"/>
                <w:lang w:eastAsia="hr-HR"/>
              </w:rPr>
              <w:t xml:space="preserve">Usluge vještačenja </w:t>
            </w:r>
          </w:p>
        </w:tc>
        <w:tc>
          <w:tcPr>
            <w:tcW w:w="1339" w:type="dxa"/>
            <w:shd w:val="clear" w:color="auto" w:fill="auto"/>
            <w:noWrap/>
            <w:vAlign w:val="bottom"/>
            <w:hideMark/>
          </w:tcPr>
          <w:p w14:paraId="74A9BC35" w14:textId="3F55D5F8"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35.252</w:t>
            </w:r>
          </w:p>
        </w:tc>
        <w:tc>
          <w:tcPr>
            <w:tcW w:w="1170" w:type="dxa"/>
            <w:shd w:val="clear" w:color="auto" w:fill="auto"/>
            <w:noWrap/>
            <w:vAlign w:val="bottom"/>
            <w:hideMark/>
          </w:tcPr>
          <w:p w14:paraId="2EA637B0" w14:textId="6BA3FFCE"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30.252</w:t>
            </w:r>
          </w:p>
        </w:tc>
        <w:tc>
          <w:tcPr>
            <w:tcW w:w="1482" w:type="dxa"/>
            <w:shd w:val="clear" w:color="auto" w:fill="auto"/>
            <w:noWrap/>
            <w:vAlign w:val="bottom"/>
            <w:hideMark/>
          </w:tcPr>
          <w:p w14:paraId="39B32D49" w14:textId="53865DBE"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30.252</w:t>
            </w:r>
          </w:p>
        </w:tc>
        <w:tc>
          <w:tcPr>
            <w:tcW w:w="737" w:type="dxa"/>
            <w:shd w:val="clear" w:color="auto" w:fill="auto"/>
            <w:noWrap/>
            <w:vAlign w:val="bottom"/>
            <w:hideMark/>
          </w:tcPr>
          <w:p w14:paraId="29DD14E6" w14:textId="47F482E5"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86%</w:t>
            </w:r>
          </w:p>
        </w:tc>
        <w:tc>
          <w:tcPr>
            <w:tcW w:w="737" w:type="dxa"/>
            <w:shd w:val="clear" w:color="auto" w:fill="auto"/>
            <w:noWrap/>
            <w:vAlign w:val="bottom"/>
            <w:hideMark/>
          </w:tcPr>
          <w:p w14:paraId="21778B0E" w14:textId="7AAC6AEA" w:rsidR="00622BB2" w:rsidRPr="00622BB2" w:rsidRDefault="00622BB2" w:rsidP="00622BB2">
            <w:pPr>
              <w:spacing w:before="120" w:after="0" w:line="240" w:lineRule="auto"/>
              <w:jc w:val="center"/>
              <w:rPr>
                <w:rFonts w:eastAsia="Times New Roman" w:cstheme="minorHAnsi"/>
                <w:sz w:val="18"/>
                <w:szCs w:val="18"/>
                <w:lang w:eastAsia="hr-HR"/>
              </w:rPr>
            </w:pPr>
            <w:r w:rsidRPr="00622BB2">
              <w:rPr>
                <w:rFonts w:ascii="Calibri" w:hAnsi="Calibri" w:cs="Calibri"/>
                <w:sz w:val="18"/>
                <w:szCs w:val="18"/>
              </w:rPr>
              <w:t>100%</w:t>
            </w:r>
          </w:p>
        </w:tc>
      </w:tr>
    </w:tbl>
    <w:p w14:paraId="636A5543" w14:textId="77777777" w:rsidR="00BD455D" w:rsidRDefault="00BD455D" w:rsidP="00BD455D">
      <w:pPr>
        <w:pStyle w:val="NoSpacing"/>
        <w:spacing w:line="360" w:lineRule="auto"/>
        <w:jc w:val="both"/>
      </w:pPr>
    </w:p>
    <w:p w14:paraId="7592DAD8" w14:textId="1787811D" w:rsidR="00BD455D" w:rsidRDefault="00BD455D" w:rsidP="00F563BB">
      <w:pPr>
        <w:pStyle w:val="NoSpacing"/>
        <w:spacing w:line="360" w:lineRule="auto"/>
        <w:jc w:val="both"/>
      </w:pPr>
      <w:r>
        <w:t>Iz tablice 2</w:t>
      </w:r>
      <w:r w:rsidR="009B19CC">
        <w:t>8</w:t>
      </w:r>
      <w:r>
        <w:t xml:space="preserve">. vidljivo je da su troškovi intelektualnih usluga </w:t>
      </w:r>
      <w:r w:rsidR="009B19CC">
        <w:t>smanjeni</w:t>
      </w:r>
      <w:r>
        <w:t xml:space="preserve"> u odnosu na 202</w:t>
      </w:r>
      <w:r w:rsidR="009B19CC">
        <w:t>3</w:t>
      </w:r>
      <w:r>
        <w:t xml:space="preserve">. godinu. </w:t>
      </w:r>
      <w:r w:rsidR="009B19CC">
        <w:t xml:space="preserve">Za 18%. </w:t>
      </w:r>
      <w:r>
        <w:t>Realizirani su u iznosu od 1</w:t>
      </w:r>
      <w:r w:rsidR="009B19CC">
        <w:t>60.711</w:t>
      </w:r>
      <w:r>
        <w:t xml:space="preserve"> eura što je za </w:t>
      </w:r>
      <w:r w:rsidR="009B19CC">
        <w:t>1</w:t>
      </w:r>
      <w:r>
        <w:t xml:space="preserve">% više u odnosu na rebalans plana. </w:t>
      </w:r>
    </w:p>
    <w:p w14:paraId="7E7E4B9C" w14:textId="0D31CDBE" w:rsidR="009B19CC" w:rsidRPr="00F563BB" w:rsidRDefault="00F563BB" w:rsidP="00F563BB">
      <w:pPr>
        <w:spacing w:line="360" w:lineRule="auto"/>
        <w:jc w:val="both"/>
        <w:rPr>
          <w:color w:val="EE0000"/>
        </w:rPr>
      </w:pPr>
      <w:r w:rsidRPr="00F563BB">
        <w:t>Jedino povećanje u odnosu na plan odnosi se na savjetničke usluge, a rezultat je angažmana za savjetovanja vezana uz modernizaciju postrojenja te uređenje skladišnog prostora za gorivo iz otpada.</w:t>
      </w:r>
      <w:r w:rsidR="008E4817" w:rsidRPr="00F563BB">
        <w:rPr>
          <w:color w:val="EE0000"/>
        </w:rPr>
        <w:br w:type="page"/>
      </w:r>
    </w:p>
    <w:p w14:paraId="19ED02D1" w14:textId="6F57086B" w:rsidR="0097251D" w:rsidRPr="0097251D" w:rsidRDefault="0097251D" w:rsidP="00840E6B">
      <w:pPr>
        <w:pStyle w:val="Caption"/>
        <w:spacing w:before="360" w:after="240" w:line="360" w:lineRule="auto"/>
        <w:jc w:val="both"/>
        <w:rPr>
          <w:rFonts w:asciiTheme="minorHAnsi" w:hAnsiTheme="minorHAnsi" w:cstheme="minorHAnsi"/>
          <w:b w:val="0"/>
          <w:bCs w:val="0"/>
          <w:sz w:val="22"/>
          <w:szCs w:val="22"/>
        </w:rPr>
      </w:pPr>
      <w:bookmarkStart w:id="69" w:name="_Toc200366467"/>
      <w:r w:rsidRPr="00840E6B">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29</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komunalnih i sličnih usluga</w:t>
      </w:r>
      <w:bookmarkEnd w:id="69"/>
    </w:p>
    <w:tbl>
      <w:tblPr>
        <w:tblW w:w="9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6"/>
        <w:gridCol w:w="2845"/>
        <w:gridCol w:w="1321"/>
        <w:gridCol w:w="1155"/>
        <w:gridCol w:w="1463"/>
        <w:gridCol w:w="833"/>
        <w:gridCol w:w="727"/>
      </w:tblGrid>
      <w:tr w:rsidR="008E4817" w:rsidRPr="0097251D" w14:paraId="6241A451" w14:textId="77777777" w:rsidTr="008E4817">
        <w:trPr>
          <w:trHeight w:val="637"/>
        </w:trPr>
        <w:tc>
          <w:tcPr>
            <w:tcW w:w="816" w:type="dxa"/>
            <w:tcBorders>
              <w:top w:val="single" w:sz="4" w:space="0" w:color="auto"/>
              <w:bottom w:val="single" w:sz="4" w:space="0" w:color="auto"/>
            </w:tcBorders>
            <w:shd w:val="clear" w:color="auto" w:fill="auto"/>
            <w:noWrap/>
            <w:vAlign w:val="center"/>
            <w:hideMark/>
          </w:tcPr>
          <w:p w14:paraId="3491C7B8" w14:textId="5EF8F746" w:rsidR="008E4817" w:rsidRPr="0097251D" w:rsidRDefault="008E4817" w:rsidP="008E4817">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2845" w:type="dxa"/>
            <w:tcBorders>
              <w:top w:val="single" w:sz="4" w:space="0" w:color="auto"/>
              <w:bottom w:val="single" w:sz="4" w:space="0" w:color="auto"/>
            </w:tcBorders>
            <w:shd w:val="clear" w:color="auto" w:fill="auto"/>
            <w:noWrap/>
            <w:vAlign w:val="center"/>
            <w:hideMark/>
          </w:tcPr>
          <w:p w14:paraId="57A7B5BC" w14:textId="175B58AC" w:rsidR="008E4817" w:rsidRPr="0097251D" w:rsidRDefault="008E4817" w:rsidP="008E4817">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21" w:type="dxa"/>
            <w:tcBorders>
              <w:top w:val="single" w:sz="4" w:space="0" w:color="auto"/>
              <w:bottom w:val="single" w:sz="4" w:space="0" w:color="auto"/>
            </w:tcBorders>
            <w:shd w:val="clear" w:color="auto" w:fill="auto"/>
            <w:noWrap/>
            <w:vAlign w:val="center"/>
            <w:hideMark/>
          </w:tcPr>
          <w:p w14:paraId="57F3C99B" w14:textId="50D983C4" w:rsidR="008E4817" w:rsidRPr="0097251D" w:rsidRDefault="008E4817" w:rsidP="008E4817">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55" w:type="dxa"/>
            <w:tcBorders>
              <w:top w:val="single" w:sz="4" w:space="0" w:color="auto"/>
              <w:bottom w:val="single" w:sz="4" w:space="0" w:color="auto"/>
            </w:tcBorders>
            <w:shd w:val="clear" w:color="auto" w:fill="auto"/>
            <w:noWrap/>
            <w:vAlign w:val="center"/>
            <w:hideMark/>
          </w:tcPr>
          <w:p w14:paraId="3E8A371F" w14:textId="0BFB006E" w:rsidR="008E4817" w:rsidRPr="0097251D" w:rsidRDefault="008E4817" w:rsidP="008E4817">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63" w:type="dxa"/>
            <w:tcBorders>
              <w:top w:val="single" w:sz="4" w:space="0" w:color="auto"/>
              <w:bottom w:val="single" w:sz="4" w:space="0" w:color="auto"/>
            </w:tcBorders>
            <w:shd w:val="clear" w:color="auto" w:fill="auto"/>
            <w:noWrap/>
            <w:vAlign w:val="center"/>
            <w:hideMark/>
          </w:tcPr>
          <w:p w14:paraId="577164BF" w14:textId="009C6F2D" w:rsidR="008E4817" w:rsidRPr="0097251D" w:rsidRDefault="008E4817" w:rsidP="008E4817">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833" w:type="dxa"/>
            <w:tcBorders>
              <w:top w:val="single" w:sz="4" w:space="0" w:color="auto"/>
              <w:bottom w:val="single" w:sz="4" w:space="0" w:color="auto"/>
            </w:tcBorders>
            <w:shd w:val="clear" w:color="auto" w:fill="auto"/>
            <w:noWrap/>
            <w:vAlign w:val="center"/>
            <w:hideMark/>
          </w:tcPr>
          <w:p w14:paraId="3432CDFA" w14:textId="281FD9D4" w:rsidR="008E4817" w:rsidRPr="0097251D" w:rsidRDefault="008E4817" w:rsidP="008E4817">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27" w:type="dxa"/>
            <w:tcBorders>
              <w:top w:val="single" w:sz="4" w:space="0" w:color="auto"/>
              <w:bottom w:val="single" w:sz="4" w:space="0" w:color="auto"/>
            </w:tcBorders>
            <w:shd w:val="clear" w:color="auto" w:fill="auto"/>
            <w:noWrap/>
            <w:vAlign w:val="center"/>
            <w:hideMark/>
          </w:tcPr>
          <w:p w14:paraId="1C14BA74" w14:textId="02A925C8" w:rsidR="008E4817" w:rsidRPr="0097251D" w:rsidRDefault="008E4817" w:rsidP="008E4817">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97251D" w:rsidRPr="0097251D" w14:paraId="3109EC44" w14:textId="77777777" w:rsidTr="008E4817">
        <w:trPr>
          <w:trHeight w:val="173"/>
        </w:trPr>
        <w:tc>
          <w:tcPr>
            <w:tcW w:w="816" w:type="dxa"/>
            <w:tcBorders>
              <w:top w:val="single" w:sz="4" w:space="0" w:color="auto"/>
              <w:bottom w:val="single" w:sz="4" w:space="0" w:color="auto"/>
            </w:tcBorders>
            <w:shd w:val="clear" w:color="auto" w:fill="auto"/>
            <w:noWrap/>
            <w:vAlign w:val="center"/>
          </w:tcPr>
          <w:p w14:paraId="34DA89EB" w14:textId="27439028" w:rsidR="0097251D" w:rsidRPr="00EB5BBB" w:rsidRDefault="0097251D" w:rsidP="0097251D">
            <w:pPr>
              <w:spacing w:after="0" w:line="240" w:lineRule="auto"/>
              <w:jc w:val="center"/>
              <w:rPr>
                <w:rFonts w:eastAsia="Times New Roman" w:cstheme="minorHAnsi"/>
                <w:b/>
                <w:bCs/>
                <w:sz w:val="14"/>
                <w:szCs w:val="14"/>
                <w:lang w:eastAsia="hr-HR"/>
              </w:rPr>
            </w:pPr>
            <w:r w:rsidRPr="00EB5BBB">
              <w:rPr>
                <w:color w:val="D9D9D9" w:themeColor="background1" w:themeShade="D9"/>
                <w:sz w:val="14"/>
                <w:szCs w:val="14"/>
                <w:lang w:eastAsia="hr-HR"/>
              </w:rPr>
              <w:t>1</w:t>
            </w:r>
          </w:p>
        </w:tc>
        <w:tc>
          <w:tcPr>
            <w:tcW w:w="2845" w:type="dxa"/>
            <w:tcBorders>
              <w:top w:val="single" w:sz="4" w:space="0" w:color="auto"/>
              <w:bottom w:val="single" w:sz="4" w:space="0" w:color="auto"/>
            </w:tcBorders>
            <w:shd w:val="clear" w:color="auto" w:fill="auto"/>
            <w:noWrap/>
            <w:vAlign w:val="center"/>
          </w:tcPr>
          <w:p w14:paraId="3EE9CDE5" w14:textId="65FE1D47" w:rsidR="0097251D" w:rsidRPr="00EB5BBB" w:rsidRDefault="0097251D" w:rsidP="0097251D">
            <w:pPr>
              <w:spacing w:after="0" w:line="240" w:lineRule="auto"/>
              <w:jc w:val="center"/>
              <w:rPr>
                <w:rFonts w:eastAsia="Times New Roman" w:cstheme="minorHAnsi"/>
                <w:b/>
                <w:bCs/>
                <w:sz w:val="14"/>
                <w:szCs w:val="14"/>
                <w:lang w:eastAsia="hr-HR"/>
              </w:rPr>
            </w:pPr>
            <w:r w:rsidRPr="00EB5BBB">
              <w:rPr>
                <w:color w:val="D9D9D9" w:themeColor="background1" w:themeShade="D9"/>
                <w:sz w:val="14"/>
                <w:szCs w:val="14"/>
                <w:lang w:eastAsia="hr-HR"/>
              </w:rPr>
              <w:t>2</w:t>
            </w:r>
          </w:p>
        </w:tc>
        <w:tc>
          <w:tcPr>
            <w:tcW w:w="1321" w:type="dxa"/>
            <w:tcBorders>
              <w:top w:val="single" w:sz="4" w:space="0" w:color="auto"/>
              <w:bottom w:val="single" w:sz="4" w:space="0" w:color="auto"/>
            </w:tcBorders>
            <w:shd w:val="clear" w:color="auto" w:fill="auto"/>
            <w:noWrap/>
            <w:vAlign w:val="center"/>
          </w:tcPr>
          <w:p w14:paraId="2A8C95A5" w14:textId="60B62952" w:rsidR="0097251D" w:rsidRPr="00EB5BBB" w:rsidRDefault="0097251D" w:rsidP="0097251D">
            <w:pPr>
              <w:spacing w:after="0" w:line="240" w:lineRule="auto"/>
              <w:jc w:val="center"/>
              <w:rPr>
                <w:rFonts w:ascii="Calibri" w:eastAsia="Times New Roman" w:hAnsi="Calibri" w:cs="Calibri"/>
                <w:b/>
                <w:bCs/>
                <w:sz w:val="14"/>
                <w:szCs w:val="14"/>
                <w:lang w:eastAsia="hr-HR"/>
              </w:rPr>
            </w:pPr>
            <w:r w:rsidRPr="00EB5BBB">
              <w:rPr>
                <w:color w:val="D9D9D9" w:themeColor="background1" w:themeShade="D9"/>
                <w:sz w:val="14"/>
                <w:szCs w:val="14"/>
                <w:lang w:eastAsia="hr-HR"/>
              </w:rPr>
              <w:t>3</w:t>
            </w:r>
          </w:p>
        </w:tc>
        <w:tc>
          <w:tcPr>
            <w:tcW w:w="1155" w:type="dxa"/>
            <w:tcBorders>
              <w:top w:val="single" w:sz="4" w:space="0" w:color="auto"/>
              <w:bottom w:val="single" w:sz="4" w:space="0" w:color="auto"/>
            </w:tcBorders>
            <w:shd w:val="clear" w:color="auto" w:fill="auto"/>
            <w:noWrap/>
            <w:vAlign w:val="center"/>
          </w:tcPr>
          <w:p w14:paraId="6E55B168" w14:textId="475C2AA5" w:rsidR="0097251D" w:rsidRPr="00EB5BBB" w:rsidRDefault="0097251D" w:rsidP="0097251D">
            <w:pPr>
              <w:spacing w:after="0" w:line="240" w:lineRule="auto"/>
              <w:jc w:val="center"/>
              <w:rPr>
                <w:rFonts w:eastAsia="Times New Roman" w:cstheme="minorHAnsi"/>
                <w:b/>
                <w:bCs/>
                <w:sz w:val="14"/>
                <w:szCs w:val="14"/>
                <w:lang w:eastAsia="hr-HR"/>
              </w:rPr>
            </w:pPr>
            <w:r w:rsidRPr="00EB5BBB">
              <w:rPr>
                <w:color w:val="D9D9D9" w:themeColor="background1" w:themeShade="D9"/>
                <w:sz w:val="14"/>
                <w:szCs w:val="14"/>
                <w:lang w:eastAsia="hr-HR"/>
              </w:rPr>
              <w:t>4</w:t>
            </w:r>
          </w:p>
        </w:tc>
        <w:tc>
          <w:tcPr>
            <w:tcW w:w="1463" w:type="dxa"/>
            <w:tcBorders>
              <w:top w:val="single" w:sz="4" w:space="0" w:color="auto"/>
              <w:bottom w:val="single" w:sz="4" w:space="0" w:color="auto"/>
            </w:tcBorders>
            <w:shd w:val="clear" w:color="auto" w:fill="auto"/>
            <w:noWrap/>
            <w:vAlign w:val="center"/>
          </w:tcPr>
          <w:p w14:paraId="6883D425" w14:textId="35DCDF72" w:rsidR="0097251D" w:rsidRPr="00EB5BBB" w:rsidRDefault="0097251D" w:rsidP="0097251D">
            <w:pPr>
              <w:spacing w:after="0" w:line="240" w:lineRule="auto"/>
              <w:jc w:val="center"/>
              <w:rPr>
                <w:rFonts w:ascii="Calibri" w:eastAsia="Times New Roman" w:hAnsi="Calibri" w:cs="Calibri"/>
                <w:b/>
                <w:bCs/>
                <w:sz w:val="14"/>
                <w:szCs w:val="14"/>
                <w:lang w:eastAsia="hr-HR"/>
              </w:rPr>
            </w:pPr>
            <w:r w:rsidRPr="00EB5BBB">
              <w:rPr>
                <w:color w:val="D9D9D9" w:themeColor="background1" w:themeShade="D9"/>
                <w:sz w:val="14"/>
                <w:szCs w:val="14"/>
                <w:lang w:eastAsia="hr-HR"/>
              </w:rPr>
              <w:t>5</w:t>
            </w:r>
          </w:p>
        </w:tc>
        <w:tc>
          <w:tcPr>
            <w:tcW w:w="833" w:type="dxa"/>
            <w:tcBorders>
              <w:top w:val="single" w:sz="4" w:space="0" w:color="auto"/>
              <w:bottom w:val="single" w:sz="4" w:space="0" w:color="auto"/>
            </w:tcBorders>
            <w:shd w:val="clear" w:color="auto" w:fill="auto"/>
            <w:noWrap/>
            <w:vAlign w:val="center"/>
          </w:tcPr>
          <w:p w14:paraId="246E88E7" w14:textId="7574FAA4" w:rsidR="0097251D" w:rsidRPr="00EB5BBB" w:rsidRDefault="0097251D" w:rsidP="0097251D">
            <w:pPr>
              <w:spacing w:after="0" w:line="240" w:lineRule="auto"/>
              <w:jc w:val="center"/>
              <w:rPr>
                <w:rFonts w:ascii="Calibri" w:eastAsia="Times New Roman" w:hAnsi="Calibri" w:cs="Calibri"/>
                <w:b/>
                <w:bCs/>
                <w:color w:val="000000"/>
                <w:sz w:val="14"/>
                <w:szCs w:val="14"/>
                <w:lang w:eastAsia="hr-HR"/>
              </w:rPr>
            </w:pPr>
            <w:r w:rsidRPr="00EB5BBB">
              <w:rPr>
                <w:color w:val="D9D9D9" w:themeColor="background1" w:themeShade="D9"/>
                <w:sz w:val="14"/>
                <w:szCs w:val="14"/>
                <w:lang w:eastAsia="hr-HR"/>
              </w:rPr>
              <w:t>6</w:t>
            </w:r>
          </w:p>
        </w:tc>
        <w:tc>
          <w:tcPr>
            <w:tcW w:w="727" w:type="dxa"/>
            <w:tcBorders>
              <w:top w:val="single" w:sz="4" w:space="0" w:color="auto"/>
              <w:bottom w:val="single" w:sz="4" w:space="0" w:color="auto"/>
            </w:tcBorders>
            <w:shd w:val="clear" w:color="auto" w:fill="auto"/>
            <w:noWrap/>
            <w:vAlign w:val="center"/>
          </w:tcPr>
          <w:p w14:paraId="3F86CA41" w14:textId="23C06ACD" w:rsidR="0097251D" w:rsidRPr="00EB5BBB" w:rsidRDefault="0097251D" w:rsidP="0097251D">
            <w:pPr>
              <w:spacing w:after="0" w:line="240" w:lineRule="auto"/>
              <w:jc w:val="center"/>
              <w:rPr>
                <w:rFonts w:ascii="Calibri" w:eastAsia="Times New Roman" w:hAnsi="Calibri" w:cs="Calibri"/>
                <w:b/>
                <w:bCs/>
                <w:color w:val="000000"/>
                <w:sz w:val="14"/>
                <w:szCs w:val="14"/>
                <w:lang w:eastAsia="hr-HR"/>
              </w:rPr>
            </w:pPr>
            <w:r w:rsidRPr="00EB5BBB">
              <w:rPr>
                <w:color w:val="D9D9D9" w:themeColor="background1" w:themeShade="D9"/>
                <w:sz w:val="14"/>
                <w:szCs w:val="14"/>
                <w:lang w:eastAsia="hr-HR"/>
              </w:rPr>
              <w:t>7</w:t>
            </w:r>
          </w:p>
        </w:tc>
      </w:tr>
      <w:tr w:rsidR="008E4817" w:rsidRPr="0097251D" w14:paraId="56B8FFB0" w14:textId="77777777" w:rsidTr="008E4817">
        <w:trPr>
          <w:trHeight w:val="347"/>
        </w:trPr>
        <w:tc>
          <w:tcPr>
            <w:tcW w:w="816" w:type="dxa"/>
            <w:tcBorders>
              <w:top w:val="single" w:sz="4" w:space="0" w:color="auto"/>
            </w:tcBorders>
            <w:shd w:val="clear" w:color="auto" w:fill="auto"/>
            <w:noWrap/>
            <w:vAlign w:val="bottom"/>
            <w:hideMark/>
          </w:tcPr>
          <w:p w14:paraId="0B49AFC4" w14:textId="77777777" w:rsidR="008E4817" w:rsidRPr="00EB5BBB" w:rsidRDefault="008E4817" w:rsidP="008E4817">
            <w:pPr>
              <w:spacing w:before="120" w:after="0" w:line="240" w:lineRule="auto"/>
              <w:rPr>
                <w:rFonts w:eastAsia="Times New Roman" w:cstheme="minorHAnsi"/>
                <w:b/>
                <w:bCs/>
                <w:sz w:val="18"/>
                <w:szCs w:val="18"/>
                <w:lang w:eastAsia="hr-HR"/>
              </w:rPr>
            </w:pPr>
            <w:r w:rsidRPr="00EB5BBB">
              <w:rPr>
                <w:rFonts w:eastAsia="Times New Roman" w:cstheme="minorHAnsi"/>
                <w:b/>
                <w:bCs/>
                <w:sz w:val="18"/>
                <w:szCs w:val="18"/>
                <w:lang w:eastAsia="hr-HR"/>
              </w:rPr>
              <w:t>1.2.9</w:t>
            </w:r>
          </w:p>
        </w:tc>
        <w:tc>
          <w:tcPr>
            <w:tcW w:w="2845" w:type="dxa"/>
            <w:tcBorders>
              <w:top w:val="single" w:sz="4" w:space="0" w:color="auto"/>
            </w:tcBorders>
            <w:shd w:val="clear" w:color="auto" w:fill="auto"/>
            <w:noWrap/>
            <w:vAlign w:val="bottom"/>
            <w:hideMark/>
          </w:tcPr>
          <w:p w14:paraId="24E89ABE" w14:textId="71F4E231" w:rsidR="008E4817" w:rsidRPr="00EB5BBB" w:rsidRDefault="008E4817" w:rsidP="008E4817">
            <w:pPr>
              <w:spacing w:before="120" w:after="0" w:line="240" w:lineRule="auto"/>
              <w:rPr>
                <w:rFonts w:eastAsia="Times New Roman" w:cstheme="minorHAnsi"/>
                <w:b/>
                <w:bCs/>
                <w:sz w:val="18"/>
                <w:szCs w:val="18"/>
                <w:lang w:eastAsia="hr-HR"/>
              </w:rPr>
            </w:pPr>
            <w:r w:rsidRPr="00EB5BBB">
              <w:rPr>
                <w:rFonts w:ascii="Calibri" w:hAnsi="Calibri" w:cs="Calibri"/>
                <w:b/>
                <w:bCs/>
                <w:sz w:val="18"/>
                <w:szCs w:val="18"/>
              </w:rPr>
              <w:t>Troškovi komunalnih i sličnih usluga</w:t>
            </w:r>
          </w:p>
        </w:tc>
        <w:tc>
          <w:tcPr>
            <w:tcW w:w="1321" w:type="dxa"/>
            <w:tcBorders>
              <w:top w:val="single" w:sz="4" w:space="0" w:color="auto"/>
            </w:tcBorders>
            <w:shd w:val="clear" w:color="auto" w:fill="auto"/>
            <w:noWrap/>
            <w:vAlign w:val="bottom"/>
            <w:hideMark/>
          </w:tcPr>
          <w:p w14:paraId="0A8528C5" w14:textId="3971255D" w:rsidR="008E4817" w:rsidRPr="008E4817" w:rsidRDefault="008E4817" w:rsidP="008E4817">
            <w:pPr>
              <w:spacing w:before="120" w:after="0" w:line="240" w:lineRule="auto"/>
              <w:jc w:val="center"/>
              <w:rPr>
                <w:rFonts w:eastAsia="Times New Roman" w:cstheme="minorHAnsi"/>
                <w:b/>
                <w:bCs/>
                <w:sz w:val="18"/>
                <w:szCs w:val="18"/>
                <w:lang w:eastAsia="hr-HR"/>
              </w:rPr>
            </w:pPr>
            <w:r w:rsidRPr="008E4817">
              <w:rPr>
                <w:rFonts w:cstheme="minorHAnsi"/>
                <w:b/>
                <w:bCs/>
                <w:sz w:val="18"/>
                <w:szCs w:val="18"/>
              </w:rPr>
              <w:t>1.931.712</w:t>
            </w:r>
          </w:p>
        </w:tc>
        <w:tc>
          <w:tcPr>
            <w:tcW w:w="1155" w:type="dxa"/>
            <w:tcBorders>
              <w:top w:val="single" w:sz="4" w:space="0" w:color="auto"/>
            </w:tcBorders>
            <w:shd w:val="clear" w:color="auto" w:fill="auto"/>
            <w:noWrap/>
            <w:vAlign w:val="bottom"/>
            <w:hideMark/>
          </w:tcPr>
          <w:p w14:paraId="3179B475" w14:textId="284D7B49" w:rsidR="008E4817" w:rsidRPr="008E4817" w:rsidRDefault="008E4817" w:rsidP="008E4817">
            <w:pPr>
              <w:spacing w:before="120" w:after="0" w:line="240" w:lineRule="auto"/>
              <w:jc w:val="center"/>
              <w:rPr>
                <w:rFonts w:eastAsia="Times New Roman" w:cstheme="minorHAnsi"/>
                <w:b/>
                <w:bCs/>
                <w:sz w:val="18"/>
                <w:szCs w:val="18"/>
                <w:lang w:eastAsia="hr-HR"/>
              </w:rPr>
            </w:pPr>
            <w:r w:rsidRPr="008E4817">
              <w:rPr>
                <w:rFonts w:cstheme="minorHAnsi"/>
                <w:b/>
                <w:bCs/>
                <w:sz w:val="18"/>
                <w:szCs w:val="18"/>
              </w:rPr>
              <w:t>1.619.828</w:t>
            </w:r>
          </w:p>
        </w:tc>
        <w:tc>
          <w:tcPr>
            <w:tcW w:w="1463" w:type="dxa"/>
            <w:tcBorders>
              <w:top w:val="single" w:sz="4" w:space="0" w:color="auto"/>
            </w:tcBorders>
            <w:shd w:val="clear" w:color="auto" w:fill="auto"/>
            <w:noWrap/>
            <w:vAlign w:val="bottom"/>
            <w:hideMark/>
          </w:tcPr>
          <w:p w14:paraId="250CAA66" w14:textId="1562F27F" w:rsidR="008E4817" w:rsidRPr="008E4817" w:rsidRDefault="008E4817" w:rsidP="008E4817">
            <w:pPr>
              <w:spacing w:before="120" w:after="0" w:line="240" w:lineRule="auto"/>
              <w:jc w:val="center"/>
              <w:rPr>
                <w:rFonts w:eastAsia="Times New Roman" w:cstheme="minorHAnsi"/>
                <w:b/>
                <w:bCs/>
                <w:sz w:val="18"/>
                <w:szCs w:val="18"/>
                <w:lang w:eastAsia="hr-HR"/>
              </w:rPr>
            </w:pPr>
            <w:r w:rsidRPr="008E4817">
              <w:rPr>
                <w:rFonts w:cstheme="minorHAnsi"/>
                <w:b/>
                <w:bCs/>
                <w:sz w:val="18"/>
                <w:szCs w:val="18"/>
              </w:rPr>
              <w:t>1.622.162</w:t>
            </w:r>
          </w:p>
        </w:tc>
        <w:tc>
          <w:tcPr>
            <w:tcW w:w="833" w:type="dxa"/>
            <w:tcBorders>
              <w:top w:val="single" w:sz="4" w:space="0" w:color="auto"/>
            </w:tcBorders>
            <w:shd w:val="clear" w:color="auto" w:fill="auto"/>
            <w:noWrap/>
            <w:vAlign w:val="bottom"/>
            <w:hideMark/>
          </w:tcPr>
          <w:p w14:paraId="71F1BFE0" w14:textId="14032477" w:rsidR="008E4817" w:rsidRPr="008E4817" w:rsidRDefault="008E4817" w:rsidP="008E4817">
            <w:pPr>
              <w:spacing w:before="120" w:after="0" w:line="240" w:lineRule="auto"/>
              <w:jc w:val="center"/>
              <w:rPr>
                <w:rFonts w:eastAsia="Times New Roman" w:cstheme="minorHAnsi"/>
                <w:b/>
                <w:bCs/>
                <w:sz w:val="18"/>
                <w:szCs w:val="18"/>
                <w:lang w:eastAsia="hr-HR"/>
              </w:rPr>
            </w:pPr>
            <w:r w:rsidRPr="008E4817">
              <w:rPr>
                <w:rFonts w:cstheme="minorHAnsi"/>
                <w:b/>
                <w:bCs/>
                <w:sz w:val="18"/>
                <w:szCs w:val="18"/>
              </w:rPr>
              <w:t>84%</w:t>
            </w:r>
          </w:p>
        </w:tc>
        <w:tc>
          <w:tcPr>
            <w:tcW w:w="727" w:type="dxa"/>
            <w:tcBorders>
              <w:top w:val="single" w:sz="4" w:space="0" w:color="auto"/>
            </w:tcBorders>
            <w:shd w:val="clear" w:color="auto" w:fill="auto"/>
            <w:noWrap/>
            <w:vAlign w:val="bottom"/>
            <w:hideMark/>
          </w:tcPr>
          <w:p w14:paraId="625AF6C0" w14:textId="61C55A10" w:rsidR="008E4817" w:rsidRPr="008E4817" w:rsidRDefault="008E4817" w:rsidP="008E4817">
            <w:pPr>
              <w:spacing w:before="120" w:after="0" w:line="240" w:lineRule="auto"/>
              <w:jc w:val="center"/>
              <w:rPr>
                <w:rFonts w:eastAsia="Times New Roman" w:cstheme="minorHAnsi"/>
                <w:b/>
                <w:bCs/>
                <w:sz w:val="18"/>
                <w:szCs w:val="18"/>
                <w:lang w:eastAsia="hr-HR"/>
              </w:rPr>
            </w:pPr>
            <w:r w:rsidRPr="008E4817">
              <w:rPr>
                <w:rFonts w:cstheme="minorHAnsi"/>
                <w:b/>
                <w:bCs/>
                <w:sz w:val="18"/>
                <w:szCs w:val="18"/>
              </w:rPr>
              <w:t>100%</w:t>
            </w:r>
          </w:p>
        </w:tc>
      </w:tr>
      <w:tr w:rsidR="008E4817" w:rsidRPr="0097251D" w14:paraId="6972C73C" w14:textId="77777777" w:rsidTr="008E4817">
        <w:trPr>
          <w:trHeight w:val="347"/>
        </w:trPr>
        <w:tc>
          <w:tcPr>
            <w:tcW w:w="816" w:type="dxa"/>
            <w:shd w:val="clear" w:color="auto" w:fill="auto"/>
            <w:noWrap/>
            <w:vAlign w:val="bottom"/>
            <w:hideMark/>
          </w:tcPr>
          <w:p w14:paraId="1235D7E9"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1.2.9.1</w:t>
            </w:r>
          </w:p>
        </w:tc>
        <w:tc>
          <w:tcPr>
            <w:tcW w:w="2845" w:type="dxa"/>
            <w:shd w:val="clear" w:color="auto" w:fill="auto"/>
            <w:noWrap/>
            <w:vAlign w:val="bottom"/>
            <w:hideMark/>
          </w:tcPr>
          <w:p w14:paraId="36A8B85F" w14:textId="704F82E9" w:rsidR="008E4817" w:rsidRPr="00822C58" w:rsidRDefault="008E4817" w:rsidP="008E4817">
            <w:pPr>
              <w:spacing w:before="120" w:after="0" w:line="240" w:lineRule="auto"/>
              <w:rPr>
                <w:rFonts w:eastAsia="Times New Roman" w:cstheme="minorHAnsi"/>
                <w:sz w:val="18"/>
                <w:szCs w:val="18"/>
                <w:lang w:eastAsia="hr-HR"/>
              </w:rPr>
            </w:pPr>
            <w:r w:rsidRPr="00822C58">
              <w:rPr>
                <w:rFonts w:ascii="Calibri" w:hAnsi="Calibri" w:cs="Calibri"/>
                <w:sz w:val="18"/>
                <w:szCs w:val="18"/>
              </w:rPr>
              <w:t>Vodna naknada - zaštita voda</w:t>
            </w:r>
          </w:p>
        </w:tc>
        <w:tc>
          <w:tcPr>
            <w:tcW w:w="1321" w:type="dxa"/>
            <w:shd w:val="clear" w:color="auto" w:fill="auto"/>
            <w:noWrap/>
            <w:vAlign w:val="bottom"/>
            <w:hideMark/>
          </w:tcPr>
          <w:p w14:paraId="01B5ED3B" w14:textId="518ED868"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560</w:t>
            </w:r>
          </w:p>
        </w:tc>
        <w:tc>
          <w:tcPr>
            <w:tcW w:w="1155" w:type="dxa"/>
            <w:shd w:val="clear" w:color="auto" w:fill="auto"/>
            <w:noWrap/>
            <w:vAlign w:val="bottom"/>
            <w:hideMark/>
          </w:tcPr>
          <w:p w14:paraId="3B5AA64F" w14:textId="55027FE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288</w:t>
            </w:r>
          </w:p>
        </w:tc>
        <w:tc>
          <w:tcPr>
            <w:tcW w:w="1463" w:type="dxa"/>
            <w:shd w:val="clear" w:color="auto" w:fill="auto"/>
            <w:noWrap/>
            <w:vAlign w:val="bottom"/>
            <w:hideMark/>
          </w:tcPr>
          <w:p w14:paraId="1FAAEF2F" w14:textId="3DB0D367"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288</w:t>
            </w:r>
          </w:p>
        </w:tc>
        <w:tc>
          <w:tcPr>
            <w:tcW w:w="833" w:type="dxa"/>
            <w:shd w:val="clear" w:color="auto" w:fill="auto"/>
            <w:noWrap/>
            <w:vAlign w:val="bottom"/>
            <w:hideMark/>
          </w:tcPr>
          <w:p w14:paraId="7BA69751" w14:textId="0DE73BA3"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51%</w:t>
            </w:r>
          </w:p>
        </w:tc>
        <w:tc>
          <w:tcPr>
            <w:tcW w:w="727" w:type="dxa"/>
            <w:shd w:val="clear" w:color="auto" w:fill="auto"/>
            <w:noWrap/>
            <w:vAlign w:val="bottom"/>
            <w:hideMark/>
          </w:tcPr>
          <w:p w14:paraId="4107F5F0" w14:textId="21F03A6C"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r>
      <w:tr w:rsidR="008E4817" w:rsidRPr="0097251D" w14:paraId="120AC2D9" w14:textId="77777777" w:rsidTr="008E4817">
        <w:trPr>
          <w:trHeight w:val="347"/>
        </w:trPr>
        <w:tc>
          <w:tcPr>
            <w:tcW w:w="816" w:type="dxa"/>
            <w:shd w:val="clear" w:color="auto" w:fill="auto"/>
            <w:noWrap/>
            <w:vAlign w:val="bottom"/>
            <w:hideMark/>
          </w:tcPr>
          <w:p w14:paraId="73523AD6"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1.2.9.2</w:t>
            </w:r>
          </w:p>
        </w:tc>
        <w:tc>
          <w:tcPr>
            <w:tcW w:w="2845" w:type="dxa"/>
            <w:shd w:val="clear" w:color="auto" w:fill="auto"/>
            <w:noWrap/>
            <w:vAlign w:val="bottom"/>
            <w:hideMark/>
          </w:tcPr>
          <w:p w14:paraId="34A80F1E" w14:textId="743792ED" w:rsidR="008E4817" w:rsidRPr="00822C58" w:rsidRDefault="008E4817" w:rsidP="008E4817">
            <w:pPr>
              <w:spacing w:before="120" w:after="0" w:line="240" w:lineRule="auto"/>
              <w:rPr>
                <w:rFonts w:eastAsia="Times New Roman" w:cstheme="minorHAnsi"/>
                <w:sz w:val="18"/>
                <w:szCs w:val="18"/>
                <w:lang w:eastAsia="hr-HR"/>
              </w:rPr>
            </w:pPr>
            <w:r w:rsidRPr="00822C58">
              <w:rPr>
                <w:rFonts w:ascii="Calibri" w:hAnsi="Calibri" w:cs="Calibri"/>
                <w:sz w:val="18"/>
                <w:szCs w:val="18"/>
              </w:rPr>
              <w:t>Komunalna naknada</w:t>
            </w:r>
          </w:p>
        </w:tc>
        <w:tc>
          <w:tcPr>
            <w:tcW w:w="1321" w:type="dxa"/>
            <w:shd w:val="clear" w:color="auto" w:fill="auto"/>
            <w:noWrap/>
            <w:vAlign w:val="bottom"/>
            <w:hideMark/>
          </w:tcPr>
          <w:p w14:paraId="2E58B09D" w14:textId="06062BC2"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811.330</w:t>
            </w:r>
          </w:p>
        </w:tc>
        <w:tc>
          <w:tcPr>
            <w:tcW w:w="1155" w:type="dxa"/>
            <w:shd w:val="clear" w:color="auto" w:fill="auto"/>
            <w:noWrap/>
            <w:vAlign w:val="bottom"/>
            <w:hideMark/>
          </w:tcPr>
          <w:p w14:paraId="1B7C5227" w14:textId="084A0C4D"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811.330</w:t>
            </w:r>
          </w:p>
        </w:tc>
        <w:tc>
          <w:tcPr>
            <w:tcW w:w="1463" w:type="dxa"/>
            <w:shd w:val="clear" w:color="auto" w:fill="auto"/>
            <w:noWrap/>
            <w:vAlign w:val="bottom"/>
            <w:hideMark/>
          </w:tcPr>
          <w:p w14:paraId="0B6850DA" w14:textId="2E6991E6"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811.330</w:t>
            </w:r>
          </w:p>
        </w:tc>
        <w:tc>
          <w:tcPr>
            <w:tcW w:w="833" w:type="dxa"/>
            <w:shd w:val="clear" w:color="auto" w:fill="auto"/>
            <w:noWrap/>
            <w:vAlign w:val="bottom"/>
            <w:hideMark/>
          </w:tcPr>
          <w:p w14:paraId="3BF274E4" w14:textId="0CE12CCE"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c>
          <w:tcPr>
            <w:tcW w:w="727" w:type="dxa"/>
            <w:shd w:val="clear" w:color="auto" w:fill="auto"/>
            <w:noWrap/>
            <w:vAlign w:val="bottom"/>
            <w:hideMark/>
          </w:tcPr>
          <w:p w14:paraId="5F7B236C" w14:textId="1F33EC7F"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r>
      <w:tr w:rsidR="008E4817" w:rsidRPr="0097251D" w14:paraId="602C38C8" w14:textId="77777777" w:rsidTr="008E4817">
        <w:trPr>
          <w:trHeight w:val="347"/>
        </w:trPr>
        <w:tc>
          <w:tcPr>
            <w:tcW w:w="816" w:type="dxa"/>
            <w:shd w:val="clear" w:color="auto" w:fill="auto"/>
            <w:noWrap/>
            <w:vAlign w:val="bottom"/>
            <w:hideMark/>
          </w:tcPr>
          <w:p w14:paraId="41E1C5CA"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1.2.9.3</w:t>
            </w:r>
          </w:p>
        </w:tc>
        <w:tc>
          <w:tcPr>
            <w:tcW w:w="2845" w:type="dxa"/>
            <w:shd w:val="clear" w:color="auto" w:fill="auto"/>
            <w:noWrap/>
            <w:vAlign w:val="bottom"/>
            <w:hideMark/>
          </w:tcPr>
          <w:p w14:paraId="0D6DB0C0" w14:textId="54A7D28A"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Odvoz smeća i fekalija</w:t>
            </w:r>
          </w:p>
        </w:tc>
        <w:tc>
          <w:tcPr>
            <w:tcW w:w="1321" w:type="dxa"/>
            <w:shd w:val="clear" w:color="auto" w:fill="auto"/>
            <w:noWrap/>
            <w:vAlign w:val="bottom"/>
            <w:hideMark/>
          </w:tcPr>
          <w:p w14:paraId="44226B79" w14:textId="16EBB700"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246</w:t>
            </w:r>
          </w:p>
        </w:tc>
        <w:tc>
          <w:tcPr>
            <w:tcW w:w="1155" w:type="dxa"/>
            <w:shd w:val="clear" w:color="auto" w:fill="auto"/>
            <w:noWrap/>
            <w:vAlign w:val="bottom"/>
            <w:hideMark/>
          </w:tcPr>
          <w:p w14:paraId="7781E3DC" w14:textId="604AC6AE"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246</w:t>
            </w:r>
          </w:p>
        </w:tc>
        <w:tc>
          <w:tcPr>
            <w:tcW w:w="1463" w:type="dxa"/>
            <w:shd w:val="clear" w:color="auto" w:fill="auto"/>
            <w:noWrap/>
            <w:vAlign w:val="bottom"/>
            <w:hideMark/>
          </w:tcPr>
          <w:p w14:paraId="4D0F6622" w14:textId="49BFC253"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246</w:t>
            </w:r>
          </w:p>
        </w:tc>
        <w:tc>
          <w:tcPr>
            <w:tcW w:w="833" w:type="dxa"/>
            <w:shd w:val="clear" w:color="auto" w:fill="auto"/>
            <w:noWrap/>
            <w:vAlign w:val="bottom"/>
            <w:hideMark/>
          </w:tcPr>
          <w:p w14:paraId="62CDFFE4" w14:textId="6AE8059E"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c>
          <w:tcPr>
            <w:tcW w:w="727" w:type="dxa"/>
            <w:shd w:val="clear" w:color="auto" w:fill="auto"/>
            <w:noWrap/>
            <w:vAlign w:val="bottom"/>
            <w:hideMark/>
          </w:tcPr>
          <w:p w14:paraId="13DEA9FE" w14:textId="5D38CBC3"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r>
      <w:tr w:rsidR="008E4817" w:rsidRPr="0097251D" w14:paraId="749A7DE9" w14:textId="77777777" w:rsidTr="008E4817">
        <w:trPr>
          <w:trHeight w:val="347"/>
        </w:trPr>
        <w:tc>
          <w:tcPr>
            <w:tcW w:w="816" w:type="dxa"/>
            <w:shd w:val="clear" w:color="auto" w:fill="auto"/>
            <w:noWrap/>
            <w:vAlign w:val="bottom"/>
            <w:hideMark/>
          </w:tcPr>
          <w:p w14:paraId="1B8B43C0"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1.2.9.4</w:t>
            </w:r>
          </w:p>
        </w:tc>
        <w:tc>
          <w:tcPr>
            <w:tcW w:w="2845" w:type="dxa"/>
            <w:shd w:val="clear" w:color="auto" w:fill="auto"/>
            <w:noWrap/>
            <w:vAlign w:val="bottom"/>
            <w:hideMark/>
          </w:tcPr>
          <w:p w14:paraId="48B2D03A" w14:textId="4544EA19"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Voda i odvodnja</w:t>
            </w:r>
          </w:p>
        </w:tc>
        <w:tc>
          <w:tcPr>
            <w:tcW w:w="1321" w:type="dxa"/>
            <w:shd w:val="clear" w:color="auto" w:fill="auto"/>
            <w:noWrap/>
            <w:vAlign w:val="bottom"/>
            <w:hideMark/>
          </w:tcPr>
          <w:p w14:paraId="0EEB12BF" w14:textId="513ABC36"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color w:val="000000"/>
                <w:sz w:val="18"/>
                <w:szCs w:val="18"/>
              </w:rPr>
              <w:t>17.538</w:t>
            </w:r>
          </w:p>
        </w:tc>
        <w:tc>
          <w:tcPr>
            <w:tcW w:w="1155" w:type="dxa"/>
            <w:shd w:val="clear" w:color="auto" w:fill="auto"/>
            <w:noWrap/>
            <w:vAlign w:val="bottom"/>
            <w:hideMark/>
          </w:tcPr>
          <w:p w14:paraId="6B3ADC69" w14:textId="77C24825"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color w:val="000000"/>
                <w:sz w:val="18"/>
                <w:szCs w:val="18"/>
              </w:rPr>
              <w:t>25.556</w:t>
            </w:r>
          </w:p>
        </w:tc>
        <w:tc>
          <w:tcPr>
            <w:tcW w:w="1463" w:type="dxa"/>
            <w:shd w:val="clear" w:color="auto" w:fill="auto"/>
            <w:noWrap/>
            <w:vAlign w:val="bottom"/>
            <w:hideMark/>
          </w:tcPr>
          <w:p w14:paraId="4C269CBC" w14:textId="5D8D5169"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29.369</w:t>
            </w:r>
          </w:p>
        </w:tc>
        <w:tc>
          <w:tcPr>
            <w:tcW w:w="833" w:type="dxa"/>
            <w:shd w:val="clear" w:color="auto" w:fill="auto"/>
            <w:noWrap/>
            <w:vAlign w:val="bottom"/>
            <w:hideMark/>
          </w:tcPr>
          <w:p w14:paraId="0057A40E" w14:textId="6F20196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167%</w:t>
            </w:r>
          </w:p>
        </w:tc>
        <w:tc>
          <w:tcPr>
            <w:tcW w:w="727" w:type="dxa"/>
            <w:shd w:val="clear" w:color="auto" w:fill="auto"/>
            <w:noWrap/>
            <w:vAlign w:val="bottom"/>
            <w:hideMark/>
          </w:tcPr>
          <w:p w14:paraId="3D3D52B3" w14:textId="59957EF2"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115%</w:t>
            </w:r>
          </w:p>
        </w:tc>
      </w:tr>
      <w:tr w:rsidR="008E4817" w:rsidRPr="0097251D" w14:paraId="74584AA9" w14:textId="77777777" w:rsidTr="008E4817">
        <w:trPr>
          <w:trHeight w:val="347"/>
        </w:trPr>
        <w:tc>
          <w:tcPr>
            <w:tcW w:w="816" w:type="dxa"/>
            <w:shd w:val="clear" w:color="auto" w:fill="auto"/>
            <w:noWrap/>
            <w:vAlign w:val="bottom"/>
            <w:hideMark/>
          </w:tcPr>
          <w:p w14:paraId="65DD368C"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1.2.9.5</w:t>
            </w:r>
          </w:p>
        </w:tc>
        <w:tc>
          <w:tcPr>
            <w:tcW w:w="2845" w:type="dxa"/>
            <w:shd w:val="clear" w:color="auto" w:fill="auto"/>
            <w:noWrap/>
            <w:vAlign w:val="bottom"/>
            <w:hideMark/>
          </w:tcPr>
          <w:p w14:paraId="72829011" w14:textId="7FD5A57B"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Naknada za uređenje voda</w:t>
            </w:r>
          </w:p>
        </w:tc>
        <w:tc>
          <w:tcPr>
            <w:tcW w:w="1321" w:type="dxa"/>
            <w:shd w:val="clear" w:color="auto" w:fill="auto"/>
            <w:noWrap/>
            <w:vAlign w:val="bottom"/>
            <w:hideMark/>
          </w:tcPr>
          <w:p w14:paraId="15DDDC02" w14:textId="004FEB47"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28.983</w:t>
            </w:r>
          </w:p>
        </w:tc>
        <w:tc>
          <w:tcPr>
            <w:tcW w:w="1155" w:type="dxa"/>
            <w:shd w:val="clear" w:color="auto" w:fill="auto"/>
            <w:noWrap/>
            <w:vAlign w:val="bottom"/>
            <w:hideMark/>
          </w:tcPr>
          <w:p w14:paraId="7B4DE7B4" w14:textId="7AE30775"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28.983</w:t>
            </w:r>
          </w:p>
        </w:tc>
        <w:tc>
          <w:tcPr>
            <w:tcW w:w="1463" w:type="dxa"/>
            <w:shd w:val="clear" w:color="auto" w:fill="auto"/>
            <w:noWrap/>
            <w:vAlign w:val="bottom"/>
            <w:hideMark/>
          </w:tcPr>
          <w:p w14:paraId="76BEE052" w14:textId="4C369EF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28.983</w:t>
            </w:r>
          </w:p>
        </w:tc>
        <w:tc>
          <w:tcPr>
            <w:tcW w:w="833" w:type="dxa"/>
            <w:shd w:val="clear" w:color="auto" w:fill="auto"/>
            <w:noWrap/>
            <w:vAlign w:val="bottom"/>
            <w:hideMark/>
          </w:tcPr>
          <w:p w14:paraId="13B0946A" w14:textId="4EE636A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c>
          <w:tcPr>
            <w:tcW w:w="727" w:type="dxa"/>
            <w:shd w:val="clear" w:color="auto" w:fill="auto"/>
            <w:noWrap/>
            <w:vAlign w:val="bottom"/>
            <w:hideMark/>
          </w:tcPr>
          <w:p w14:paraId="783A6C43" w14:textId="6183813E"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r>
      <w:tr w:rsidR="008E4817" w:rsidRPr="0097251D" w14:paraId="05F725A2" w14:textId="77777777" w:rsidTr="008E4817">
        <w:trPr>
          <w:trHeight w:val="347"/>
        </w:trPr>
        <w:tc>
          <w:tcPr>
            <w:tcW w:w="816" w:type="dxa"/>
            <w:shd w:val="clear" w:color="auto" w:fill="auto"/>
            <w:noWrap/>
            <w:vAlign w:val="bottom"/>
            <w:hideMark/>
          </w:tcPr>
          <w:p w14:paraId="7A352D34"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1.2.9.6</w:t>
            </w:r>
          </w:p>
        </w:tc>
        <w:tc>
          <w:tcPr>
            <w:tcW w:w="2845" w:type="dxa"/>
            <w:shd w:val="clear" w:color="auto" w:fill="auto"/>
            <w:noWrap/>
            <w:vAlign w:val="bottom"/>
            <w:hideMark/>
          </w:tcPr>
          <w:p w14:paraId="65140ED0" w14:textId="56C7BED4"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Naknada za opterećivanje okoliša</w:t>
            </w:r>
          </w:p>
        </w:tc>
        <w:tc>
          <w:tcPr>
            <w:tcW w:w="1321" w:type="dxa"/>
            <w:shd w:val="clear" w:color="auto" w:fill="auto"/>
            <w:noWrap/>
            <w:vAlign w:val="bottom"/>
            <w:hideMark/>
          </w:tcPr>
          <w:p w14:paraId="4D892332" w14:textId="24EEF0F0"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color w:val="000000"/>
                <w:sz w:val="18"/>
                <w:szCs w:val="18"/>
              </w:rPr>
              <w:t>93.220</w:t>
            </w:r>
          </w:p>
        </w:tc>
        <w:tc>
          <w:tcPr>
            <w:tcW w:w="1155" w:type="dxa"/>
            <w:shd w:val="clear" w:color="auto" w:fill="auto"/>
            <w:noWrap/>
            <w:vAlign w:val="bottom"/>
            <w:hideMark/>
          </w:tcPr>
          <w:p w14:paraId="211802A4" w14:textId="2CDD31C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color w:val="000000"/>
                <w:sz w:val="18"/>
                <w:szCs w:val="18"/>
              </w:rPr>
              <w:t>70.050</w:t>
            </w:r>
          </w:p>
        </w:tc>
        <w:tc>
          <w:tcPr>
            <w:tcW w:w="1463" w:type="dxa"/>
            <w:shd w:val="clear" w:color="auto" w:fill="auto"/>
            <w:noWrap/>
            <w:vAlign w:val="bottom"/>
            <w:hideMark/>
          </w:tcPr>
          <w:p w14:paraId="312A2060" w14:textId="7809832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70.050</w:t>
            </w:r>
          </w:p>
        </w:tc>
        <w:tc>
          <w:tcPr>
            <w:tcW w:w="833" w:type="dxa"/>
            <w:shd w:val="clear" w:color="auto" w:fill="auto"/>
            <w:noWrap/>
            <w:vAlign w:val="bottom"/>
            <w:hideMark/>
          </w:tcPr>
          <w:p w14:paraId="3828D1B3" w14:textId="5293C20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75%</w:t>
            </w:r>
          </w:p>
        </w:tc>
        <w:tc>
          <w:tcPr>
            <w:tcW w:w="727" w:type="dxa"/>
            <w:shd w:val="clear" w:color="auto" w:fill="auto"/>
            <w:noWrap/>
            <w:vAlign w:val="bottom"/>
            <w:hideMark/>
          </w:tcPr>
          <w:p w14:paraId="11019D2B" w14:textId="3F26C852"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r>
      <w:tr w:rsidR="008E4817" w:rsidRPr="0097251D" w14:paraId="0A136AFF" w14:textId="77777777" w:rsidTr="008E4817">
        <w:trPr>
          <w:trHeight w:val="347"/>
        </w:trPr>
        <w:tc>
          <w:tcPr>
            <w:tcW w:w="816" w:type="dxa"/>
            <w:shd w:val="clear" w:color="auto" w:fill="auto"/>
            <w:noWrap/>
            <w:vAlign w:val="bottom"/>
            <w:hideMark/>
          </w:tcPr>
          <w:p w14:paraId="756B755D"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1.2.9.7</w:t>
            </w:r>
          </w:p>
        </w:tc>
        <w:tc>
          <w:tcPr>
            <w:tcW w:w="2845" w:type="dxa"/>
            <w:shd w:val="clear" w:color="auto" w:fill="auto"/>
            <w:noWrap/>
            <w:vAlign w:val="bottom"/>
            <w:hideMark/>
          </w:tcPr>
          <w:p w14:paraId="368275DC" w14:textId="47F0AEAC"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Parkiranje i garažiranje vozila</w:t>
            </w:r>
          </w:p>
        </w:tc>
        <w:tc>
          <w:tcPr>
            <w:tcW w:w="1321" w:type="dxa"/>
            <w:shd w:val="clear" w:color="auto" w:fill="auto"/>
            <w:noWrap/>
            <w:vAlign w:val="bottom"/>
            <w:hideMark/>
          </w:tcPr>
          <w:p w14:paraId="45F0432D" w14:textId="1EBBC3D8"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346</w:t>
            </w:r>
          </w:p>
        </w:tc>
        <w:tc>
          <w:tcPr>
            <w:tcW w:w="1155" w:type="dxa"/>
            <w:shd w:val="clear" w:color="auto" w:fill="auto"/>
            <w:noWrap/>
            <w:vAlign w:val="bottom"/>
            <w:hideMark/>
          </w:tcPr>
          <w:p w14:paraId="2D4DEF6A" w14:textId="680942A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300</w:t>
            </w:r>
          </w:p>
        </w:tc>
        <w:tc>
          <w:tcPr>
            <w:tcW w:w="1463" w:type="dxa"/>
            <w:shd w:val="clear" w:color="auto" w:fill="auto"/>
            <w:noWrap/>
            <w:vAlign w:val="bottom"/>
            <w:hideMark/>
          </w:tcPr>
          <w:p w14:paraId="21E675B9" w14:textId="38A8A06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366</w:t>
            </w:r>
          </w:p>
        </w:tc>
        <w:tc>
          <w:tcPr>
            <w:tcW w:w="833" w:type="dxa"/>
            <w:shd w:val="clear" w:color="auto" w:fill="auto"/>
            <w:noWrap/>
            <w:vAlign w:val="bottom"/>
            <w:hideMark/>
          </w:tcPr>
          <w:p w14:paraId="213F073C" w14:textId="19F123B2"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106%</w:t>
            </w:r>
          </w:p>
        </w:tc>
        <w:tc>
          <w:tcPr>
            <w:tcW w:w="727" w:type="dxa"/>
            <w:shd w:val="clear" w:color="auto" w:fill="auto"/>
            <w:noWrap/>
            <w:vAlign w:val="bottom"/>
            <w:hideMark/>
          </w:tcPr>
          <w:p w14:paraId="0A055826" w14:textId="54669F4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122%</w:t>
            </w:r>
          </w:p>
        </w:tc>
      </w:tr>
      <w:tr w:rsidR="008E4817" w:rsidRPr="0097251D" w14:paraId="19A3DD9A" w14:textId="77777777" w:rsidTr="008E4817">
        <w:trPr>
          <w:trHeight w:val="347"/>
        </w:trPr>
        <w:tc>
          <w:tcPr>
            <w:tcW w:w="816" w:type="dxa"/>
            <w:shd w:val="clear" w:color="auto" w:fill="auto"/>
            <w:noWrap/>
            <w:vAlign w:val="bottom"/>
            <w:hideMark/>
          </w:tcPr>
          <w:p w14:paraId="25FC6D2A"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1.2.9.8</w:t>
            </w:r>
          </w:p>
        </w:tc>
        <w:tc>
          <w:tcPr>
            <w:tcW w:w="2845" w:type="dxa"/>
            <w:shd w:val="clear" w:color="auto" w:fill="auto"/>
            <w:noWrap/>
            <w:vAlign w:val="bottom"/>
            <w:hideMark/>
          </w:tcPr>
          <w:p w14:paraId="5FF4A465" w14:textId="7A3381FA"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Deratizacija i dezin</w:t>
            </w:r>
            <w:r w:rsidR="004A3EE5">
              <w:rPr>
                <w:rFonts w:eastAsia="Times New Roman" w:cstheme="minorHAnsi"/>
                <w:sz w:val="18"/>
                <w:szCs w:val="18"/>
                <w:lang w:eastAsia="hr-HR"/>
              </w:rPr>
              <w:t>sekcijske</w:t>
            </w:r>
            <w:r w:rsidRPr="00EB5BBB">
              <w:rPr>
                <w:rFonts w:eastAsia="Times New Roman" w:cstheme="minorHAnsi"/>
                <w:sz w:val="18"/>
                <w:szCs w:val="18"/>
                <w:lang w:eastAsia="hr-HR"/>
              </w:rPr>
              <w:t xml:space="preserve"> usluge</w:t>
            </w:r>
          </w:p>
        </w:tc>
        <w:tc>
          <w:tcPr>
            <w:tcW w:w="1321" w:type="dxa"/>
            <w:shd w:val="clear" w:color="auto" w:fill="auto"/>
            <w:noWrap/>
            <w:vAlign w:val="bottom"/>
            <w:hideMark/>
          </w:tcPr>
          <w:p w14:paraId="4753A31D" w14:textId="794D9C4C"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25.790</w:t>
            </w:r>
          </w:p>
        </w:tc>
        <w:tc>
          <w:tcPr>
            <w:tcW w:w="1155" w:type="dxa"/>
            <w:shd w:val="clear" w:color="auto" w:fill="auto"/>
            <w:noWrap/>
            <w:vAlign w:val="bottom"/>
            <w:hideMark/>
          </w:tcPr>
          <w:p w14:paraId="6EA56301" w14:textId="7D0110E5"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25.110</w:t>
            </w:r>
          </w:p>
        </w:tc>
        <w:tc>
          <w:tcPr>
            <w:tcW w:w="1463" w:type="dxa"/>
            <w:shd w:val="clear" w:color="auto" w:fill="auto"/>
            <w:noWrap/>
            <w:vAlign w:val="bottom"/>
            <w:hideMark/>
          </w:tcPr>
          <w:p w14:paraId="59D4048A" w14:textId="6159819B"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25.870</w:t>
            </w:r>
          </w:p>
        </w:tc>
        <w:tc>
          <w:tcPr>
            <w:tcW w:w="833" w:type="dxa"/>
            <w:shd w:val="clear" w:color="auto" w:fill="auto"/>
            <w:noWrap/>
            <w:vAlign w:val="bottom"/>
            <w:hideMark/>
          </w:tcPr>
          <w:p w14:paraId="35BF009E" w14:textId="1575274C"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c>
          <w:tcPr>
            <w:tcW w:w="727" w:type="dxa"/>
            <w:shd w:val="clear" w:color="auto" w:fill="auto"/>
            <w:noWrap/>
            <w:vAlign w:val="bottom"/>
            <w:hideMark/>
          </w:tcPr>
          <w:p w14:paraId="7B87891B" w14:textId="7814DFBC"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103%</w:t>
            </w:r>
          </w:p>
        </w:tc>
      </w:tr>
      <w:tr w:rsidR="008E4817" w:rsidRPr="0097251D" w14:paraId="157D3A46" w14:textId="77777777" w:rsidTr="008E4817">
        <w:trPr>
          <w:trHeight w:val="347"/>
        </w:trPr>
        <w:tc>
          <w:tcPr>
            <w:tcW w:w="816" w:type="dxa"/>
            <w:shd w:val="clear" w:color="auto" w:fill="auto"/>
            <w:noWrap/>
            <w:vAlign w:val="bottom"/>
            <w:hideMark/>
          </w:tcPr>
          <w:p w14:paraId="3E791C1C"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1.2.9.9</w:t>
            </w:r>
          </w:p>
        </w:tc>
        <w:tc>
          <w:tcPr>
            <w:tcW w:w="2845" w:type="dxa"/>
            <w:shd w:val="clear" w:color="auto" w:fill="auto"/>
            <w:noWrap/>
            <w:vAlign w:val="bottom"/>
            <w:hideMark/>
          </w:tcPr>
          <w:p w14:paraId="47383CBB" w14:textId="2FE8DB80"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Dimnjačarske i ekološke usluge</w:t>
            </w:r>
          </w:p>
        </w:tc>
        <w:tc>
          <w:tcPr>
            <w:tcW w:w="1321" w:type="dxa"/>
            <w:shd w:val="clear" w:color="auto" w:fill="auto"/>
            <w:noWrap/>
            <w:vAlign w:val="bottom"/>
            <w:hideMark/>
          </w:tcPr>
          <w:p w14:paraId="537EB49D" w14:textId="284CABB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1.165</w:t>
            </w:r>
          </w:p>
        </w:tc>
        <w:tc>
          <w:tcPr>
            <w:tcW w:w="1155" w:type="dxa"/>
            <w:shd w:val="clear" w:color="auto" w:fill="auto"/>
            <w:noWrap/>
            <w:vAlign w:val="bottom"/>
            <w:hideMark/>
          </w:tcPr>
          <w:p w14:paraId="3EE3CD57" w14:textId="242578D9"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2.520</w:t>
            </w:r>
          </w:p>
        </w:tc>
        <w:tc>
          <w:tcPr>
            <w:tcW w:w="1463" w:type="dxa"/>
            <w:shd w:val="clear" w:color="auto" w:fill="auto"/>
            <w:noWrap/>
            <w:vAlign w:val="bottom"/>
            <w:hideMark/>
          </w:tcPr>
          <w:p w14:paraId="4449686F" w14:textId="453508B9"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2.561</w:t>
            </w:r>
          </w:p>
        </w:tc>
        <w:tc>
          <w:tcPr>
            <w:tcW w:w="833" w:type="dxa"/>
            <w:shd w:val="clear" w:color="auto" w:fill="auto"/>
            <w:noWrap/>
            <w:vAlign w:val="bottom"/>
            <w:hideMark/>
          </w:tcPr>
          <w:p w14:paraId="4F383E65" w14:textId="741AEDAD"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220%</w:t>
            </w:r>
          </w:p>
        </w:tc>
        <w:tc>
          <w:tcPr>
            <w:tcW w:w="727" w:type="dxa"/>
            <w:shd w:val="clear" w:color="auto" w:fill="auto"/>
            <w:noWrap/>
            <w:vAlign w:val="bottom"/>
            <w:hideMark/>
          </w:tcPr>
          <w:p w14:paraId="3BBE7AE3" w14:textId="19C371D3"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102%</w:t>
            </w:r>
          </w:p>
        </w:tc>
      </w:tr>
      <w:tr w:rsidR="008E4817" w:rsidRPr="0097251D" w14:paraId="772E96AD" w14:textId="77777777" w:rsidTr="008E4817">
        <w:trPr>
          <w:trHeight w:val="347"/>
        </w:trPr>
        <w:tc>
          <w:tcPr>
            <w:tcW w:w="816" w:type="dxa"/>
            <w:shd w:val="clear" w:color="auto" w:fill="auto"/>
            <w:noWrap/>
            <w:vAlign w:val="bottom"/>
            <w:hideMark/>
          </w:tcPr>
          <w:p w14:paraId="003140D0"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1.2.9.10</w:t>
            </w:r>
          </w:p>
        </w:tc>
        <w:tc>
          <w:tcPr>
            <w:tcW w:w="2845" w:type="dxa"/>
            <w:shd w:val="clear" w:color="auto" w:fill="auto"/>
            <w:noWrap/>
            <w:vAlign w:val="bottom"/>
            <w:hideMark/>
          </w:tcPr>
          <w:p w14:paraId="7C901392" w14:textId="733FC24C"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 xml:space="preserve">Usluge zbrinjavanja otpada </w:t>
            </w:r>
            <w:r w:rsidR="009624D9">
              <w:rPr>
                <w:rFonts w:eastAsia="Times New Roman" w:cstheme="minorHAnsi"/>
                <w:sz w:val="18"/>
                <w:szCs w:val="18"/>
                <w:lang w:eastAsia="hr-HR"/>
              </w:rPr>
              <w:t>(viškovi)</w:t>
            </w:r>
          </w:p>
        </w:tc>
        <w:tc>
          <w:tcPr>
            <w:tcW w:w="1321" w:type="dxa"/>
            <w:shd w:val="clear" w:color="auto" w:fill="auto"/>
            <w:noWrap/>
            <w:vAlign w:val="bottom"/>
            <w:hideMark/>
          </w:tcPr>
          <w:p w14:paraId="3E4BC818" w14:textId="62BF6094"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857.874</w:t>
            </w:r>
          </w:p>
        </w:tc>
        <w:tc>
          <w:tcPr>
            <w:tcW w:w="1155" w:type="dxa"/>
            <w:shd w:val="clear" w:color="auto" w:fill="auto"/>
            <w:noWrap/>
            <w:vAlign w:val="bottom"/>
            <w:hideMark/>
          </w:tcPr>
          <w:p w14:paraId="7C4812E9" w14:textId="217378A6"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533.445</w:t>
            </w:r>
          </w:p>
        </w:tc>
        <w:tc>
          <w:tcPr>
            <w:tcW w:w="1463" w:type="dxa"/>
            <w:shd w:val="clear" w:color="auto" w:fill="auto"/>
            <w:noWrap/>
            <w:vAlign w:val="bottom"/>
            <w:hideMark/>
          </w:tcPr>
          <w:p w14:paraId="740A7ECF" w14:textId="181ADB5D"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533.445</w:t>
            </w:r>
          </w:p>
        </w:tc>
        <w:tc>
          <w:tcPr>
            <w:tcW w:w="833" w:type="dxa"/>
            <w:shd w:val="clear" w:color="auto" w:fill="auto"/>
            <w:noWrap/>
            <w:vAlign w:val="bottom"/>
            <w:hideMark/>
          </w:tcPr>
          <w:p w14:paraId="51AFC94E" w14:textId="0FF42C69"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62%</w:t>
            </w:r>
          </w:p>
        </w:tc>
        <w:tc>
          <w:tcPr>
            <w:tcW w:w="727" w:type="dxa"/>
            <w:shd w:val="clear" w:color="auto" w:fill="auto"/>
            <w:noWrap/>
            <w:vAlign w:val="bottom"/>
            <w:hideMark/>
          </w:tcPr>
          <w:p w14:paraId="5FCA83C9" w14:textId="4A87970E"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w:t>
            </w:r>
          </w:p>
        </w:tc>
      </w:tr>
      <w:tr w:rsidR="008E4817" w:rsidRPr="0097251D" w14:paraId="53D82179" w14:textId="77777777" w:rsidTr="008E4817">
        <w:trPr>
          <w:trHeight w:val="347"/>
        </w:trPr>
        <w:tc>
          <w:tcPr>
            <w:tcW w:w="816" w:type="dxa"/>
            <w:shd w:val="clear" w:color="auto" w:fill="auto"/>
            <w:noWrap/>
            <w:vAlign w:val="bottom"/>
            <w:hideMark/>
          </w:tcPr>
          <w:p w14:paraId="515750D3" w14:textId="77777777"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1.2.9.11</w:t>
            </w:r>
          </w:p>
        </w:tc>
        <w:tc>
          <w:tcPr>
            <w:tcW w:w="2845" w:type="dxa"/>
            <w:shd w:val="clear" w:color="auto" w:fill="auto"/>
            <w:noWrap/>
            <w:vAlign w:val="bottom"/>
            <w:hideMark/>
          </w:tcPr>
          <w:p w14:paraId="1DC490BC" w14:textId="234D37D5"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Zbrinjavanje otpadnih voda</w:t>
            </w:r>
          </w:p>
        </w:tc>
        <w:tc>
          <w:tcPr>
            <w:tcW w:w="1321" w:type="dxa"/>
            <w:shd w:val="clear" w:color="auto" w:fill="auto"/>
            <w:noWrap/>
            <w:vAlign w:val="bottom"/>
            <w:hideMark/>
          </w:tcPr>
          <w:p w14:paraId="18F14D39" w14:textId="721B708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79.064</w:t>
            </w:r>
          </w:p>
        </w:tc>
        <w:tc>
          <w:tcPr>
            <w:tcW w:w="1155" w:type="dxa"/>
            <w:shd w:val="clear" w:color="auto" w:fill="auto"/>
            <w:noWrap/>
            <w:vAlign w:val="bottom"/>
            <w:hideMark/>
          </w:tcPr>
          <w:p w14:paraId="7C2C3DC6" w14:textId="2ACCB8C1"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100.000</w:t>
            </w:r>
          </w:p>
        </w:tc>
        <w:tc>
          <w:tcPr>
            <w:tcW w:w="1463" w:type="dxa"/>
            <w:shd w:val="clear" w:color="auto" w:fill="auto"/>
            <w:noWrap/>
            <w:vAlign w:val="bottom"/>
            <w:hideMark/>
          </w:tcPr>
          <w:p w14:paraId="484ACC5D" w14:textId="2F5C376A"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103.037</w:t>
            </w:r>
          </w:p>
        </w:tc>
        <w:tc>
          <w:tcPr>
            <w:tcW w:w="833" w:type="dxa"/>
            <w:shd w:val="clear" w:color="auto" w:fill="auto"/>
            <w:noWrap/>
            <w:vAlign w:val="bottom"/>
            <w:hideMark/>
          </w:tcPr>
          <w:p w14:paraId="788EFA4D" w14:textId="03441C3A"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130%</w:t>
            </w:r>
          </w:p>
        </w:tc>
        <w:tc>
          <w:tcPr>
            <w:tcW w:w="727" w:type="dxa"/>
            <w:shd w:val="clear" w:color="auto" w:fill="auto"/>
            <w:noWrap/>
            <w:vAlign w:val="bottom"/>
            <w:hideMark/>
          </w:tcPr>
          <w:p w14:paraId="2025591B" w14:textId="5B8920AC"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103%</w:t>
            </w:r>
          </w:p>
        </w:tc>
      </w:tr>
      <w:tr w:rsidR="008E4817" w:rsidRPr="0097251D" w14:paraId="31C6160A" w14:textId="77777777" w:rsidTr="008E4817">
        <w:trPr>
          <w:trHeight w:val="347"/>
        </w:trPr>
        <w:tc>
          <w:tcPr>
            <w:tcW w:w="816" w:type="dxa"/>
            <w:shd w:val="clear" w:color="auto" w:fill="auto"/>
            <w:noWrap/>
            <w:vAlign w:val="bottom"/>
          </w:tcPr>
          <w:p w14:paraId="1C5FB7CD" w14:textId="0BF9655D"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1.2.9.12</w:t>
            </w:r>
          </w:p>
        </w:tc>
        <w:tc>
          <w:tcPr>
            <w:tcW w:w="2845" w:type="dxa"/>
            <w:shd w:val="clear" w:color="auto" w:fill="auto"/>
            <w:noWrap/>
            <w:vAlign w:val="bottom"/>
          </w:tcPr>
          <w:p w14:paraId="1F1AEEBE" w14:textId="0BDA72B8" w:rsidR="008E4817" w:rsidRPr="00EB5BBB" w:rsidRDefault="008E4817" w:rsidP="008E4817">
            <w:pPr>
              <w:spacing w:before="120" w:after="0" w:line="240" w:lineRule="auto"/>
              <w:rPr>
                <w:rFonts w:eastAsia="Times New Roman" w:cstheme="minorHAnsi"/>
                <w:sz w:val="18"/>
                <w:szCs w:val="18"/>
                <w:lang w:eastAsia="hr-HR"/>
              </w:rPr>
            </w:pPr>
            <w:r w:rsidRPr="00EB5BBB">
              <w:rPr>
                <w:rFonts w:eastAsia="Times New Roman" w:cstheme="minorHAnsi"/>
                <w:sz w:val="18"/>
                <w:szCs w:val="18"/>
                <w:lang w:eastAsia="hr-HR"/>
              </w:rPr>
              <w:t>Zbrinjavanje opasnog otpada</w:t>
            </w:r>
          </w:p>
        </w:tc>
        <w:tc>
          <w:tcPr>
            <w:tcW w:w="1321" w:type="dxa"/>
            <w:shd w:val="clear" w:color="auto" w:fill="auto"/>
            <w:noWrap/>
            <w:vAlign w:val="bottom"/>
          </w:tcPr>
          <w:p w14:paraId="6745BC7F" w14:textId="2F50E025"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15.596</w:t>
            </w:r>
          </w:p>
        </w:tc>
        <w:tc>
          <w:tcPr>
            <w:tcW w:w="1155" w:type="dxa"/>
            <w:shd w:val="clear" w:color="auto" w:fill="auto"/>
            <w:noWrap/>
            <w:vAlign w:val="bottom"/>
          </w:tcPr>
          <w:p w14:paraId="795D4D4B" w14:textId="254B67DC"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22.000</w:t>
            </w:r>
          </w:p>
        </w:tc>
        <w:tc>
          <w:tcPr>
            <w:tcW w:w="1463" w:type="dxa"/>
            <w:shd w:val="clear" w:color="auto" w:fill="auto"/>
            <w:noWrap/>
            <w:vAlign w:val="bottom"/>
          </w:tcPr>
          <w:p w14:paraId="0B6B2B70" w14:textId="10DADBA2"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16.617</w:t>
            </w:r>
          </w:p>
        </w:tc>
        <w:tc>
          <w:tcPr>
            <w:tcW w:w="833" w:type="dxa"/>
            <w:shd w:val="clear" w:color="auto" w:fill="auto"/>
            <w:noWrap/>
            <w:vAlign w:val="bottom"/>
          </w:tcPr>
          <w:p w14:paraId="296E1E76" w14:textId="281DD937"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107%</w:t>
            </w:r>
          </w:p>
        </w:tc>
        <w:tc>
          <w:tcPr>
            <w:tcW w:w="727" w:type="dxa"/>
            <w:shd w:val="clear" w:color="auto" w:fill="auto"/>
            <w:noWrap/>
            <w:vAlign w:val="bottom"/>
          </w:tcPr>
          <w:p w14:paraId="0093663E" w14:textId="02C46763" w:rsidR="008E4817" w:rsidRPr="008E4817" w:rsidRDefault="008E4817" w:rsidP="008E4817">
            <w:pPr>
              <w:spacing w:before="120" w:after="0" w:line="240" w:lineRule="auto"/>
              <w:jc w:val="center"/>
              <w:rPr>
                <w:rFonts w:eastAsia="Times New Roman" w:cstheme="minorHAnsi"/>
                <w:sz w:val="18"/>
                <w:szCs w:val="18"/>
                <w:lang w:eastAsia="hr-HR"/>
              </w:rPr>
            </w:pPr>
            <w:r w:rsidRPr="008E4817">
              <w:rPr>
                <w:rFonts w:cstheme="minorHAnsi"/>
                <w:sz w:val="18"/>
                <w:szCs w:val="18"/>
              </w:rPr>
              <w:t>76%</w:t>
            </w:r>
          </w:p>
        </w:tc>
      </w:tr>
    </w:tbl>
    <w:p w14:paraId="4FB33353" w14:textId="77777777" w:rsidR="00BC2CA9" w:rsidRDefault="00BC2CA9" w:rsidP="00BC2CA9">
      <w:pPr>
        <w:spacing w:line="360" w:lineRule="auto"/>
        <w:jc w:val="both"/>
      </w:pPr>
    </w:p>
    <w:p w14:paraId="1A452CAC" w14:textId="77777777" w:rsidR="00095BF3" w:rsidRDefault="00B21E5D" w:rsidP="00095BF3">
      <w:pPr>
        <w:spacing w:line="360" w:lineRule="auto"/>
        <w:jc w:val="both"/>
      </w:pPr>
      <w:r w:rsidRPr="00B21E5D">
        <w:t>Troškovi komunalnih i sličnih usluga u 2024. godini iznose 1.622.162 eura, što predstavlja smanjenje od 16% u odnosu na prethodnu godinu</w:t>
      </w:r>
      <w:r w:rsidR="00095BF3">
        <w:t xml:space="preserve">. </w:t>
      </w:r>
    </w:p>
    <w:p w14:paraId="4DB2BD26" w14:textId="4A1D07E5" w:rsidR="00095BF3" w:rsidRDefault="00095BF3" w:rsidP="00BC2CA9">
      <w:pPr>
        <w:spacing w:line="360" w:lineRule="auto"/>
        <w:jc w:val="both"/>
      </w:pPr>
      <w:r>
        <w:t xml:space="preserve">Najznačajniju ulogu u smanjenju ovih troškova imale su usluge zbrinjavanja </w:t>
      </w:r>
      <w:r w:rsidRPr="00BC2CA9">
        <w:t>otpada</w:t>
      </w:r>
      <w:r>
        <w:t xml:space="preserve"> koje su u 2024. godini iznosile </w:t>
      </w:r>
      <w:r w:rsidRPr="00BC2CA9">
        <w:t>533.445 eura</w:t>
      </w:r>
      <w:r>
        <w:t xml:space="preserve">. U najvećem dijelu </w:t>
      </w:r>
      <w:r w:rsidRPr="00BC2CA9">
        <w:t xml:space="preserve">uključuju zbrinjavanje viškova otpada, </w:t>
      </w:r>
      <w:r w:rsidR="00782C27">
        <w:t xml:space="preserve">koje su najizraženije tijekom ljetnih mjeseci. </w:t>
      </w:r>
      <w:r>
        <w:t>Z</w:t>
      </w:r>
      <w:r w:rsidRPr="00BC2CA9">
        <w:t xml:space="preserve">brinuto </w:t>
      </w:r>
      <w:r>
        <w:t>je 2.878</w:t>
      </w:r>
      <w:r w:rsidRPr="00BC2CA9">
        <w:t xml:space="preserve"> tone otpada</w:t>
      </w:r>
      <w:r>
        <w:t xml:space="preserve"> što je za 1.755 tona manje nego u prošlom razdoblju kada je zbrinuto 4.633 tone.</w:t>
      </w:r>
    </w:p>
    <w:p w14:paraId="19DB85E8" w14:textId="4DF4F9B9" w:rsidR="00BC2CA9" w:rsidRPr="00BC2CA9" w:rsidRDefault="00BC2CA9" w:rsidP="00BC2CA9">
      <w:pPr>
        <w:spacing w:line="360" w:lineRule="auto"/>
        <w:jc w:val="both"/>
      </w:pPr>
      <w:r>
        <w:t>N</w:t>
      </w:r>
      <w:r w:rsidRPr="00BC2CA9">
        <w:t>ajveće stavke</w:t>
      </w:r>
      <w:r w:rsidR="00782C27">
        <w:t xml:space="preserve">, uz već spomenuto zbrinjavanje viškova otpada, </w:t>
      </w:r>
      <w:r w:rsidRPr="00BC2CA9">
        <w:t>odnose se na:</w:t>
      </w:r>
    </w:p>
    <w:p w14:paraId="15ACD02E" w14:textId="61A224FD" w:rsidR="00BC2CA9" w:rsidRDefault="00BC2CA9">
      <w:pPr>
        <w:pStyle w:val="NoSpacing"/>
        <w:numPr>
          <w:ilvl w:val="0"/>
          <w:numId w:val="4"/>
        </w:numPr>
        <w:spacing w:line="360" w:lineRule="auto"/>
        <w:jc w:val="both"/>
      </w:pPr>
      <w:r w:rsidRPr="00BC2CA9">
        <w:t>Komunalnu naknadu u iznosu od 811.330 eura, koja je ostala na istoj razini kao i prethodnih godina;</w:t>
      </w:r>
    </w:p>
    <w:p w14:paraId="7A87A044" w14:textId="31ADAF1D" w:rsidR="00782C27" w:rsidRPr="00BC2CA9" w:rsidRDefault="00782C27">
      <w:pPr>
        <w:pStyle w:val="NoSpacing"/>
        <w:numPr>
          <w:ilvl w:val="0"/>
          <w:numId w:val="4"/>
        </w:numPr>
        <w:spacing w:line="360" w:lineRule="auto"/>
        <w:jc w:val="both"/>
      </w:pPr>
      <w:r>
        <w:t>Zbrinjavanje otpadnih voda u iznosu  103.037 eura koje su narasle zbog povećanja cijene usluge</w:t>
      </w:r>
    </w:p>
    <w:p w14:paraId="5AD7D741" w14:textId="2510272D" w:rsidR="00BC2CA9" w:rsidRPr="00BC2CA9" w:rsidRDefault="00782C27">
      <w:pPr>
        <w:pStyle w:val="NoSpacing"/>
        <w:numPr>
          <w:ilvl w:val="0"/>
          <w:numId w:val="4"/>
        </w:numPr>
        <w:spacing w:line="360" w:lineRule="auto"/>
        <w:jc w:val="both"/>
      </w:pPr>
      <w:r>
        <w:t>Naknadu za opterećivanje okoliša koja je u odnosu na prethodno razdoblje smanjena za 25%.</w:t>
      </w:r>
    </w:p>
    <w:p w14:paraId="6B14A6BE" w14:textId="77982CFD" w:rsidR="00BC2CA9" w:rsidRPr="00B21E5D" w:rsidRDefault="00782C27" w:rsidP="007367D8">
      <w:pPr>
        <w:spacing w:before="360" w:after="240" w:line="360" w:lineRule="auto"/>
        <w:jc w:val="both"/>
      </w:pPr>
      <w:r w:rsidRPr="00782C27">
        <w:t>Ukupno gledano, ova kategorija rashoda zadržana je unutar planiranih okvira</w:t>
      </w:r>
      <w:r w:rsidR="009835DC">
        <w:t>.</w:t>
      </w:r>
    </w:p>
    <w:p w14:paraId="3E1877BF" w14:textId="77777777" w:rsidR="00782C27" w:rsidRDefault="00782C27" w:rsidP="00EE3152">
      <w:pPr>
        <w:pStyle w:val="Caption"/>
        <w:spacing w:before="240" w:after="240"/>
        <w:rPr>
          <w:rFonts w:asciiTheme="minorHAnsi" w:hAnsiTheme="minorHAnsi" w:cstheme="minorHAnsi"/>
          <w:sz w:val="22"/>
          <w:szCs w:val="22"/>
        </w:rPr>
      </w:pPr>
    </w:p>
    <w:p w14:paraId="29ECFC07" w14:textId="2BB226A9" w:rsidR="00EE3152" w:rsidRPr="00E274E5" w:rsidRDefault="00EE3152" w:rsidP="00341EBE">
      <w:pPr>
        <w:pStyle w:val="Caption"/>
        <w:spacing w:before="360" w:after="240"/>
        <w:rPr>
          <w:rFonts w:cstheme="minorHAnsi"/>
        </w:rPr>
      </w:pPr>
      <w:bookmarkStart w:id="70" w:name="_Toc200366468"/>
      <w:r w:rsidRPr="00840E6B">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30</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Trošak zbrinjavanja goriva iz otpada</w:t>
      </w:r>
      <w:bookmarkEnd w:id="70"/>
    </w:p>
    <w:tbl>
      <w:tblPr>
        <w:tblW w:w="905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28"/>
        <w:gridCol w:w="2874"/>
        <w:gridCol w:w="1335"/>
        <w:gridCol w:w="1167"/>
        <w:gridCol w:w="1478"/>
        <w:gridCol w:w="735"/>
        <w:gridCol w:w="735"/>
      </w:tblGrid>
      <w:tr w:rsidR="001255CE" w:rsidRPr="00E274E5" w14:paraId="79EAC882" w14:textId="77777777" w:rsidTr="00341EBE">
        <w:trPr>
          <w:trHeight w:val="721"/>
        </w:trPr>
        <w:tc>
          <w:tcPr>
            <w:tcW w:w="728" w:type="dxa"/>
            <w:tcBorders>
              <w:top w:val="single" w:sz="4" w:space="0" w:color="auto"/>
              <w:bottom w:val="single" w:sz="4" w:space="0" w:color="auto"/>
            </w:tcBorders>
            <w:shd w:val="clear" w:color="auto" w:fill="auto"/>
            <w:noWrap/>
            <w:vAlign w:val="center"/>
            <w:hideMark/>
          </w:tcPr>
          <w:p w14:paraId="038D5038" w14:textId="77777777" w:rsidR="001255CE" w:rsidRPr="00E274E5" w:rsidRDefault="001255CE" w:rsidP="001255CE">
            <w:pPr>
              <w:spacing w:after="0" w:line="240" w:lineRule="auto"/>
              <w:rPr>
                <w:rFonts w:ascii="Calibri" w:eastAsia="Times New Roman" w:hAnsi="Calibri" w:cs="Calibri"/>
                <w:b/>
                <w:bCs/>
                <w:sz w:val="20"/>
                <w:szCs w:val="20"/>
                <w:lang w:eastAsia="hr-HR"/>
              </w:rPr>
            </w:pPr>
            <w:r w:rsidRPr="00264869">
              <w:rPr>
                <w:rFonts w:eastAsia="Times New Roman" w:cstheme="minorHAnsi"/>
                <w:b/>
                <w:bCs/>
                <w:sz w:val="18"/>
                <w:szCs w:val="18"/>
                <w:lang w:eastAsia="hr-HR"/>
              </w:rPr>
              <w:t>R. br.</w:t>
            </w:r>
          </w:p>
        </w:tc>
        <w:tc>
          <w:tcPr>
            <w:tcW w:w="2874" w:type="dxa"/>
            <w:tcBorders>
              <w:top w:val="single" w:sz="4" w:space="0" w:color="auto"/>
              <w:bottom w:val="single" w:sz="4" w:space="0" w:color="auto"/>
            </w:tcBorders>
            <w:shd w:val="clear" w:color="auto" w:fill="auto"/>
            <w:noWrap/>
            <w:vAlign w:val="center"/>
            <w:hideMark/>
          </w:tcPr>
          <w:p w14:paraId="5F4B263F" w14:textId="77777777" w:rsidR="001255CE" w:rsidRPr="00E274E5" w:rsidRDefault="001255CE" w:rsidP="001255CE">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 xml:space="preserve">O p i s </w:t>
            </w:r>
          </w:p>
        </w:tc>
        <w:tc>
          <w:tcPr>
            <w:tcW w:w="1335" w:type="dxa"/>
            <w:tcBorders>
              <w:top w:val="single" w:sz="4" w:space="0" w:color="auto"/>
              <w:bottom w:val="single" w:sz="4" w:space="0" w:color="auto"/>
            </w:tcBorders>
            <w:shd w:val="clear" w:color="auto" w:fill="auto"/>
            <w:noWrap/>
            <w:vAlign w:val="center"/>
            <w:hideMark/>
          </w:tcPr>
          <w:p w14:paraId="610717AD" w14:textId="2A30FBCC" w:rsidR="001255CE" w:rsidRPr="00E274E5" w:rsidRDefault="001255CE" w:rsidP="001255CE">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67" w:type="dxa"/>
            <w:tcBorders>
              <w:top w:val="single" w:sz="4" w:space="0" w:color="auto"/>
              <w:bottom w:val="single" w:sz="4" w:space="0" w:color="auto"/>
            </w:tcBorders>
            <w:shd w:val="clear" w:color="auto" w:fill="auto"/>
            <w:noWrap/>
            <w:vAlign w:val="center"/>
            <w:hideMark/>
          </w:tcPr>
          <w:p w14:paraId="68242B0D" w14:textId="7827AA45" w:rsidR="001255CE" w:rsidRPr="00E274E5" w:rsidRDefault="001255CE" w:rsidP="001255CE">
            <w:pPr>
              <w:spacing w:after="0" w:line="240" w:lineRule="auto"/>
              <w:jc w:val="center"/>
              <w:rPr>
                <w:rFonts w:ascii="Calibri" w:eastAsia="Times New Roman" w:hAnsi="Calibri" w:cs="Calibr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78" w:type="dxa"/>
            <w:tcBorders>
              <w:top w:val="single" w:sz="4" w:space="0" w:color="auto"/>
              <w:bottom w:val="single" w:sz="4" w:space="0" w:color="auto"/>
            </w:tcBorders>
            <w:shd w:val="clear" w:color="auto" w:fill="auto"/>
            <w:noWrap/>
            <w:vAlign w:val="center"/>
            <w:hideMark/>
          </w:tcPr>
          <w:p w14:paraId="4E947E71" w14:textId="5C567E17" w:rsidR="001255CE" w:rsidRPr="00E274E5" w:rsidRDefault="001255CE" w:rsidP="001255CE">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5" w:type="dxa"/>
            <w:tcBorders>
              <w:top w:val="single" w:sz="4" w:space="0" w:color="auto"/>
              <w:bottom w:val="single" w:sz="4" w:space="0" w:color="auto"/>
            </w:tcBorders>
            <w:shd w:val="clear" w:color="auto" w:fill="auto"/>
            <w:noWrap/>
            <w:vAlign w:val="center"/>
            <w:hideMark/>
          </w:tcPr>
          <w:p w14:paraId="31C3A465" w14:textId="77777777" w:rsidR="001255CE" w:rsidRPr="00E274E5" w:rsidRDefault="001255CE" w:rsidP="001255CE">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color w:val="000000"/>
                <w:sz w:val="18"/>
                <w:szCs w:val="18"/>
                <w:lang w:eastAsia="hr-HR"/>
              </w:rPr>
              <w:t>index   (5/3)</w:t>
            </w:r>
          </w:p>
        </w:tc>
        <w:tc>
          <w:tcPr>
            <w:tcW w:w="735" w:type="dxa"/>
            <w:tcBorders>
              <w:top w:val="single" w:sz="4" w:space="0" w:color="auto"/>
              <w:bottom w:val="single" w:sz="4" w:space="0" w:color="auto"/>
            </w:tcBorders>
            <w:shd w:val="clear" w:color="auto" w:fill="auto"/>
            <w:noWrap/>
            <w:vAlign w:val="center"/>
            <w:hideMark/>
          </w:tcPr>
          <w:p w14:paraId="39868D62" w14:textId="77777777" w:rsidR="001255CE" w:rsidRPr="00E274E5" w:rsidRDefault="001255CE" w:rsidP="001255CE">
            <w:pPr>
              <w:spacing w:after="0" w:line="240" w:lineRule="auto"/>
              <w:jc w:val="center"/>
              <w:rPr>
                <w:rFonts w:ascii="Calibri" w:eastAsia="Times New Roman" w:hAnsi="Calibri" w:cs="Calibri"/>
                <w:b/>
                <w:bCs/>
                <w:sz w:val="20"/>
                <w:szCs w:val="20"/>
                <w:lang w:eastAsia="hr-HR"/>
              </w:rPr>
            </w:pPr>
            <w:r w:rsidRPr="00264869">
              <w:rPr>
                <w:rFonts w:eastAsia="Times New Roman" w:cstheme="minorHAnsi"/>
                <w:b/>
                <w:bCs/>
                <w:color w:val="000000"/>
                <w:sz w:val="18"/>
                <w:szCs w:val="18"/>
                <w:lang w:eastAsia="hr-HR"/>
              </w:rPr>
              <w:t>indeks (5/4)</w:t>
            </w:r>
          </w:p>
        </w:tc>
      </w:tr>
      <w:tr w:rsidR="00EE3152" w:rsidRPr="00E274E5" w14:paraId="2780DB45" w14:textId="77777777" w:rsidTr="00341EBE">
        <w:trPr>
          <w:trHeight w:val="196"/>
        </w:trPr>
        <w:tc>
          <w:tcPr>
            <w:tcW w:w="728" w:type="dxa"/>
            <w:tcBorders>
              <w:top w:val="single" w:sz="4" w:space="0" w:color="auto"/>
              <w:bottom w:val="single" w:sz="4" w:space="0" w:color="auto"/>
            </w:tcBorders>
            <w:shd w:val="clear" w:color="auto" w:fill="auto"/>
            <w:noWrap/>
            <w:vAlign w:val="center"/>
          </w:tcPr>
          <w:p w14:paraId="3F1B103F"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eastAsia="Times New Roman" w:cstheme="minorHAnsi"/>
                <w:b/>
                <w:bCs/>
                <w:i/>
                <w:iCs/>
                <w:color w:val="D9D9D9" w:themeColor="background1" w:themeShade="D9"/>
                <w:sz w:val="14"/>
                <w:szCs w:val="14"/>
                <w:lang w:eastAsia="hr-HR"/>
              </w:rPr>
              <w:t>1</w:t>
            </w:r>
          </w:p>
        </w:tc>
        <w:tc>
          <w:tcPr>
            <w:tcW w:w="2874" w:type="dxa"/>
            <w:tcBorders>
              <w:top w:val="single" w:sz="4" w:space="0" w:color="auto"/>
              <w:bottom w:val="single" w:sz="4" w:space="0" w:color="auto"/>
            </w:tcBorders>
            <w:shd w:val="clear" w:color="auto" w:fill="auto"/>
            <w:noWrap/>
            <w:vAlign w:val="center"/>
          </w:tcPr>
          <w:p w14:paraId="0C4B25D2"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eastAsia="Times New Roman" w:cstheme="minorHAnsi"/>
                <w:b/>
                <w:bCs/>
                <w:i/>
                <w:iCs/>
                <w:color w:val="D9D9D9" w:themeColor="background1" w:themeShade="D9"/>
                <w:sz w:val="14"/>
                <w:szCs w:val="14"/>
                <w:lang w:eastAsia="hr-HR"/>
              </w:rPr>
              <w:t>2</w:t>
            </w:r>
          </w:p>
        </w:tc>
        <w:tc>
          <w:tcPr>
            <w:tcW w:w="1335" w:type="dxa"/>
            <w:tcBorders>
              <w:top w:val="single" w:sz="4" w:space="0" w:color="auto"/>
              <w:bottom w:val="single" w:sz="4" w:space="0" w:color="auto"/>
            </w:tcBorders>
            <w:shd w:val="clear" w:color="auto" w:fill="auto"/>
            <w:noWrap/>
            <w:vAlign w:val="center"/>
          </w:tcPr>
          <w:p w14:paraId="39F6901A"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ascii="Calibri" w:eastAsia="Times New Roman" w:hAnsi="Calibri" w:cs="Calibri"/>
                <w:b/>
                <w:bCs/>
                <w:i/>
                <w:iCs/>
                <w:color w:val="D9D9D9" w:themeColor="background1" w:themeShade="D9"/>
                <w:sz w:val="14"/>
                <w:szCs w:val="14"/>
                <w:lang w:eastAsia="hr-HR"/>
              </w:rPr>
              <w:t>3</w:t>
            </w:r>
          </w:p>
        </w:tc>
        <w:tc>
          <w:tcPr>
            <w:tcW w:w="1167" w:type="dxa"/>
            <w:tcBorders>
              <w:top w:val="single" w:sz="4" w:space="0" w:color="auto"/>
              <w:bottom w:val="single" w:sz="4" w:space="0" w:color="auto"/>
            </w:tcBorders>
            <w:shd w:val="clear" w:color="auto" w:fill="auto"/>
            <w:noWrap/>
            <w:vAlign w:val="center"/>
          </w:tcPr>
          <w:p w14:paraId="430312BB"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eastAsia="Times New Roman" w:cstheme="minorHAnsi"/>
                <w:b/>
                <w:bCs/>
                <w:i/>
                <w:iCs/>
                <w:color w:val="D9D9D9" w:themeColor="background1" w:themeShade="D9"/>
                <w:sz w:val="14"/>
                <w:szCs w:val="14"/>
                <w:lang w:eastAsia="hr-HR"/>
              </w:rPr>
              <w:t>4</w:t>
            </w:r>
          </w:p>
        </w:tc>
        <w:tc>
          <w:tcPr>
            <w:tcW w:w="1478" w:type="dxa"/>
            <w:tcBorders>
              <w:top w:val="single" w:sz="4" w:space="0" w:color="auto"/>
              <w:bottom w:val="single" w:sz="4" w:space="0" w:color="auto"/>
            </w:tcBorders>
            <w:shd w:val="clear" w:color="auto" w:fill="auto"/>
            <w:noWrap/>
            <w:vAlign w:val="center"/>
          </w:tcPr>
          <w:p w14:paraId="67F26F3E"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ascii="Calibri" w:eastAsia="Times New Roman" w:hAnsi="Calibri" w:cs="Calibri"/>
                <w:b/>
                <w:bCs/>
                <w:i/>
                <w:iCs/>
                <w:color w:val="D9D9D9" w:themeColor="background1" w:themeShade="D9"/>
                <w:sz w:val="14"/>
                <w:szCs w:val="14"/>
                <w:lang w:eastAsia="hr-HR"/>
              </w:rPr>
              <w:t>5</w:t>
            </w:r>
          </w:p>
        </w:tc>
        <w:tc>
          <w:tcPr>
            <w:tcW w:w="735" w:type="dxa"/>
            <w:tcBorders>
              <w:top w:val="single" w:sz="4" w:space="0" w:color="auto"/>
              <w:bottom w:val="single" w:sz="4" w:space="0" w:color="auto"/>
            </w:tcBorders>
            <w:shd w:val="clear" w:color="auto" w:fill="auto"/>
            <w:noWrap/>
            <w:vAlign w:val="center"/>
          </w:tcPr>
          <w:p w14:paraId="5AA27929"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ascii="Calibri" w:eastAsia="Times New Roman" w:hAnsi="Calibri" w:cs="Calibri"/>
                <w:b/>
                <w:bCs/>
                <w:i/>
                <w:iCs/>
                <w:color w:val="D9D9D9" w:themeColor="background1" w:themeShade="D9"/>
                <w:sz w:val="14"/>
                <w:szCs w:val="14"/>
                <w:lang w:eastAsia="hr-HR"/>
              </w:rPr>
              <w:t>6</w:t>
            </w:r>
          </w:p>
        </w:tc>
        <w:tc>
          <w:tcPr>
            <w:tcW w:w="735" w:type="dxa"/>
            <w:tcBorders>
              <w:top w:val="single" w:sz="4" w:space="0" w:color="auto"/>
              <w:bottom w:val="single" w:sz="4" w:space="0" w:color="auto"/>
            </w:tcBorders>
            <w:shd w:val="clear" w:color="auto" w:fill="auto"/>
            <w:noWrap/>
            <w:vAlign w:val="center"/>
          </w:tcPr>
          <w:p w14:paraId="260EF95B" w14:textId="77777777" w:rsidR="00EE3152" w:rsidRPr="00EE3152" w:rsidRDefault="00EE3152" w:rsidP="00DA5CEE">
            <w:pPr>
              <w:spacing w:before="100" w:beforeAutospacing="1" w:after="0" w:line="240" w:lineRule="auto"/>
              <w:jc w:val="center"/>
              <w:rPr>
                <w:rFonts w:ascii="Calibri" w:eastAsia="Times New Roman" w:hAnsi="Calibri" w:cs="Calibri"/>
                <w:b/>
                <w:bCs/>
                <w:sz w:val="14"/>
                <w:szCs w:val="14"/>
                <w:lang w:eastAsia="hr-HR"/>
              </w:rPr>
            </w:pPr>
            <w:r w:rsidRPr="00EE3152">
              <w:rPr>
                <w:rFonts w:ascii="Calibri" w:eastAsia="Times New Roman" w:hAnsi="Calibri" w:cs="Calibri"/>
                <w:b/>
                <w:bCs/>
                <w:i/>
                <w:iCs/>
                <w:color w:val="D9D9D9" w:themeColor="background1" w:themeShade="D9"/>
                <w:sz w:val="14"/>
                <w:szCs w:val="14"/>
                <w:lang w:eastAsia="hr-HR"/>
              </w:rPr>
              <w:t>7</w:t>
            </w:r>
          </w:p>
        </w:tc>
      </w:tr>
      <w:tr w:rsidR="001255CE" w:rsidRPr="00E274E5" w14:paraId="54DD8DDE" w14:textId="77777777" w:rsidTr="00341EBE">
        <w:trPr>
          <w:trHeight w:val="459"/>
        </w:trPr>
        <w:tc>
          <w:tcPr>
            <w:tcW w:w="728" w:type="dxa"/>
            <w:tcBorders>
              <w:top w:val="single" w:sz="4" w:space="0" w:color="auto"/>
            </w:tcBorders>
            <w:shd w:val="clear" w:color="auto" w:fill="auto"/>
            <w:noWrap/>
            <w:vAlign w:val="bottom"/>
          </w:tcPr>
          <w:p w14:paraId="1568BD49" w14:textId="77777777" w:rsidR="001255CE" w:rsidRPr="00EE3152" w:rsidRDefault="001255CE" w:rsidP="001255CE">
            <w:pPr>
              <w:spacing w:after="0" w:line="240" w:lineRule="auto"/>
              <w:rPr>
                <w:rFonts w:ascii="Calibri" w:eastAsia="Times New Roman" w:hAnsi="Calibri" w:cs="Calibri"/>
                <w:sz w:val="18"/>
                <w:szCs w:val="18"/>
                <w:lang w:eastAsia="hr-HR"/>
              </w:rPr>
            </w:pPr>
            <w:r w:rsidRPr="00EE3152">
              <w:rPr>
                <w:rFonts w:ascii="Calibri" w:eastAsia="Times New Roman" w:hAnsi="Calibri" w:cs="Calibri"/>
                <w:sz w:val="18"/>
                <w:szCs w:val="18"/>
                <w:lang w:eastAsia="hr-HR"/>
              </w:rPr>
              <w:t>1.2.10</w:t>
            </w:r>
          </w:p>
        </w:tc>
        <w:tc>
          <w:tcPr>
            <w:tcW w:w="2874" w:type="dxa"/>
            <w:tcBorders>
              <w:top w:val="single" w:sz="4" w:space="0" w:color="auto"/>
            </w:tcBorders>
            <w:shd w:val="clear" w:color="auto" w:fill="auto"/>
            <w:noWrap/>
            <w:vAlign w:val="bottom"/>
          </w:tcPr>
          <w:p w14:paraId="6E325D7A" w14:textId="77777777" w:rsidR="001255CE" w:rsidRPr="00EE3152" w:rsidRDefault="001255CE" w:rsidP="001255CE">
            <w:pPr>
              <w:spacing w:after="0" w:line="240" w:lineRule="auto"/>
              <w:rPr>
                <w:rFonts w:ascii="Calibri" w:eastAsia="Times New Roman" w:hAnsi="Calibri" w:cs="Calibri"/>
                <w:sz w:val="18"/>
                <w:szCs w:val="18"/>
                <w:lang w:eastAsia="hr-HR"/>
              </w:rPr>
            </w:pPr>
            <w:r w:rsidRPr="00EE3152">
              <w:rPr>
                <w:rFonts w:ascii="Calibri" w:eastAsia="Times New Roman" w:hAnsi="Calibri" w:cs="Calibri"/>
                <w:sz w:val="18"/>
                <w:szCs w:val="18"/>
                <w:lang w:eastAsia="hr-HR"/>
              </w:rPr>
              <w:t>Trošak zbrinjavanja GIO</w:t>
            </w:r>
          </w:p>
        </w:tc>
        <w:tc>
          <w:tcPr>
            <w:tcW w:w="1335" w:type="dxa"/>
            <w:tcBorders>
              <w:top w:val="single" w:sz="4" w:space="0" w:color="auto"/>
            </w:tcBorders>
            <w:shd w:val="clear" w:color="auto" w:fill="auto"/>
            <w:noWrap/>
            <w:vAlign w:val="bottom"/>
          </w:tcPr>
          <w:p w14:paraId="1D3907DC" w14:textId="370573A3" w:rsidR="001255CE" w:rsidRPr="001255CE" w:rsidRDefault="001255CE" w:rsidP="001255CE">
            <w:pPr>
              <w:spacing w:after="0" w:line="240" w:lineRule="auto"/>
              <w:jc w:val="center"/>
              <w:rPr>
                <w:rFonts w:eastAsia="Times New Roman" w:cstheme="minorHAnsi"/>
                <w:sz w:val="18"/>
                <w:szCs w:val="18"/>
                <w:lang w:eastAsia="hr-HR"/>
              </w:rPr>
            </w:pPr>
            <w:r w:rsidRPr="001255CE">
              <w:rPr>
                <w:rFonts w:ascii="Calibri" w:hAnsi="Calibri" w:cs="Calibri"/>
                <w:sz w:val="18"/>
                <w:szCs w:val="18"/>
              </w:rPr>
              <w:t>1.263.700</w:t>
            </w:r>
          </w:p>
        </w:tc>
        <w:tc>
          <w:tcPr>
            <w:tcW w:w="1167" w:type="dxa"/>
            <w:tcBorders>
              <w:top w:val="single" w:sz="4" w:space="0" w:color="auto"/>
            </w:tcBorders>
            <w:shd w:val="clear" w:color="auto" w:fill="auto"/>
            <w:noWrap/>
            <w:vAlign w:val="bottom"/>
          </w:tcPr>
          <w:p w14:paraId="2FEF4430" w14:textId="0324855C" w:rsidR="001255CE" w:rsidRPr="001255CE" w:rsidRDefault="001255CE" w:rsidP="001255CE">
            <w:pPr>
              <w:spacing w:after="0" w:line="240" w:lineRule="auto"/>
              <w:jc w:val="center"/>
              <w:rPr>
                <w:rFonts w:eastAsia="Times New Roman" w:cstheme="minorHAnsi"/>
                <w:sz w:val="18"/>
                <w:szCs w:val="18"/>
                <w:lang w:eastAsia="hr-HR"/>
              </w:rPr>
            </w:pPr>
            <w:r w:rsidRPr="001255CE">
              <w:rPr>
                <w:rFonts w:ascii="Calibri" w:hAnsi="Calibri" w:cs="Calibri"/>
                <w:sz w:val="18"/>
                <w:szCs w:val="18"/>
              </w:rPr>
              <w:t>1.794.183</w:t>
            </w:r>
          </w:p>
        </w:tc>
        <w:tc>
          <w:tcPr>
            <w:tcW w:w="1478" w:type="dxa"/>
            <w:tcBorders>
              <w:top w:val="single" w:sz="4" w:space="0" w:color="auto"/>
            </w:tcBorders>
            <w:shd w:val="clear" w:color="auto" w:fill="auto"/>
            <w:noWrap/>
            <w:vAlign w:val="bottom"/>
          </w:tcPr>
          <w:p w14:paraId="0917A0EF" w14:textId="0D4FC87F" w:rsidR="001255CE" w:rsidRPr="001255CE" w:rsidRDefault="001255CE" w:rsidP="001255CE">
            <w:pPr>
              <w:spacing w:after="0" w:line="240" w:lineRule="auto"/>
              <w:jc w:val="center"/>
              <w:rPr>
                <w:rFonts w:eastAsia="Times New Roman" w:cstheme="minorHAnsi"/>
                <w:sz w:val="18"/>
                <w:szCs w:val="18"/>
                <w:lang w:eastAsia="hr-HR"/>
              </w:rPr>
            </w:pPr>
            <w:r w:rsidRPr="001255CE">
              <w:rPr>
                <w:rFonts w:ascii="Calibri" w:hAnsi="Calibri" w:cs="Calibri"/>
                <w:sz w:val="18"/>
                <w:szCs w:val="18"/>
              </w:rPr>
              <w:t>1.742.227</w:t>
            </w:r>
          </w:p>
        </w:tc>
        <w:tc>
          <w:tcPr>
            <w:tcW w:w="735" w:type="dxa"/>
            <w:tcBorders>
              <w:top w:val="single" w:sz="4" w:space="0" w:color="auto"/>
            </w:tcBorders>
            <w:shd w:val="clear" w:color="auto" w:fill="auto"/>
            <w:noWrap/>
            <w:vAlign w:val="bottom"/>
          </w:tcPr>
          <w:p w14:paraId="6A85ACD7" w14:textId="3EEFC1BD" w:rsidR="001255CE" w:rsidRPr="001255CE" w:rsidRDefault="001255CE" w:rsidP="001255CE">
            <w:pPr>
              <w:spacing w:after="0" w:line="240" w:lineRule="auto"/>
              <w:jc w:val="center"/>
              <w:rPr>
                <w:rFonts w:eastAsia="Times New Roman" w:cstheme="minorHAnsi"/>
                <w:sz w:val="18"/>
                <w:szCs w:val="18"/>
                <w:lang w:eastAsia="hr-HR"/>
              </w:rPr>
            </w:pPr>
            <w:r w:rsidRPr="001255CE">
              <w:rPr>
                <w:rFonts w:ascii="Calibri" w:hAnsi="Calibri" w:cs="Calibri"/>
                <w:sz w:val="18"/>
                <w:szCs w:val="18"/>
              </w:rPr>
              <w:t>138%</w:t>
            </w:r>
          </w:p>
        </w:tc>
        <w:tc>
          <w:tcPr>
            <w:tcW w:w="735" w:type="dxa"/>
            <w:tcBorders>
              <w:top w:val="single" w:sz="4" w:space="0" w:color="auto"/>
            </w:tcBorders>
            <w:shd w:val="clear" w:color="auto" w:fill="auto"/>
            <w:noWrap/>
            <w:vAlign w:val="bottom"/>
          </w:tcPr>
          <w:p w14:paraId="2544A0E7" w14:textId="0291AB92" w:rsidR="001255CE" w:rsidRPr="001255CE" w:rsidRDefault="001255CE" w:rsidP="001255CE">
            <w:pPr>
              <w:spacing w:after="0" w:line="240" w:lineRule="auto"/>
              <w:jc w:val="center"/>
              <w:rPr>
                <w:rFonts w:eastAsia="Times New Roman" w:cstheme="minorHAnsi"/>
                <w:sz w:val="18"/>
                <w:szCs w:val="18"/>
                <w:lang w:eastAsia="hr-HR"/>
              </w:rPr>
            </w:pPr>
            <w:r w:rsidRPr="001255CE">
              <w:rPr>
                <w:rFonts w:ascii="Calibri" w:hAnsi="Calibri" w:cs="Calibri"/>
                <w:sz w:val="18"/>
                <w:szCs w:val="18"/>
              </w:rPr>
              <w:t>97%</w:t>
            </w:r>
          </w:p>
        </w:tc>
      </w:tr>
    </w:tbl>
    <w:p w14:paraId="52985038" w14:textId="77777777" w:rsidR="00EE3152" w:rsidRPr="00E274E5" w:rsidRDefault="00EE3152" w:rsidP="00EE3152"/>
    <w:p w14:paraId="7EF54677" w14:textId="77777777" w:rsidR="00B80C5E" w:rsidRPr="00B80C5E" w:rsidRDefault="00B80C5E" w:rsidP="00B80C5E">
      <w:pPr>
        <w:spacing w:line="360" w:lineRule="auto"/>
        <w:jc w:val="both"/>
        <w:rPr>
          <w:rFonts w:cstheme="minorHAnsi"/>
        </w:rPr>
      </w:pPr>
      <w:r w:rsidRPr="00B80C5E">
        <w:rPr>
          <w:rFonts w:cstheme="minorHAnsi"/>
        </w:rPr>
        <w:t>Trošak zbrinjavanja goriva iz otpada u 2024. godini iznosi 1.742.227 eura, što predstavlja porast od 38% u odnosu na 2023. godinu. U odnosu na rebalans plana, ostvaren je na razini 97% planiranih troškova.</w:t>
      </w:r>
    </w:p>
    <w:p w14:paraId="7D80035F" w14:textId="436714FA" w:rsidR="001255CE" w:rsidRPr="00095BF3" w:rsidRDefault="00B80C5E" w:rsidP="00515EA6">
      <w:pPr>
        <w:spacing w:line="360" w:lineRule="auto"/>
        <w:jc w:val="both"/>
        <w:rPr>
          <w:rFonts w:cstheme="minorHAnsi"/>
        </w:rPr>
      </w:pPr>
      <w:r w:rsidRPr="00B80C5E">
        <w:rPr>
          <w:rFonts w:cstheme="minorHAnsi"/>
        </w:rPr>
        <w:t>Tijekom 2024. godine zbrinuto je ukupno 8.985 tona goriva iz otpada, dok je u 2023. godini ta količina iznosila 6.516 tona. To predstavlja povećanje od 2.469 tona, što je u skladu s rastom troškova za ovu kategoriju.</w:t>
      </w:r>
    </w:p>
    <w:p w14:paraId="08E5C194" w14:textId="3A1E2F02" w:rsidR="007F79F9" w:rsidRPr="007F79F9" w:rsidRDefault="007F79F9" w:rsidP="00732D5D">
      <w:pPr>
        <w:pStyle w:val="Caption"/>
        <w:spacing w:before="360" w:after="120" w:line="360" w:lineRule="auto"/>
        <w:jc w:val="both"/>
        <w:rPr>
          <w:rFonts w:asciiTheme="minorHAnsi" w:hAnsiTheme="minorHAnsi" w:cstheme="minorHAnsi"/>
          <w:b w:val="0"/>
          <w:bCs w:val="0"/>
          <w:sz w:val="22"/>
          <w:szCs w:val="22"/>
        </w:rPr>
      </w:pPr>
      <w:bookmarkStart w:id="71" w:name="_Toc200366469"/>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31</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reprezentacije</w:t>
      </w:r>
      <w:bookmarkEnd w:id="71"/>
    </w:p>
    <w:tbl>
      <w:tblPr>
        <w:tblW w:w="918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39"/>
        <w:gridCol w:w="2916"/>
        <w:gridCol w:w="1355"/>
        <w:gridCol w:w="1184"/>
        <w:gridCol w:w="1500"/>
        <w:gridCol w:w="745"/>
        <w:gridCol w:w="745"/>
      </w:tblGrid>
      <w:tr w:rsidR="00341EBE" w:rsidRPr="007F79F9" w14:paraId="0AE9E676" w14:textId="77777777" w:rsidTr="00341EBE">
        <w:trPr>
          <w:trHeight w:val="642"/>
        </w:trPr>
        <w:tc>
          <w:tcPr>
            <w:tcW w:w="739" w:type="dxa"/>
            <w:tcBorders>
              <w:top w:val="single" w:sz="4" w:space="0" w:color="auto"/>
              <w:bottom w:val="single" w:sz="4" w:space="0" w:color="auto"/>
            </w:tcBorders>
            <w:shd w:val="clear" w:color="auto" w:fill="auto"/>
            <w:noWrap/>
            <w:vAlign w:val="center"/>
            <w:hideMark/>
          </w:tcPr>
          <w:p w14:paraId="71400009" w14:textId="2B427C80" w:rsidR="00341EBE" w:rsidRPr="007F79F9" w:rsidRDefault="00341EBE" w:rsidP="00341EBE">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2916" w:type="dxa"/>
            <w:tcBorders>
              <w:top w:val="single" w:sz="4" w:space="0" w:color="auto"/>
              <w:bottom w:val="single" w:sz="4" w:space="0" w:color="auto"/>
            </w:tcBorders>
            <w:shd w:val="clear" w:color="auto" w:fill="auto"/>
            <w:noWrap/>
            <w:vAlign w:val="center"/>
            <w:hideMark/>
          </w:tcPr>
          <w:p w14:paraId="3F4E5F18" w14:textId="461111C5" w:rsidR="00341EBE" w:rsidRPr="007F79F9" w:rsidRDefault="00341EBE" w:rsidP="00341EBE">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55" w:type="dxa"/>
            <w:tcBorders>
              <w:top w:val="single" w:sz="4" w:space="0" w:color="auto"/>
              <w:bottom w:val="single" w:sz="4" w:space="0" w:color="auto"/>
            </w:tcBorders>
            <w:shd w:val="clear" w:color="auto" w:fill="auto"/>
            <w:noWrap/>
            <w:vAlign w:val="center"/>
            <w:hideMark/>
          </w:tcPr>
          <w:p w14:paraId="3CA2DF14" w14:textId="557BE9A7" w:rsidR="00341EBE" w:rsidRPr="007F79F9" w:rsidRDefault="00341EBE" w:rsidP="00341EBE">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84" w:type="dxa"/>
            <w:tcBorders>
              <w:top w:val="single" w:sz="4" w:space="0" w:color="auto"/>
              <w:bottom w:val="single" w:sz="4" w:space="0" w:color="auto"/>
            </w:tcBorders>
            <w:shd w:val="clear" w:color="auto" w:fill="auto"/>
            <w:noWrap/>
            <w:vAlign w:val="center"/>
            <w:hideMark/>
          </w:tcPr>
          <w:p w14:paraId="4F54E76B" w14:textId="0857938E" w:rsidR="00341EBE" w:rsidRPr="007F79F9" w:rsidRDefault="00341EBE" w:rsidP="00341EBE">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500" w:type="dxa"/>
            <w:tcBorders>
              <w:top w:val="single" w:sz="4" w:space="0" w:color="auto"/>
              <w:bottom w:val="single" w:sz="4" w:space="0" w:color="auto"/>
            </w:tcBorders>
            <w:shd w:val="clear" w:color="auto" w:fill="auto"/>
            <w:noWrap/>
            <w:vAlign w:val="center"/>
            <w:hideMark/>
          </w:tcPr>
          <w:p w14:paraId="073ED5F5" w14:textId="6537775C" w:rsidR="00341EBE" w:rsidRPr="007F79F9" w:rsidRDefault="00341EBE" w:rsidP="00341EBE">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45" w:type="dxa"/>
            <w:tcBorders>
              <w:top w:val="single" w:sz="4" w:space="0" w:color="auto"/>
              <w:bottom w:val="single" w:sz="4" w:space="0" w:color="auto"/>
            </w:tcBorders>
            <w:shd w:val="clear" w:color="auto" w:fill="auto"/>
            <w:noWrap/>
            <w:vAlign w:val="center"/>
            <w:hideMark/>
          </w:tcPr>
          <w:p w14:paraId="10A2C291" w14:textId="51776D44" w:rsidR="00341EBE" w:rsidRPr="007F79F9" w:rsidRDefault="00341EBE" w:rsidP="00341EBE">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45" w:type="dxa"/>
            <w:tcBorders>
              <w:top w:val="single" w:sz="4" w:space="0" w:color="auto"/>
              <w:bottom w:val="single" w:sz="4" w:space="0" w:color="auto"/>
            </w:tcBorders>
            <w:shd w:val="clear" w:color="auto" w:fill="auto"/>
            <w:noWrap/>
            <w:vAlign w:val="center"/>
            <w:hideMark/>
          </w:tcPr>
          <w:p w14:paraId="4F0EEEBF" w14:textId="53C6B6D5" w:rsidR="00341EBE" w:rsidRPr="007F79F9" w:rsidRDefault="00341EBE" w:rsidP="00341EBE">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7F79F9" w:rsidRPr="007F79F9" w14:paraId="3D5605CB" w14:textId="77777777" w:rsidTr="00341EBE">
        <w:trPr>
          <w:trHeight w:val="174"/>
        </w:trPr>
        <w:tc>
          <w:tcPr>
            <w:tcW w:w="739" w:type="dxa"/>
            <w:tcBorders>
              <w:top w:val="single" w:sz="4" w:space="0" w:color="auto"/>
              <w:bottom w:val="single" w:sz="4" w:space="0" w:color="auto"/>
            </w:tcBorders>
            <w:shd w:val="clear" w:color="auto" w:fill="auto"/>
            <w:noWrap/>
            <w:vAlign w:val="center"/>
          </w:tcPr>
          <w:p w14:paraId="00879641" w14:textId="6501F321" w:rsidR="007F79F9" w:rsidRPr="00941FB7" w:rsidRDefault="007F79F9" w:rsidP="00BF00B9">
            <w:pPr>
              <w:spacing w:after="0" w:line="240" w:lineRule="auto"/>
              <w:jc w:val="center"/>
              <w:rPr>
                <w:rFonts w:eastAsia="Times New Roman" w:cstheme="minorHAnsi"/>
                <w:b/>
                <w:bCs/>
                <w:sz w:val="14"/>
                <w:szCs w:val="14"/>
                <w:lang w:eastAsia="hr-HR"/>
              </w:rPr>
            </w:pPr>
            <w:r w:rsidRPr="00941FB7">
              <w:rPr>
                <w:color w:val="D9D9D9" w:themeColor="background1" w:themeShade="D9"/>
                <w:sz w:val="14"/>
                <w:szCs w:val="14"/>
                <w:lang w:eastAsia="hr-HR"/>
              </w:rPr>
              <w:t>1</w:t>
            </w:r>
          </w:p>
        </w:tc>
        <w:tc>
          <w:tcPr>
            <w:tcW w:w="2916" w:type="dxa"/>
            <w:tcBorders>
              <w:top w:val="single" w:sz="4" w:space="0" w:color="auto"/>
              <w:bottom w:val="single" w:sz="4" w:space="0" w:color="auto"/>
            </w:tcBorders>
            <w:shd w:val="clear" w:color="auto" w:fill="auto"/>
            <w:noWrap/>
            <w:vAlign w:val="center"/>
          </w:tcPr>
          <w:p w14:paraId="6C9BE678" w14:textId="16D91CA5" w:rsidR="007F79F9" w:rsidRPr="00941FB7" w:rsidRDefault="007F79F9" w:rsidP="007F79F9">
            <w:pPr>
              <w:spacing w:after="0" w:line="240" w:lineRule="auto"/>
              <w:jc w:val="center"/>
              <w:rPr>
                <w:rFonts w:eastAsia="Times New Roman" w:cstheme="minorHAnsi"/>
                <w:b/>
                <w:bCs/>
                <w:sz w:val="14"/>
                <w:szCs w:val="14"/>
                <w:lang w:eastAsia="hr-HR"/>
              </w:rPr>
            </w:pPr>
            <w:r w:rsidRPr="00941FB7">
              <w:rPr>
                <w:color w:val="D9D9D9" w:themeColor="background1" w:themeShade="D9"/>
                <w:sz w:val="14"/>
                <w:szCs w:val="14"/>
                <w:lang w:eastAsia="hr-HR"/>
              </w:rPr>
              <w:t>2</w:t>
            </w:r>
          </w:p>
        </w:tc>
        <w:tc>
          <w:tcPr>
            <w:tcW w:w="1355" w:type="dxa"/>
            <w:tcBorders>
              <w:top w:val="single" w:sz="4" w:space="0" w:color="auto"/>
              <w:bottom w:val="single" w:sz="4" w:space="0" w:color="auto"/>
            </w:tcBorders>
            <w:shd w:val="clear" w:color="auto" w:fill="auto"/>
            <w:noWrap/>
            <w:vAlign w:val="center"/>
          </w:tcPr>
          <w:p w14:paraId="33E585E7" w14:textId="222CAFBF" w:rsidR="007F79F9" w:rsidRPr="00941FB7" w:rsidRDefault="007F79F9" w:rsidP="007F79F9">
            <w:pPr>
              <w:spacing w:after="0" w:line="240" w:lineRule="auto"/>
              <w:jc w:val="center"/>
              <w:rPr>
                <w:rFonts w:ascii="Calibri" w:eastAsia="Times New Roman" w:hAnsi="Calibri" w:cs="Calibri"/>
                <w:b/>
                <w:bCs/>
                <w:sz w:val="14"/>
                <w:szCs w:val="14"/>
                <w:lang w:eastAsia="hr-HR"/>
              </w:rPr>
            </w:pPr>
            <w:r w:rsidRPr="00941FB7">
              <w:rPr>
                <w:color w:val="D9D9D9" w:themeColor="background1" w:themeShade="D9"/>
                <w:sz w:val="14"/>
                <w:szCs w:val="14"/>
                <w:lang w:eastAsia="hr-HR"/>
              </w:rPr>
              <w:t>3</w:t>
            </w:r>
          </w:p>
        </w:tc>
        <w:tc>
          <w:tcPr>
            <w:tcW w:w="1184" w:type="dxa"/>
            <w:tcBorders>
              <w:top w:val="single" w:sz="4" w:space="0" w:color="auto"/>
              <w:bottom w:val="single" w:sz="4" w:space="0" w:color="auto"/>
            </w:tcBorders>
            <w:shd w:val="clear" w:color="auto" w:fill="auto"/>
            <w:noWrap/>
            <w:vAlign w:val="center"/>
          </w:tcPr>
          <w:p w14:paraId="074EBB20" w14:textId="275F0901" w:rsidR="007F79F9" w:rsidRPr="00941FB7" w:rsidRDefault="007F79F9" w:rsidP="007F79F9">
            <w:pPr>
              <w:spacing w:after="0" w:line="240" w:lineRule="auto"/>
              <w:jc w:val="center"/>
              <w:rPr>
                <w:rFonts w:eastAsia="Times New Roman" w:cstheme="minorHAnsi"/>
                <w:b/>
                <w:bCs/>
                <w:sz w:val="14"/>
                <w:szCs w:val="14"/>
                <w:lang w:eastAsia="hr-HR"/>
              </w:rPr>
            </w:pPr>
            <w:r w:rsidRPr="00941FB7">
              <w:rPr>
                <w:color w:val="D9D9D9" w:themeColor="background1" w:themeShade="D9"/>
                <w:sz w:val="14"/>
                <w:szCs w:val="14"/>
                <w:lang w:eastAsia="hr-HR"/>
              </w:rPr>
              <w:t>4</w:t>
            </w:r>
          </w:p>
        </w:tc>
        <w:tc>
          <w:tcPr>
            <w:tcW w:w="1500" w:type="dxa"/>
            <w:tcBorders>
              <w:top w:val="single" w:sz="4" w:space="0" w:color="auto"/>
              <w:bottom w:val="single" w:sz="4" w:space="0" w:color="auto"/>
            </w:tcBorders>
            <w:shd w:val="clear" w:color="auto" w:fill="auto"/>
            <w:noWrap/>
            <w:vAlign w:val="center"/>
          </w:tcPr>
          <w:p w14:paraId="726D63AF" w14:textId="03E9444F" w:rsidR="007F79F9" w:rsidRPr="00941FB7" w:rsidRDefault="007F79F9" w:rsidP="007F79F9">
            <w:pPr>
              <w:spacing w:after="0" w:line="240" w:lineRule="auto"/>
              <w:jc w:val="center"/>
              <w:rPr>
                <w:rFonts w:ascii="Calibri" w:eastAsia="Times New Roman" w:hAnsi="Calibri" w:cs="Calibri"/>
                <w:b/>
                <w:bCs/>
                <w:sz w:val="14"/>
                <w:szCs w:val="14"/>
                <w:lang w:eastAsia="hr-HR"/>
              </w:rPr>
            </w:pPr>
            <w:r w:rsidRPr="00941FB7">
              <w:rPr>
                <w:color w:val="D9D9D9" w:themeColor="background1" w:themeShade="D9"/>
                <w:sz w:val="14"/>
                <w:szCs w:val="14"/>
                <w:lang w:eastAsia="hr-HR"/>
              </w:rPr>
              <w:t>5</w:t>
            </w:r>
          </w:p>
        </w:tc>
        <w:tc>
          <w:tcPr>
            <w:tcW w:w="745" w:type="dxa"/>
            <w:tcBorders>
              <w:top w:val="single" w:sz="4" w:space="0" w:color="auto"/>
              <w:bottom w:val="single" w:sz="4" w:space="0" w:color="auto"/>
            </w:tcBorders>
            <w:shd w:val="clear" w:color="auto" w:fill="auto"/>
            <w:noWrap/>
            <w:vAlign w:val="center"/>
          </w:tcPr>
          <w:p w14:paraId="69961F17" w14:textId="26EE2F1E" w:rsidR="007F79F9" w:rsidRPr="00941FB7" w:rsidRDefault="007F79F9" w:rsidP="007F79F9">
            <w:pPr>
              <w:spacing w:after="0" w:line="240" w:lineRule="auto"/>
              <w:jc w:val="center"/>
              <w:rPr>
                <w:rFonts w:ascii="Calibri" w:eastAsia="Times New Roman" w:hAnsi="Calibri" w:cs="Calibri"/>
                <w:b/>
                <w:bCs/>
                <w:color w:val="000000"/>
                <w:sz w:val="14"/>
                <w:szCs w:val="14"/>
                <w:lang w:eastAsia="hr-HR"/>
              </w:rPr>
            </w:pPr>
            <w:r w:rsidRPr="00941FB7">
              <w:rPr>
                <w:color w:val="D9D9D9" w:themeColor="background1" w:themeShade="D9"/>
                <w:sz w:val="14"/>
                <w:szCs w:val="14"/>
                <w:lang w:eastAsia="hr-HR"/>
              </w:rPr>
              <w:t>6</w:t>
            </w:r>
          </w:p>
        </w:tc>
        <w:tc>
          <w:tcPr>
            <w:tcW w:w="745" w:type="dxa"/>
            <w:tcBorders>
              <w:top w:val="single" w:sz="4" w:space="0" w:color="auto"/>
              <w:bottom w:val="single" w:sz="4" w:space="0" w:color="auto"/>
            </w:tcBorders>
            <w:shd w:val="clear" w:color="auto" w:fill="auto"/>
            <w:noWrap/>
            <w:vAlign w:val="center"/>
          </w:tcPr>
          <w:p w14:paraId="3F33B290" w14:textId="1A925004" w:rsidR="007F79F9" w:rsidRPr="00941FB7" w:rsidRDefault="007F79F9" w:rsidP="007F79F9">
            <w:pPr>
              <w:spacing w:after="0" w:line="240" w:lineRule="auto"/>
              <w:jc w:val="center"/>
              <w:rPr>
                <w:rFonts w:ascii="Calibri" w:eastAsia="Times New Roman" w:hAnsi="Calibri" w:cs="Calibri"/>
                <w:b/>
                <w:bCs/>
                <w:color w:val="000000"/>
                <w:sz w:val="14"/>
                <w:szCs w:val="14"/>
                <w:lang w:eastAsia="hr-HR"/>
              </w:rPr>
            </w:pPr>
            <w:r w:rsidRPr="00941FB7">
              <w:rPr>
                <w:color w:val="D9D9D9" w:themeColor="background1" w:themeShade="D9"/>
                <w:sz w:val="14"/>
                <w:szCs w:val="14"/>
                <w:lang w:eastAsia="hr-HR"/>
              </w:rPr>
              <w:t>7</w:t>
            </w:r>
          </w:p>
        </w:tc>
      </w:tr>
      <w:tr w:rsidR="00341EBE" w:rsidRPr="007F79F9" w14:paraId="3BB82FEC" w14:textId="77777777" w:rsidTr="00341EBE">
        <w:trPr>
          <w:trHeight w:val="408"/>
        </w:trPr>
        <w:tc>
          <w:tcPr>
            <w:tcW w:w="739" w:type="dxa"/>
            <w:tcBorders>
              <w:top w:val="single" w:sz="4" w:space="0" w:color="auto"/>
            </w:tcBorders>
            <w:shd w:val="clear" w:color="auto" w:fill="auto"/>
            <w:noWrap/>
            <w:vAlign w:val="bottom"/>
            <w:hideMark/>
          </w:tcPr>
          <w:p w14:paraId="4A3B04DF" w14:textId="77777777" w:rsidR="00341EBE" w:rsidRPr="00941FB7" w:rsidRDefault="00341EBE" w:rsidP="00341EBE">
            <w:pPr>
              <w:spacing w:before="120" w:after="0" w:line="240" w:lineRule="auto"/>
              <w:rPr>
                <w:rFonts w:eastAsia="Times New Roman" w:cstheme="minorHAnsi"/>
                <w:sz w:val="18"/>
                <w:szCs w:val="18"/>
                <w:lang w:eastAsia="hr-HR"/>
              </w:rPr>
            </w:pPr>
            <w:r w:rsidRPr="00941FB7">
              <w:rPr>
                <w:rFonts w:eastAsia="Times New Roman" w:cstheme="minorHAnsi"/>
                <w:sz w:val="18"/>
                <w:szCs w:val="18"/>
                <w:lang w:eastAsia="hr-HR"/>
              </w:rPr>
              <w:t>1.2.11</w:t>
            </w:r>
          </w:p>
        </w:tc>
        <w:tc>
          <w:tcPr>
            <w:tcW w:w="2916" w:type="dxa"/>
            <w:tcBorders>
              <w:top w:val="single" w:sz="4" w:space="0" w:color="auto"/>
            </w:tcBorders>
            <w:shd w:val="clear" w:color="auto" w:fill="auto"/>
            <w:noWrap/>
            <w:vAlign w:val="bottom"/>
            <w:hideMark/>
          </w:tcPr>
          <w:p w14:paraId="5536CE34" w14:textId="77777777" w:rsidR="00341EBE" w:rsidRPr="00941FB7" w:rsidRDefault="00341EBE" w:rsidP="00341EBE">
            <w:pPr>
              <w:spacing w:before="120" w:after="0" w:line="240" w:lineRule="auto"/>
              <w:rPr>
                <w:rFonts w:eastAsia="Times New Roman" w:cstheme="minorHAnsi"/>
                <w:sz w:val="18"/>
                <w:szCs w:val="18"/>
                <w:lang w:eastAsia="hr-HR"/>
              </w:rPr>
            </w:pPr>
            <w:r w:rsidRPr="00941FB7">
              <w:rPr>
                <w:rFonts w:eastAsia="Times New Roman" w:cstheme="minorHAnsi"/>
                <w:sz w:val="18"/>
                <w:szCs w:val="18"/>
                <w:lang w:eastAsia="hr-HR"/>
              </w:rPr>
              <w:t>Reprezentacija</w:t>
            </w:r>
          </w:p>
        </w:tc>
        <w:tc>
          <w:tcPr>
            <w:tcW w:w="1355" w:type="dxa"/>
            <w:tcBorders>
              <w:top w:val="single" w:sz="4" w:space="0" w:color="auto"/>
            </w:tcBorders>
            <w:shd w:val="clear" w:color="auto" w:fill="auto"/>
            <w:noWrap/>
            <w:vAlign w:val="bottom"/>
            <w:hideMark/>
          </w:tcPr>
          <w:p w14:paraId="32919003" w14:textId="51F1696E" w:rsidR="00341EBE" w:rsidRPr="00341EBE" w:rsidRDefault="00341EBE" w:rsidP="00341EBE">
            <w:pPr>
              <w:spacing w:before="120" w:after="0" w:line="240" w:lineRule="auto"/>
              <w:jc w:val="center"/>
              <w:rPr>
                <w:rFonts w:eastAsia="Times New Roman" w:cstheme="minorHAnsi"/>
                <w:sz w:val="18"/>
                <w:szCs w:val="18"/>
                <w:lang w:eastAsia="hr-HR"/>
              </w:rPr>
            </w:pPr>
            <w:r w:rsidRPr="00341EBE">
              <w:rPr>
                <w:rFonts w:ascii="Calibri" w:hAnsi="Calibri" w:cs="Calibri"/>
                <w:sz w:val="18"/>
                <w:szCs w:val="18"/>
              </w:rPr>
              <w:t>3.627</w:t>
            </w:r>
          </w:p>
        </w:tc>
        <w:tc>
          <w:tcPr>
            <w:tcW w:w="1184" w:type="dxa"/>
            <w:tcBorders>
              <w:top w:val="single" w:sz="4" w:space="0" w:color="auto"/>
            </w:tcBorders>
            <w:shd w:val="clear" w:color="auto" w:fill="auto"/>
            <w:noWrap/>
            <w:vAlign w:val="bottom"/>
            <w:hideMark/>
          </w:tcPr>
          <w:p w14:paraId="154E84E1" w14:textId="3ABDB6E6" w:rsidR="00341EBE" w:rsidRPr="00341EBE" w:rsidRDefault="00341EBE" w:rsidP="00341EBE">
            <w:pPr>
              <w:spacing w:before="120" w:after="0" w:line="240" w:lineRule="auto"/>
              <w:jc w:val="center"/>
              <w:rPr>
                <w:rFonts w:eastAsia="Times New Roman" w:cstheme="minorHAnsi"/>
                <w:sz w:val="18"/>
                <w:szCs w:val="18"/>
                <w:lang w:eastAsia="hr-HR"/>
              </w:rPr>
            </w:pPr>
            <w:r w:rsidRPr="00341EBE">
              <w:rPr>
                <w:rFonts w:ascii="Calibri" w:hAnsi="Calibri" w:cs="Calibri"/>
                <w:sz w:val="18"/>
                <w:szCs w:val="18"/>
              </w:rPr>
              <w:t>6.500</w:t>
            </w:r>
          </w:p>
        </w:tc>
        <w:tc>
          <w:tcPr>
            <w:tcW w:w="1500" w:type="dxa"/>
            <w:tcBorders>
              <w:top w:val="single" w:sz="4" w:space="0" w:color="auto"/>
            </w:tcBorders>
            <w:shd w:val="clear" w:color="auto" w:fill="auto"/>
            <w:noWrap/>
            <w:vAlign w:val="bottom"/>
            <w:hideMark/>
          </w:tcPr>
          <w:p w14:paraId="004C71A7" w14:textId="79EF03FF" w:rsidR="00341EBE" w:rsidRPr="00341EBE" w:rsidRDefault="00341EBE" w:rsidP="00341EBE">
            <w:pPr>
              <w:spacing w:before="120" w:after="0" w:line="240" w:lineRule="auto"/>
              <w:jc w:val="center"/>
              <w:rPr>
                <w:rFonts w:eastAsia="Times New Roman" w:cstheme="minorHAnsi"/>
                <w:sz w:val="18"/>
                <w:szCs w:val="18"/>
                <w:lang w:eastAsia="hr-HR"/>
              </w:rPr>
            </w:pPr>
            <w:r w:rsidRPr="00341EBE">
              <w:rPr>
                <w:rFonts w:ascii="Calibri" w:hAnsi="Calibri" w:cs="Calibri"/>
                <w:sz w:val="18"/>
                <w:szCs w:val="18"/>
              </w:rPr>
              <w:t>7.555</w:t>
            </w:r>
          </w:p>
        </w:tc>
        <w:tc>
          <w:tcPr>
            <w:tcW w:w="745" w:type="dxa"/>
            <w:tcBorders>
              <w:top w:val="single" w:sz="4" w:space="0" w:color="auto"/>
            </w:tcBorders>
            <w:shd w:val="clear" w:color="auto" w:fill="auto"/>
            <w:noWrap/>
            <w:vAlign w:val="bottom"/>
            <w:hideMark/>
          </w:tcPr>
          <w:p w14:paraId="0FB0B2D7" w14:textId="06CB75EC" w:rsidR="00341EBE" w:rsidRPr="00341EBE" w:rsidRDefault="00341EBE" w:rsidP="00341EBE">
            <w:pPr>
              <w:spacing w:before="120" w:after="0" w:line="240" w:lineRule="auto"/>
              <w:jc w:val="center"/>
              <w:rPr>
                <w:rFonts w:eastAsia="Times New Roman" w:cstheme="minorHAnsi"/>
                <w:sz w:val="18"/>
                <w:szCs w:val="18"/>
                <w:lang w:eastAsia="hr-HR"/>
              </w:rPr>
            </w:pPr>
            <w:r w:rsidRPr="00341EBE">
              <w:rPr>
                <w:rFonts w:ascii="Calibri" w:hAnsi="Calibri" w:cs="Calibri"/>
                <w:sz w:val="18"/>
                <w:szCs w:val="18"/>
              </w:rPr>
              <w:t>208%</w:t>
            </w:r>
          </w:p>
        </w:tc>
        <w:tc>
          <w:tcPr>
            <w:tcW w:w="745" w:type="dxa"/>
            <w:tcBorders>
              <w:top w:val="single" w:sz="4" w:space="0" w:color="auto"/>
            </w:tcBorders>
            <w:shd w:val="clear" w:color="auto" w:fill="auto"/>
            <w:noWrap/>
            <w:vAlign w:val="bottom"/>
            <w:hideMark/>
          </w:tcPr>
          <w:p w14:paraId="08C9AB2A" w14:textId="76A676F7" w:rsidR="00341EBE" w:rsidRPr="00341EBE" w:rsidRDefault="00341EBE" w:rsidP="00341EBE">
            <w:pPr>
              <w:spacing w:before="120" w:after="0" w:line="240" w:lineRule="auto"/>
              <w:jc w:val="center"/>
              <w:rPr>
                <w:rFonts w:eastAsia="Times New Roman" w:cstheme="minorHAnsi"/>
                <w:sz w:val="18"/>
                <w:szCs w:val="18"/>
                <w:lang w:eastAsia="hr-HR"/>
              </w:rPr>
            </w:pPr>
            <w:r w:rsidRPr="00341EBE">
              <w:rPr>
                <w:rFonts w:ascii="Calibri" w:hAnsi="Calibri" w:cs="Calibri"/>
                <w:sz w:val="18"/>
                <w:szCs w:val="18"/>
              </w:rPr>
              <w:t>116%</w:t>
            </w:r>
          </w:p>
        </w:tc>
      </w:tr>
    </w:tbl>
    <w:p w14:paraId="24134F94" w14:textId="77777777" w:rsidR="007F79F9" w:rsidRPr="008E4612" w:rsidRDefault="007F79F9" w:rsidP="00840E6B">
      <w:pPr>
        <w:rPr>
          <w:color w:val="FF0000"/>
        </w:rPr>
      </w:pPr>
    </w:p>
    <w:p w14:paraId="736FF96F" w14:textId="41BDB5F6" w:rsidR="009B21FD" w:rsidRDefault="009B21FD" w:rsidP="009B21FD">
      <w:pPr>
        <w:pStyle w:val="Caption"/>
        <w:spacing w:before="240" w:after="240" w:line="360" w:lineRule="auto"/>
        <w:jc w:val="both"/>
        <w:rPr>
          <w:rFonts w:asciiTheme="minorHAnsi" w:eastAsiaTheme="minorHAnsi" w:hAnsiTheme="minorHAnsi" w:cstheme="minorBidi"/>
          <w:b w:val="0"/>
          <w:bCs w:val="0"/>
          <w:sz w:val="22"/>
          <w:szCs w:val="22"/>
        </w:rPr>
      </w:pPr>
      <w:r>
        <w:rPr>
          <w:rFonts w:asciiTheme="minorHAnsi" w:eastAsiaTheme="minorHAnsi" w:hAnsiTheme="minorHAnsi" w:cstheme="minorBidi"/>
          <w:b w:val="0"/>
          <w:bCs w:val="0"/>
          <w:sz w:val="22"/>
          <w:szCs w:val="22"/>
        </w:rPr>
        <w:t>T</w:t>
      </w:r>
      <w:r w:rsidRPr="009B21FD">
        <w:rPr>
          <w:rFonts w:asciiTheme="minorHAnsi" w:eastAsiaTheme="minorHAnsi" w:hAnsiTheme="minorHAnsi" w:cstheme="minorBidi"/>
          <w:b w:val="0"/>
          <w:bCs w:val="0"/>
          <w:sz w:val="22"/>
          <w:szCs w:val="22"/>
        </w:rPr>
        <w:t>roškovi reprezentacije u 2024. godini iznose 7.555 eura, što je  više u odnosu na 2023. godinu, kada su iznosili 3.627 eura. U odnosu na rebalans plana, koji je iznosio 6.500 eura, realizacija je veća za 16%.</w:t>
      </w:r>
    </w:p>
    <w:p w14:paraId="6DAAFF11" w14:textId="77777777" w:rsidR="009B21FD" w:rsidRDefault="009B21FD">
      <w:r>
        <w:rPr>
          <w:b/>
          <w:bCs/>
        </w:rPr>
        <w:br w:type="page"/>
      </w:r>
    </w:p>
    <w:p w14:paraId="10F9411E" w14:textId="3E2D6226" w:rsidR="00731CDB" w:rsidRPr="00731CDB" w:rsidRDefault="00731CDB" w:rsidP="00840E6B">
      <w:pPr>
        <w:pStyle w:val="Caption"/>
        <w:spacing w:before="240" w:after="240"/>
        <w:rPr>
          <w:rFonts w:cstheme="minorHAnsi"/>
        </w:rPr>
      </w:pPr>
      <w:bookmarkStart w:id="72" w:name="_Toc200366470"/>
      <w:r w:rsidRPr="00840E6B">
        <w:rPr>
          <w:rFonts w:asciiTheme="minorHAnsi" w:hAnsiTheme="minorHAnsi" w:cstheme="minorHAnsi"/>
          <w:sz w:val="22"/>
          <w:szCs w:val="22"/>
        </w:rPr>
        <w:lastRenderedPageBreak/>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32</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ostalih vanjskih usluga</w:t>
      </w:r>
      <w:bookmarkEnd w:id="72"/>
    </w:p>
    <w:tbl>
      <w:tblPr>
        <w:tblW w:w="928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3"/>
        <w:gridCol w:w="2888"/>
        <w:gridCol w:w="1341"/>
        <w:gridCol w:w="1173"/>
        <w:gridCol w:w="1485"/>
        <w:gridCol w:w="738"/>
        <w:gridCol w:w="738"/>
      </w:tblGrid>
      <w:tr w:rsidR="00732D5D" w:rsidRPr="00731CDB" w14:paraId="579E5C97" w14:textId="77777777" w:rsidTr="00732D5D">
        <w:trPr>
          <w:trHeight w:val="632"/>
        </w:trPr>
        <w:tc>
          <w:tcPr>
            <w:tcW w:w="923" w:type="dxa"/>
            <w:tcBorders>
              <w:top w:val="single" w:sz="4" w:space="0" w:color="auto"/>
              <w:bottom w:val="single" w:sz="4" w:space="0" w:color="auto"/>
            </w:tcBorders>
            <w:shd w:val="clear" w:color="auto" w:fill="auto"/>
            <w:noWrap/>
            <w:vAlign w:val="center"/>
            <w:hideMark/>
          </w:tcPr>
          <w:p w14:paraId="4543D6DE" w14:textId="2BA5A318" w:rsidR="00732D5D" w:rsidRPr="00840E6B" w:rsidRDefault="00732D5D" w:rsidP="00732D5D">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2888" w:type="dxa"/>
            <w:tcBorders>
              <w:top w:val="single" w:sz="4" w:space="0" w:color="auto"/>
              <w:bottom w:val="single" w:sz="4" w:space="0" w:color="auto"/>
            </w:tcBorders>
            <w:shd w:val="clear" w:color="auto" w:fill="auto"/>
            <w:noWrap/>
            <w:vAlign w:val="center"/>
            <w:hideMark/>
          </w:tcPr>
          <w:p w14:paraId="5696DA9D" w14:textId="075B3EF3" w:rsidR="00732D5D" w:rsidRPr="00840E6B" w:rsidRDefault="00732D5D" w:rsidP="00732D5D">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341" w:type="dxa"/>
            <w:tcBorders>
              <w:top w:val="single" w:sz="4" w:space="0" w:color="auto"/>
              <w:bottom w:val="single" w:sz="4" w:space="0" w:color="auto"/>
            </w:tcBorders>
            <w:shd w:val="clear" w:color="auto" w:fill="auto"/>
            <w:noWrap/>
            <w:vAlign w:val="center"/>
            <w:hideMark/>
          </w:tcPr>
          <w:p w14:paraId="744D9C50" w14:textId="3CCE61DA" w:rsidR="00732D5D" w:rsidRPr="00840E6B" w:rsidRDefault="00732D5D" w:rsidP="00732D5D">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173" w:type="dxa"/>
            <w:tcBorders>
              <w:top w:val="single" w:sz="4" w:space="0" w:color="auto"/>
              <w:bottom w:val="single" w:sz="4" w:space="0" w:color="auto"/>
            </w:tcBorders>
            <w:shd w:val="clear" w:color="auto" w:fill="auto"/>
            <w:noWrap/>
            <w:vAlign w:val="center"/>
            <w:hideMark/>
          </w:tcPr>
          <w:p w14:paraId="60729CC0" w14:textId="3445043D" w:rsidR="00732D5D" w:rsidRPr="00840E6B" w:rsidRDefault="00732D5D" w:rsidP="00732D5D">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485" w:type="dxa"/>
            <w:tcBorders>
              <w:top w:val="single" w:sz="4" w:space="0" w:color="auto"/>
              <w:bottom w:val="single" w:sz="4" w:space="0" w:color="auto"/>
            </w:tcBorders>
            <w:shd w:val="clear" w:color="auto" w:fill="auto"/>
            <w:noWrap/>
            <w:vAlign w:val="center"/>
            <w:hideMark/>
          </w:tcPr>
          <w:p w14:paraId="27F45CF9" w14:textId="2FCB3CB5" w:rsidR="00732D5D" w:rsidRPr="00840E6B" w:rsidRDefault="00732D5D" w:rsidP="00732D5D">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8" w:type="dxa"/>
            <w:tcBorders>
              <w:top w:val="single" w:sz="4" w:space="0" w:color="auto"/>
              <w:bottom w:val="single" w:sz="4" w:space="0" w:color="auto"/>
            </w:tcBorders>
            <w:shd w:val="clear" w:color="auto" w:fill="auto"/>
            <w:noWrap/>
            <w:vAlign w:val="center"/>
            <w:hideMark/>
          </w:tcPr>
          <w:p w14:paraId="649F9386" w14:textId="3338626C" w:rsidR="00732D5D" w:rsidRPr="00840E6B" w:rsidRDefault="00732D5D" w:rsidP="00732D5D">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8" w:type="dxa"/>
            <w:tcBorders>
              <w:top w:val="single" w:sz="4" w:space="0" w:color="auto"/>
              <w:bottom w:val="single" w:sz="4" w:space="0" w:color="auto"/>
            </w:tcBorders>
            <w:shd w:val="clear" w:color="auto" w:fill="auto"/>
            <w:noWrap/>
            <w:vAlign w:val="center"/>
            <w:hideMark/>
          </w:tcPr>
          <w:p w14:paraId="58EB5811" w14:textId="39DB9E36" w:rsidR="00732D5D" w:rsidRPr="00840E6B" w:rsidRDefault="00732D5D" w:rsidP="00732D5D">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BF00B9" w:rsidRPr="007B7D21" w14:paraId="0947B3B1" w14:textId="77777777" w:rsidTr="00732D5D">
        <w:trPr>
          <w:trHeight w:val="19"/>
        </w:trPr>
        <w:tc>
          <w:tcPr>
            <w:tcW w:w="923" w:type="dxa"/>
            <w:tcBorders>
              <w:top w:val="single" w:sz="4" w:space="0" w:color="auto"/>
              <w:bottom w:val="single" w:sz="4" w:space="0" w:color="auto"/>
            </w:tcBorders>
            <w:shd w:val="clear" w:color="auto" w:fill="auto"/>
            <w:noWrap/>
            <w:vAlign w:val="bottom"/>
          </w:tcPr>
          <w:p w14:paraId="1E71CFBE" w14:textId="567E104D"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1</w:t>
            </w:r>
          </w:p>
        </w:tc>
        <w:tc>
          <w:tcPr>
            <w:tcW w:w="2888" w:type="dxa"/>
            <w:tcBorders>
              <w:top w:val="single" w:sz="4" w:space="0" w:color="auto"/>
              <w:bottom w:val="single" w:sz="4" w:space="0" w:color="auto"/>
            </w:tcBorders>
            <w:shd w:val="clear" w:color="auto" w:fill="auto"/>
            <w:noWrap/>
            <w:vAlign w:val="bottom"/>
          </w:tcPr>
          <w:p w14:paraId="0F3B6B1E" w14:textId="3D442D5E"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2</w:t>
            </w:r>
          </w:p>
        </w:tc>
        <w:tc>
          <w:tcPr>
            <w:tcW w:w="1341" w:type="dxa"/>
            <w:tcBorders>
              <w:top w:val="single" w:sz="4" w:space="0" w:color="auto"/>
              <w:bottom w:val="single" w:sz="4" w:space="0" w:color="auto"/>
            </w:tcBorders>
            <w:shd w:val="clear" w:color="auto" w:fill="auto"/>
            <w:noWrap/>
            <w:vAlign w:val="bottom"/>
          </w:tcPr>
          <w:p w14:paraId="75890F20" w14:textId="7B8D4F5A"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3</w:t>
            </w:r>
          </w:p>
        </w:tc>
        <w:tc>
          <w:tcPr>
            <w:tcW w:w="1173" w:type="dxa"/>
            <w:tcBorders>
              <w:top w:val="single" w:sz="4" w:space="0" w:color="auto"/>
              <w:bottom w:val="single" w:sz="4" w:space="0" w:color="auto"/>
            </w:tcBorders>
            <w:shd w:val="clear" w:color="auto" w:fill="auto"/>
            <w:noWrap/>
            <w:vAlign w:val="bottom"/>
          </w:tcPr>
          <w:p w14:paraId="2616256E" w14:textId="772A3896"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4</w:t>
            </w:r>
          </w:p>
        </w:tc>
        <w:tc>
          <w:tcPr>
            <w:tcW w:w="1485" w:type="dxa"/>
            <w:tcBorders>
              <w:top w:val="single" w:sz="4" w:space="0" w:color="auto"/>
              <w:bottom w:val="single" w:sz="4" w:space="0" w:color="auto"/>
            </w:tcBorders>
            <w:shd w:val="clear" w:color="auto" w:fill="auto"/>
            <w:noWrap/>
            <w:vAlign w:val="bottom"/>
          </w:tcPr>
          <w:p w14:paraId="3AA6A888" w14:textId="29C9CD4D"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5</w:t>
            </w:r>
          </w:p>
        </w:tc>
        <w:tc>
          <w:tcPr>
            <w:tcW w:w="738" w:type="dxa"/>
            <w:tcBorders>
              <w:top w:val="single" w:sz="4" w:space="0" w:color="auto"/>
              <w:bottom w:val="single" w:sz="4" w:space="0" w:color="auto"/>
            </w:tcBorders>
            <w:shd w:val="clear" w:color="auto" w:fill="auto"/>
            <w:noWrap/>
            <w:vAlign w:val="bottom"/>
          </w:tcPr>
          <w:p w14:paraId="269C2C65" w14:textId="3DD5D1B9"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6</w:t>
            </w:r>
          </w:p>
        </w:tc>
        <w:tc>
          <w:tcPr>
            <w:tcW w:w="738" w:type="dxa"/>
            <w:tcBorders>
              <w:top w:val="single" w:sz="4" w:space="0" w:color="auto"/>
              <w:bottom w:val="single" w:sz="4" w:space="0" w:color="auto"/>
            </w:tcBorders>
            <w:shd w:val="clear" w:color="auto" w:fill="auto"/>
            <w:noWrap/>
            <w:vAlign w:val="bottom"/>
          </w:tcPr>
          <w:p w14:paraId="505FE101" w14:textId="4EDB7C60" w:rsidR="00BF00B9" w:rsidRPr="00732D5D" w:rsidRDefault="00BF00B9" w:rsidP="00732D5D">
            <w:pPr>
              <w:pStyle w:val="NoSpacing"/>
              <w:jc w:val="center"/>
              <w:rPr>
                <w:rFonts w:eastAsia="Times New Roman" w:cstheme="minorHAnsi"/>
                <w:i/>
                <w:iCs/>
                <w:color w:val="D9D9D9" w:themeColor="background1" w:themeShade="D9"/>
                <w:sz w:val="14"/>
                <w:szCs w:val="14"/>
                <w:lang w:eastAsia="hr-HR"/>
              </w:rPr>
            </w:pPr>
            <w:r w:rsidRPr="00732D5D">
              <w:rPr>
                <w:i/>
                <w:iCs/>
                <w:color w:val="D9D9D9" w:themeColor="background1" w:themeShade="D9"/>
                <w:sz w:val="14"/>
                <w:szCs w:val="14"/>
                <w:lang w:eastAsia="hr-HR"/>
              </w:rPr>
              <w:t>7</w:t>
            </w:r>
          </w:p>
        </w:tc>
      </w:tr>
      <w:tr w:rsidR="00732D5D" w:rsidRPr="00731CDB" w14:paraId="1542BC99" w14:textId="77777777" w:rsidTr="00732D5D">
        <w:trPr>
          <w:trHeight w:val="345"/>
        </w:trPr>
        <w:tc>
          <w:tcPr>
            <w:tcW w:w="923" w:type="dxa"/>
            <w:tcBorders>
              <w:top w:val="single" w:sz="4" w:space="0" w:color="auto"/>
            </w:tcBorders>
            <w:shd w:val="clear" w:color="auto" w:fill="auto"/>
            <w:noWrap/>
            <w:vAlign w:val="bottom"/>
            <w:hideMark/>
          </w:tcPr>
          <w:p w14:paraId="7152F394" w14:textId="77777777" w:rsidR="00732D5D" w:rsidRPr="007B7D21" w:rsidRDefault="00732D5D" w:rsidP="00732D5D">
            <w:pPr>
              <w:spacing w:before="120" w:after="0" w:line="240" w:lineRule="auto"/>
              <w:rPr>
                <w:rFonts w:eastAsia="Times New Roman" w:cstheme="minorHAnsi"/>
                <w:b/>
                <w:bCs/>
                <w:sz w:val="18"/>
                <w:szCs w:val="18"/>
                <w:lang w:eastAsia="hr-HR"/>
              </w:rPr>
            </w:pPr>
            <w:r w:rsidRPr="007B7D21">
              <w:rPr>
                <w:rFonts w:eastAsia="Times New Roman" w:cstheme="minorHAnsi"/>
                <w:b/>
                <w:bCs/>
                <w:sz w:val="18"/>
                <w:szCs w:val="18"/>
                <w:lang w:eastAsia="hr-HR"/>
              </w:rPr>
              <w:t>1.2.12</w:t>
            </w:r>
          </w:p>
        </w:tc>
        <w:tc>
          <w:tcPr>
            <w:tcW w:w="2888" w:type="dxa"/>
            <w:tcBorders>
              <w:top w:val="single" w:sz="4" w:space="0" w:color="auto"/>
            </w:tcBorders>
            <w:shd w:val="clear" w:color="auto" w:fill="auto"/>
            <w:noWrap/>
            <w:vAlign w:val="bottom"/>
            <w:hideMark/>
          </w:tcPr>
          <w:p w14:paraId="16577618" w14:textId="77777777" w:rsidR="00732D5D" w:rsidRPr="007B7D21" w:rsidRDefault="00732D5D" w:rsidP="00732D5D">
            <w:pPr>
              <w:spacing w:before="120" w:after="0" w:line="240" w:lineRule="auto"/>
              <w:rPr>
                <w:rFonts w:eastAsia="Times New Roman" w:cstheme="minorHAnsi"/>
                <w:b/>
                <w:bCs/>
                <w:sz w:val="18"/>
                <w:szCs w:val="18"/>
                <w:lang w:eastAsia="hr-HR"/>
              </w:rPr>
            </w:pPr>
            <w:r w:rsidRPr="007B7D21">
              <w:rPr>
                <w:rFonts w:eastAsia="Times New Roman" w:cstheme="minorHAnsi"/>
                <w:b/>
                <w:bCs/>
                <w:sz w:val="18"/>
                <w:szCs w:val="18"/>
                <w:lang w:eastAsia="hr-HR"/>
              </w:rPr>
              <w:t>Troškovi ostalih vanjskih usluga</w:t>
            </w:r>
          </w:p>
        </w:tc>
        <w:tc>
          <w:tcPr>
            <w:tcW w:w="1341" w:type="dxa"/>
            <w:tcBorders>
              <w:top w:val="single" w:sz="4" w:space="0" w:color="auto"/>
            </w:tcBorders>
            <w:shd w:val="clear" w:color="auto" w:fill="auto"/>
            <w:noWrap/>
            <w:vAlign w:val="bottom"/>
            <w:hideMark/>
          </w:tcPr>
          <w:p w14:paraId="345A3DFA" w14:textId="17186670" w:rsidR="00732D5D" w:rsidRPr="00732D5D" w:rsidRDefault="00732D5D" w:rsidP="00732D5D">
            <w:pPr>
              <w:spacing w:before="120" w:after="0" w:line="240" w:lineRule="auto"/>
              <w:jc w:val="center"/>
              <w:rPr>
                <w:rFonts w:eastAsia="Times New Roman" w:cstheme="minorHAnsi"/>
                <w:b/>
                <w:bCs/>
                <w:sz w:val="18"/>
                <w:szCs w:val="18"/>
                <w:lang w:eastAsia="hr-HR"/>
              </w:rPr>
            </w:pPr>
            <w:r w:rsidRPr="00732D5D">
              <w:rPr>
                <w:rFonts w:ascii="Calibri" w:hAnsi="Calibri" w:cs="Calibri"/>
                <w:b/>
                <w:bCs/>
                <w:sz w:val="18"/>
                <w:szCs w:val="18"/>
              </w:rPr>
              <w:t>279.496</w:t>
            </w:r>
          </w:p>
        </w:tc>
        <w:tc>
          <w:tcPr>
            <w:tcW w:w="1173" w:type="dxa"/>
            <w:tcBorders>
              <w:top w:val="single" w:sz="4" w:space="0" w:color="auto"/>
            </w:tcBorders>
            <w:shd w:val="clear" w:color="auto" w:fill="auto"/>
            <w:noWrap/>
            <w:vAlign w:val="bottom"/>
            <w:hideMark/>
          </w:tcPr>
          <w:p w14:paraId="05086FB3" w14:textId="167BC9DA" w:rsidR="00732D5D" w:rsidRPr="00732D5D" w:rsidRDefault="00732D5D" w:rsidP="00732D5D">
            <w:pPr>
              <w:spacing w:before="120" w:after="0" w:line="240" w:lineRule="auto"/>
              <w:jc w:val="center"/>
              <w:rPr>
                <w:rFonts w:eastAsia="Times New Roman" w:cstheme="minorHAnsi"/>
                <w:b/>
                <w:bCs/>
                <w:sz w:val="18"/>
                <w:szCs w:val="18"/>
                <w:lang w:eastAsia="hr-HR"/>
              </w:rPr>
            </w:pPr>
            <w:r w:rsidRPr="00732D5D">
              <w:rPr>
                <w:rFonts w:ascii="Calibri" w:hAnsi="Calibri" w:cs="Calibri"/>
                <w:b/>
                <w:bCs/>
                <w:sz w:val="18"/>
                <w:szCs w:val="18"/>
              </w:rPr>
              <w:t>300.154</w:t>
            </w:r>
          </w:p>
        </w:tc>
        <w:tc>
          <w:tcPr>
            <w:tcW w:w="1485" w:type="dxa"/>
            <w:tcBorders>
              <w:top w:val="single" w:sz="4" w:space="0" w:color="auto"/>
            </w:tcBorders>
            <w:shd w:val="clear" w:color="auto" w:fill="auto"/>
            <w:noWrap/>
            <w:vAlign w:val="bottom"/>
            <w:hideMark/>
          </w:tcPr>
          <w:p w14:paraId="2FB1CB45" w14:textId="3AEBCF79" w:rsidR="00732D5D" w:rsidRPr="00732D5D" w:rsidRDefault="00732D5D" w:rsidP="00732D5D">
            <w:pPr>
              <w:spacing w:before="120" w:after="0" w:line="240" w:lineRule="auto"/>
              <w:jc w:val="center"/>
              <w:rPr>
                <w:rFonts w:eastAsia="Times New Roman" w:cstheme="minorHAnsi"/>
                <w:b/>
                <w:bCs/>
                <w:sz w:val="18"/>
                <w:szCs w:val="18"/>
                <w:lang w:eastAsia="hr-HR"/>
              </w:rPr>
            </w:pPr>
            <w:r w:rsidRPr="00732D5D">
              <w:rPr>
                <w:rFonts w:ascii="Calibri" w:hAnsi="Calibri" w:cs="Calibri"/>
                <w:b/>
                <w:bCs/>
                <w:sz w:val="18"/>
                <w:szCs w:val="18"/>
              </w:rPr>
              <w:t>306.177</w:t>
            </w:r>
          </w:p>
        </w:tc>
        <w:tc>
          <w:tcPr>
            <w:tcW w:w="738" w:type="dxa"/>
            <w:tcBorders>
              <w:top w:val="single" w:sz="4" w:space="0" w:color="auto"/>
            </w:tcBorders>
            <w:shd w:val="clear" w:color="auto" w:fill="auto"/>
            <w:noWrap/>
            <w:vAlign w:val="bottom"/>
            <w:hideMark/>
          </w:tcPr>
          <w:p w14:paraId="52CFD41B" w14:textId="58C14FA3" w:rsidR="00732D5D" w:rsidRPr="00732D5D" w:rsidRDefault="00732D5D" w:rsidP="00732D5D">
            <w:pPr>
              <w:spacing w:before="120" w:after="0" w:line="240" w:lineRule="auto"/>
              <w:jc w:val="center"/>
              <w:rPr>
                <w:rFonts w:eastAsia="Times New Roman" w:cstheme="minorHAnsi"/>
                <w:b/>
                <w:bCs/>
                <w:sz w:val="18"/>
                <w:szCs w:val="18"/>
                <w:lang w:eastAsia="hr-HR"/>
              </w:rPr>
            </w:pPr>
            <w:r w:rsidRPr="00732D5D">
              <w:rPr>
                <w:rFonts w:ascii="Calibri" w:hAnsi="Calibri" w:cs="Calibri"/>
                <w:b/>
                <w:bCs/>
                <w:sz w:val="18"/>
                <w:szCs w:val="18"/>
              </w:rPr>
              <w:t>110%</w:t>
            </w:r>
          </w:p>
        </w:tc>
        <w:tc>
          <w:tcPr>
            <w:tcW w:w="738" w:type="dxa"/>
            <w:tcBorders>
              <w:top w:val="single" w:sz="4" w:space="0" w:color="auto"/>
            </w:tcBorders>
            <w:shd w:val="clear" w:color="auto" w:fill="auto"/>
            <w:noWrap/>
            <w:vAlign w:val="bottom"/>
            <w:hideMark/>
          </w:tcPr>
          <w:p w14:paraId="0A08F8F0" w14:textId="590F9351" w:rsidR="00732D5D" w:rsidRPr="00732D5D" w:rsidRDefault="00732D5D" w:rsidP="00732D5D">
            <w:pPr>
              <w:spacing w:before="120" w:after="0" w:line="240" w:lineRule="auto"/>
              <w:jc w:val="center"/>
              <w:rPr>
                <w:rFonts w:eastAsia="Times New Roman" w:cstheme="minorHAnsi"/>
                <w:b/>
                <w:bCs/>
                <w:sz w:val="18"/>
                <w:szCs w:val="18"/>
                <w:lang w:eastAsia="hr-HR"/>
              </w:rPr>
            </w:pPr>
            <w:r w:rsidRPr="00732D5D">
              <w:rPr>
                <w:rFonts w:ascii="Calibri" w:hAnsi="Calibri" w:cs="Calibri"/>
                <w:b/>
                <w:bCs/>
                <w:sz w:val="18"/>
                <w:szCs w:val="18"/>
              </w:rPr>
              <w:t>102%</w:t>
            </w:r>
          </w:p>
        </w:tc>
      </w:tr>
      <w:tr w:rsidR="00732D5D" w:rsidRPr="00731CDB" w14:paraId="359CC316" w14:textId="77777777" w:rsidTr="00732D5D">
        <w:trPr>
          <w:trHeight w:val="345"/>
        </w:trPr>
        <w:tc>
          <w:tcPr>
            <w:tcW w:w="923" w:type="dxa"/>
            <w:shd w:val="clear" w:color="auto" w:fill="auto"/>
            <w:noWrap/>
            <w:vAlign w:val="bottom"/>
            <w:hideMark/>
          </w:tcPr>
          <w:p w14:paraId="3C49EFE8" w14:textId="7B9FA2B6"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1.2.12.1</w:t>
            </w:r>
          </w:p>
        </w:tc>
        <w:tc>
          <w:tcPr>
            <w:tcW w:w="2888" w:type="dxa"/>
            <w:shd w:val="clear" w:color="auto" w:fill="auto"/>
            <w:noWrap/>
            <w:vAlign w:val="bottom"/>
            <w:hideMark/>
          </w:tcPr>
          <w:p w14:paraId="7B856534" w14:textId="53BC92DE"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AMP-kontrole k</w:t>
            </w:r>
            <w:r w:rsidR="00BE3CF9">
              <w:rPr>
                <w:rFonts w:eastAsia="Times New Roman" w:cstheme="minorHAnsi"/>
                <w:sz w:val="18"/>
                <w:szCs w:val="18"/>
                <w:lang w:eastAsia="hr-HR"/>
              </w:rPr>
              <w:t>valitete</w:t>
            </w:r>
            <w:r w:rsidRPr="007B7D21">
              <w:rPr>
                <w:rFonts w:eastAsia="Times New Roman" w:cstheme="minorHAnsi"/>
                <w:sz w:val="18"/>
                <w:szCs w:val="18"/>
                <w:lang w:eastAsia="hr-HR"/>
              </w:rPr>
              <w:t xml:space="preserve"> zraka</w:t>
            </w:r>
          </w:p>
        </w:tc>
        <w:tc>
          <w:tcPr>
            <w:tcW w:w="1341" w:type="dxa"/>
            <w:shd w:val="clear" w:color="auto" w:fill="auto"/>
            <w:noWrap/>
            <w:vAlign w:val="bottom"/>
            <w:hideMark/>
          </w:tcPr>
          <w:p w14:paraId="4788787F" w14:textId="4351ECAD"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26.400</w:t>
            </w:r>
          </w:p>
        </w:tc>
        <w:tc>
          <w:tcPr>
            <w:tcW w:w="1173" w:type="dxa"/>
            <w:shd w:val="clear" w:color="auto" w:fill="auto"/>
            <w:noWrap/>
            <w:vAlign w:val="bottom"/>
            <w:hideMark/>
          </w:tcPr>
          <w:p w14:paraId="59837CAC" w14:textId="23CAD023"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26.400</w:t>
            </w:r>
          </w:p>
        </w:tc>
        <w:tc>
          <w:tcPr>
            <w:tcW w:w="1485" w:type="dxa"/>
            <w:shd w:val="clear" w:color="auto" w:fill="auto"/>
            <w:noWrap/>
            <w:vAlign w:val="bottom"/>
            <w:hideMark/>
          </w:tcPr>
          <w:p w14:paraId="2452B8D7" w14:textId="249F51F1"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26.400</w:t>
            </w:r>
          </w:p>
        </w:tc>
        <w:tc>
          <w:tcPr>
            <w:tcW w:w="738" w:type="dxa"/>
            <w:shd w:val="clear" w:color="auto" w:fill="auto"/>
            <w:noWrap/>
            <w:vAlign w:val="bottom"/>
            <w:hideMark/>
          </w:tcPr>
          <w:p w14:paraId="1489C83B" w14:textId="0E900C38"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w:t>
            </w:r>
          </w:p>
        </w:tc>
        <w:tc>
          <w:tcPr>
            <w:tcW w:w="738" w:type="dxa"/>
            <w:shd w:val="clear" w:color="auto" w:fill="auto"/>
            <w:noWrap/>
            <w:vAlign w:val="bottom"/>
            <w:hideMark/>
          </w:tcPr>
          <w:p w14:paraId="04D334C9" w14:textId="51EF9189"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w:t>
            </w:r>
          </w:p>
        </w:tc>
      </w:tr>
      <w:tr w:rsidR="00732D5D" w:rsidRPr="00731CDB" w14:paraId="2FB28055" w14:textId="77777777" w:rsidTr="00732D5D">
        <w:trPr>
          <w:trHeight w:val="345"/>
        </w:trPr>
        <w:tc>
          <w:tcPr>
            <w:tcW w:w="923" w:type="dxa"/>
            <w:shd w:val="clear" w:color="auto" w:fill="auto"/>
            <w:noWrap/>
            <w:vAlign w:val="bottom"/>
            <w:hideMark/>
          </w:tcPr>
          <w:p w14:paraId="59F4E215" w14:textId="39D59525"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1.2.12.2</w:t>
            </w:r>
          </w:p>
        </w:tc>
        <w:tc>
          <w:tcPr>
            <w:tcW w:w="2888" w:type="dxa"/>
            <w:shd w:val="clear" w:color="auto" w:fill="auto"/>
            <w:noWrap/>
            <w:vAlign w:val="bottom"/>
            <w:hideMark/>
          </w:tcPr>
          <w:p w14:paraId="22921739"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Usluge kontrole</w:t>
            </w:r>
          </w:p>
        </w:tc>
        <w:tc>
          <w:tcPr>
            <w:tcW w:w="1341" w:type="dxa"/>
            <w:shd w:val="clear" w:color="auto" w:fill="auto"/>
            <w:noWrap/>
            <w:vAlign w:val="bottom"/>
            <w:hideMark/>
          </w:tcPr>
          <w:p w14:paraId="5991A625" w14:textId="4C26AFF9"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5.560</w:t>
            </w:r>
          </w:p>
        </w:tc>
        <w:tc>
          <w:tcPr>
            <w:tcW w:w="1173" w:type="dxa"/>
            <w:shd w:val="clear" w:color="auto" w:fill="auto"/>
            <w:noWrap/>
            <w:vAlign w:val="bottom"/>
            <w:hideMark/>
          </w:tcPr>
          <w:p w14:paraId="439FBB5F" w14:textId="5B02C88E"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8.193</w:t>
            </w:r>
          </w:p>
        </w:tc>
        <w:tc>
          <w:tcPr>
            <w:tcW w:w="1485" w:type="dxa"/>
            <w:shd w:val="clear" w:color="auto" w:fill="auto"/>
            <w:noWrap/>
            <w:vAlign w:val="bottom"/>
            <w:hideMark/>
          </w:tcPr>
          <w:p w14:paraId="61E414DC" w14:textId="41EA0727"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8.193</w:t>
            </w:r>
          </w:p>
        </w:tc>
        <w:tc>
          <w:tcPr>
            <w:tcW w:w="738" w:type="dxa"/>
            <w:shd w:val="clear" w:color="auto" w:fill="auto"/>
            <w:noWrap/>
            <w:vAlign w:val="bottom"/>
            <w:hideMark/>
          </w:tcPr>
          <w:p w14:paraId="0601249A" w14:textId="7808E914"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147%</w:t>
            </w:r>
          </w:p>
        </w:tc>
        <w:tc>
          <w:tcPr>
            <w:tcW w:w="738" w:type="dxa"/>
            <w:shd w:val="clear" w:color="auto" w:fill="auto"/>
            <w:noWrap/>
            <w:vAlign w:val="bottom"/>
            <w:hideMark/>
          </w:tcPr>
          <w:p w14:paraId="74E5D1E7" w14:textId="7642EA00"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w:t>
            </w:r>
          </w:p>
        </w:tc>
      </w:tr>
      <w:tr w:rsidR="00732D5D" w:rsidRPr="00731CDB" w14:paraId="63058257" w14:textId="77777777" w:rsidTr="00732D5D">
        <w:trPr>
          <w:trHeight w:val="345"/>
        </w:trPr>
        <w:tc>
          <w:tcPr>
            <w:tcW w:w="923" w:type="dxa"/>
            <w:shd w:val="clear" w:color="auto" w:fill="auto"/>
            <w:noWrap/>
            <w:vAlign w:val="bottom"/>
            <w:hideMark/>
          </w:tcPr>
          <w:p w14:paraId="6DF208A1" w14:textId="6B3E4EF1"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1.2.12.3</w:t>
            </w:r>
          </w:p>
        </w:tc>
        <w:tc>
          <w:tcPr>
            <w:tcW w:w="2888" w:type="dxa"/>
            <w:shd w:val="clear" w:color="auto" w:fill="auto"/>
            <w:noWrap/>
            <w:vAlign w:val="bottom"/>
            <w:hideMark/>
          </w:tcPr>
          <w:p w14:paraId="7941FAD3"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Ispitivanje otpadnih voda</w:t>
            </w:r>
          </w:p>
        </w:tc>
        <w:tc>
          <w:tcPr>
            <w:tcW w:w="1341" w:type="dxa"/>
            <w:shd w:val="clear" w:color="auto" w:fill="auto"/>
            <w:noWrap/>
            <w:vAlign w:val="bottom"/>
            <w:hideMark/>
          </w:tcPr>
          <w:p w14:paraId="7340780C" w14:textId="33198239"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6.542</w:t>
            </w:r>
          </w:p>
        </w:tc>
        <w:tc>
          <w:tcPr>
            <w:tcW w:w="1173" w:type="dxa"/>
            <w:shd w:val="clear" w:color="auto" w:fill="auto"/>
            <w:noWrap/>
            <w:vAlign w:val="bottom"/>
            <w:hideMark/>
          </w:tcPr>
          <w:p w14:paraId="0B4A46E5" w14:textId="103EE5FE"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5.479</w:t>
            </w:r>
          </w:p>
        </w:tc>
        <w:tc>
          <w:tcPr>
            <w:tcW w:w="1485" w:type="dxa"/>
            <w:shd w:val="clear" w:color="auto" w:fill="auto"/>
            <w:noWrap/>
            <w:vAlign w:val="bottom"/>
            <w:hideMark/>
          </w:tcPr>
          <w:p w14:paraId="3B8E6D46" w14:textId="1052C32F"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5.031</w:t>
            </w:r>
          </w:p>
        </w:tc>
        <w:tc>
          <w:tcPr>
            <w:tcW w:w="738" w:type="dxa"/>
            <w:shd w:val="clear" w:color="auto" w:fill="auto"/>
            <w:noWrap/>
            <w:vAlign w:val="bottom"/>
            <w:hideMark/>
          </w:tcPr>
          <w:p w14:paraId="6202E51A" w14:textId="49F2372F"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77%</w:t>
            </w:r>
          </w:p>
        </w:tc>
        <w:tc>
          <w:tcPr>
            <w:tcW w:w="738" w:type="dxa"/>
            <w:shd w:val="clear" w:color="auto" w:fill="auto"/>
            <w:noWrap/>
            <w:vAlign w:val="bottom"/>
            <w:hideMark/>
          </w:tcPr>
          <w:p w14:paraId="241C0C03" w14:textId="50D8DC5E"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92%</w:t>
            </w:r>
          </w:p>
        </w:tc>
      </w:tr>
      <w:tr w:rsidR="00732D5D" w:rsidRPr="00731CDB" w14:paraId="04FE883A" w14:textId="77777777" w:rsidTr="00732D5D">
        <w:trPr>
          <w:trHeight w:val="345"/>
        </w:trPr>
        <w:tc>
          <w:tcPr>
            <w:tcW w:w="923" w:type="dxa"/>
            <w:shd w:val="clear" w:color="auto" w:fill="auto"/>
            <w:noWrap/>
            <w:vAlign w:val="bottom"/>
            <w:hideMark/>
          </w:tcPr>
          <w:p w14:paraId="656626BC" w14:textId="2AC530F7"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1.2.12.4</w:t>
            </w:r>
          </w:p>
        </w:tc>
        <w:tc>
          <w:tcPr>
            <w:tcW w:w="2888" w:type="dxa"/>
            <w:shd w:val="clear" w:color="auto" w:fill="auto"/>
            <w:noWrap/>
            <w:vAlign w:val="bottom"/>
            <w:hideMark/>
          </w:tcPr>
          <w:p w14:paraId="1AE8E00D"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Nadzor nad DDD mjerama</w:t>
            </w:r>
          </w:p>
        </w:tc>
        <w:tc>
          <w:tcPr>
            <w:tcW w:w="1341" w:type="dxa"/>
            <w:shd w:val="clear" w:color="auto" w:fill="auto"/>
            <w:noWrap/>
            <w:vAlign w:val="bottom"/>
            <w:hideMark/>
          </w:tcPr>
          <w:p w14:paraId="72E81FD2" w14:textId="2DA1B983"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1.259</w:t>
            </w:r>
          </w:p>
        </w:tc>
        <w:tc>
          <w:tcPr>
            <w:tcW w:w="1173" w:type="dxa"/>
            <w:shd w:val="clear" w:color="auto" w:fill="auto"/>
            <w:noWrap/>
            <w:vAlign w:val="bottom"/>
            <w:hideMark/>
          </w:tcPr>
          <w:p w14:paraId="4E19B7F8" w14:textId="07A18A4F"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1.259</w:t>
            </w:r>
          </w:p>
        </w:tc>
        <w:tc>
          <w:tcPr>
            <w:tcW w:w="1485" w:type="dxa"/>
            <w:shd w:val="clear" w:color="auto" w:fill="auto"/>
            <w:noWrap/>
            <w:vAlign w:val="bottom"/>
            <w:hideMark/>
          </w:tcPr>
          <w:p w14:paraId="4BB38886" w14:textId="5127E9E0"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1.259</w:t>
            </w:r>
          </w:p>
        </w:tc>
        <w:tc>
          <w:tcPr>
            <w:tcW w:w="738" w:type="dxa"/>
            <w:shd w:val="clear" w:color="auto" w:fill="auto"/>
            <w:noWrap/>
            <w:vAlign w:val="bottom"/>
            <w:hideMark/>
          </w:tcPr>
          <w:p w14:paraId="418957F1" w14:textId="68CC7602"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w:t>
            </w:r>
          </w:p>
        </w:tc>
        <w:tc>
          <w:tcPr>
            <w:tcW w:w="738" w:type="dxa"/>
            <w:shd w:val="clear" w:color="auto" w:fill="auto"/>
            <w:noWrap/>
            <w:vAlign w:val="bottom"/>
            <w:hideMark/>
          </w:tcPr>
          <w:p w14:paraId="4CFF9B88" w14:textId="2A7E7CF8"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w:t>
            </w:r>
          </w:p>
        </w:tc>
      </w:tr>
      <w:tr w:rsidR="00732D5D" w:rsidRPr="00731CDB" w14:paraId="7C807905" w14:textId="77777777" w:rsidTr="00732D5D">
        <w:trPr>
          <w:trHeight w:val="345"/>
        </w:trPr>
        <w:tc>
          <w:tcPr>
            <w:tcW w:w="923" w:type="dxa"/>
            <w:shd w:val="clear" w:color="auto" w:fill="auto"/>
            <w:noWrap/>
            <w:vAlign w:val="bottom"/>
            <w:hideMark/>
          </w:tcPr>
          <w:p w14:paraId="33BCC80D" w14:textId="5887F74B"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1.2.12.5</w:t>
            </w:r>
          </w:p>
        </w:tc>
        <w:tc>
          <w:tcPr>
            <w:tcW w:w="2888" w:type="dxa"/>
            <w:shd w:val="clear" w:color="auto" w:fill="auto"/>
            <w:noWrap/>
            <w:vAlign w:val="bottom"/>
            <w:hideMark/>
          </w:tcPr>
          <w:p w14:paraId="6C53704A"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Ispitivanje zaštite na radu i požara</w:t>
            </w:r>
          </w:p>
        </w:tc>
        <w:tc>
          <w:tcPr>
            <w:tcW w:w="1341" w:type="dxa"/>
            <w:shd w:val="clear" w:color="auto" w:fill="auto"/>
            <w:noWrap/>
            <w:vAlign w:val="bottom"/>
            <w:hideMark/>
          </w:tcPr>
          <w:p w14:paraId="5807B15B" w14:textId="2ABA803B"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16.433</w:t>
            </w:r>
          </w:p>
        </w:tc>
        <w:tc>
          <w:tcPr>
            <w:tcW w:w="1173" w:type="dxa"/>
            <w:shd w:val="clear" w:color="auto" w:fill="auto"/>
            <w:noWrap/>
            <w:vAlign w:val="bottom"/>
            <w:hideMark/>
          </w:tcPr>
          <w:p w14:paraId="3A2BCE3E" w14:textId="66A04270"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10.000</w:t>
            </w:r>
          </w:p>
        </w:tc>
        <w:tc>
          <w:tcPr>
            <w:tcW w:w="1485" w:type="dxa"/>
            <w:shd w:val="clear" w:color="auto" w:fill="auto"/>
            <w:noWrap/>
            <w:vAlign w:val="bottom"/>
            <w:hideMark/>
          </w:tcPr>
          <w:p w14:paraId="3D9406BA" w14:textId="7EF18807"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10.673</w:t>
            </w:r>
          </w:p>
        </w:tc>
        <w:tc>
          <w:tcPr>
            <w:tcW w:w="738" w:type="dxa"/>
            <w:shd w:val="clear" w:color="auto" w:fill="auto"/>
            <w:noWrap/>
            <w:vAlign w:val="bottom"/>
            <w:hideMark/>
          </w:tcPr>
          <w:p w14:paraId="72D2DE1E" w14:textId="7AD82C8A"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65%</w:t>
            </w:r>
          </w:p>
        </w:tc>
        <w:tc>
          <w:tcPr>
            <w:tcW w:w="738" w:type="dxa"/>
            <w:shd w:val="clear" w:color="auto" w:fill="auto"/>
            <w:noWrap/>
            <w:vAlign w:val="bottom"/>
            <w:hideMark/>
          </w:tcPr>
          <w:p w14:paraId="1EA008DB" w14:textId="57438CD9"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107%</w:t>
            </w:r>
          </w:p>
        </w:tc>
      </w:tr>
      <w:tr w:rsidR="00732D5D" w:rsidRPr="00731CDB" w14:paraId="37BBC924" w14:textId="77777777" w:rsidTr="00732D5D">
        <w:trPr>
          <w:trHeight w:val="345"/>
        </w:trPr>
        <w:tc>
          <w:tcPr>
            <w:tcW w:w="923" w:type="dxa"/>
            <w:shd w:val="clear" w:color="auto" w:fill="auto"/>
            <w:noWrap/>
            <w:vAlign w:val="bottom"/>
            <w:hideMark/>
          </w:tcPr>
          <w:p w14:paraId="67AFAF3F" w14:textId="346D3B1F"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1.2.12.6</w:t>
            </w:r>
          </w:p>
        </w:tc>
        <w:tc>
          <w:tcPr>
            <w:tcW w:w="2888" w:type="dxa"/>
            <w:shd w:val="clear" w:color="auto" w:fill="auto"/>
            <w:noWrap/>
            <w:vAlign w:val="bottom"/>
            <w:hideMark/>
          </w:tcPr>
          <w:p w14:paraId="59E2FC98"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Mjerenje emisija u zrak</w:t>
            </w:r>
          </w:p>
        </w:tc>
        <w:tc>
          <w:tcPr>
            <w:tcW w:w="1341" w:type="dxa"/>
            <w:shd w:val="clear" w:color="auto" w:fill="auto"/>
            <w:noWrap/>
            <w:vAlign w:val="bottom"/>
            <w:hideMark/>
          </w:tcPr>
          <w:p w14:paraId="740144F5" w14:textId="0C345315"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23.010</w:t>
            </w:r>
          </w:p>
        </w:tc>
        <w:tc>
          <w:tcPr>
            <w:tcW w:w="1173" w:type="dxa"/>
            <w:shd w:val="clear" w:color="auto" w:fill="auto"/>
            <w:noWrap/>
            <w:vAlign w:val="bottom"/>
            <w:hideMark/>
          </w:tcPr>
          <w:p w14:paraId="6FBF60DD" w14:textId="6FB222F7"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18.160</w:t>
            </w:r>
          </w:p>
        </w:tc>
        <w:tc>
          <w:tcPr>
            <w:tcW w:w="1485" w:type="dxa"/>
            <w:shd w:val="clear" w:color="auto" w:fill="auto"/>
            <w:noWrap/>
            <w:vAlign w:val="bottom"/>
            <w:hideMark/>
          </w:tcPr>
          <w:p w14:paraId="1BF3F3DA" w14:textId="7C938DD7"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18.160</w:t>
            </w:r>
          </w:p>
        </w:tc>
        <w:tc>
          <w:tcPr>
            <w:tcW w:w="738" w:type="dxa"/>
            <w:shd w:val="clear" w:color="auto" w:fill="auto"/>
            <w:noWrap/>
            <w:vAlign w:val="bottom"/>
            <w:hideMark/>
          </w:tcPr>
          <w:p w14:paraId="78DEA585" w14:textId="23CE49C1"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79%</w:t>
            </w:r>
          </w:p>
        </w:tc>
        <w:tc>
          <w:tcPr>
            <w:tcW w:w="738" w:type="dxa"/>
            <w:shd w:val="clear" w:color="auto" w:fill="auto"/>
            <w:noWrap/>
            <w:vAlign w:val="bottom"/>
            <w:hideMark/>
          </w:tcPr>
          <w:p w14:paraId="1080C96B" w14:textId="0A088061"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100%</w:t>
            </w:r>
          </w:p>
        </w:tc>
      </w:tr>
      <w:tr w:rsidR="00732D5D" w:rsidRPr="00731CDB" w14:paraId="4A255FCD" w14:textId="77777777" w:rsidTr="00732D5D">
        <w:trPr>
          <w:trHeight w:val="345"/>
        </w:trPr>
        <w:tc>
          <w:tcPr>
            <w:tcW w:w="923" w:type="dxa"/>
            <w:shd w:val="clear" w:color="auto" w:fill="auto"/>
            <w:noWrap/>
            <w:vAlign w:val="bottom"/>
            <w:hideMark/>
          </w:tcPr>
          <w:p w14:paraId="3A20378E" w14:textId="5A1FC991"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1.2.12.7</w:t>
            </w:r>
          </w:p>
        </w:tc>
        <w:tc>
          <w:tcPr>
            <w:tcW w:w="2888" w:type="dxa"/>
            <w:shd w:val="clear" w:color="auto" w:fill="auto"/>
            <w:noWrap/>
            <w:vAlign w:val="bottom"/>
            <w:hideMark/>
          </w:tcPr>
          <w:p w14:paraId="01001563"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Ispitivanje otpada</w:t>
            </w:r>
          </w:p>
        </w:tc>
        <w:tc>
          <w:tcPr>
            <w:tcW w:w="1341" w:type="dxa"/>
            <w:shd w:val="clear" w:color="auto" w:fill="auto"/>
            <w:noWrap/>
            <w:vAlign w:val="bottom"/>
            <w:hideMark/>
          </w:tcPr>
          <w:p w14:paraId="7B411F6C" w14:textId="27D9565E"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30.753</w:t>
            </w:r>
          </w:p>
        </w:tc>
        <w:tc>
          <w:tcPr>
            <w:tcW w:w="1173" w:type="dxa"/>
            <w:shd w:val="clear" w:color="auto" w:fill="auto"/>
            <w:noWrap/>
            <w:vAlign w:val="bottom"/>
            <w:hideMark/>
          </w:tcPr>
          <w:p w14:paraId="0C5F75BD" w14:textId="5905E933"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35.000</w:t>
            </w:r>
          </w:p>
        </w:tc>
        <w:tc>
          <w:tcPr>
            <w:tcW w:w="1485" w:type="dxa"/>
            <w:shd w:val="clear" w:color="auto" w:fill="auto"/>
            <w:noWrap/>
            <w:vAlign w:val="bottom"/>
            <w:hideMark/>
          </w:tcPr>
          <w:p w14:paraId="45348A48" w14:textId="17EF078B"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45.925</w:t>
            </w:r>
          </w:p>
        </w:tc>
        <w:tc>
          <w:tcPr>
            <w:tcW w:w="738" w:type="dxa"/>
            <w:shd w:val="clear" w:color="auto" w:fill="auto"/>
            <w:noWrap/>
            <w:vAlign w:val="bottom"/>
            <w:hideMark/>
          </w:tcPr>
          <w:p w14:paraId="0BA9D5F5" w14:textId="7001C0EE"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149%</w:t>
            </w:r>
          </w:p>
        </w:tc>
        <w:tc>
          <w:tcPr>
            <w:tcW w:w="738" w:type="dxa"/>
            <w:shd w:val="clear" w:color="auto" w:fill="auto"/>
            <w:noWrap/>
            <w:vAlign w:val="bottom"/>
            <w:hideMark/>
          </w:tcPr>
          <w:p w14:paraId="0D81DDC4" w14:textId="31D0C643"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131%</w:t>
            </w:r>
          </w:p>
        </w:tc>
      </w:tr>
      <w:tr w:rsidR="00732D5D" w:rsidRPr="00731CDB" w14:paraId="42579BCF" w14:textId="77777777" w:rsidTr="00732D5D">
        <w:trPr>
          <w:trHeight w:val="345"/>
        </w:trPr>
        <w:tc>
          <w:tcPr>
            <w:tcW w:w="923" w:type="dxa"/>
            <w:shd w:val="clear" w:color="auto" w:fill="auto"/>
            <w:noWrap/>
            <w:vAlign w:val="bottom"/>
            <w:hideMark/>
          </w:tcPr>
          <w:p w14:paraId="16D90CC6" w14:textId="4D944580"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1.2.12.8</w:t>
            </w:r>
          </w:p>
        </w:tc>
        <w:tc>
          <w:tcPr>
            <w:tcW w:w="2888" w:type="dxa"/>
            <w:shd w:val="clear" w:color="auto" w:fill="auto"/>
            <w:noWrap/>
            <w:vAlign w:val="bottom"/>
            <w:hideMark/>
          </w:tcPr>
          <w:p w14:paraId="1FCBBE7B"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Nadzor vozila</w:t>
            </w:r>
          </w:p>
        </w:tc>
        <w:tc>
          <w:tcPr>
            <w:tcW w:w="1341" w:type="dxa"/>
            <w:shd w:val="clear" w:color="auto" w:fill="auto"/>
            <w:noWrap/>
            <w:vAlign w:val="bottom"/>
            <w:hideMark/>
          </w:tcPr>
          <w:p w14:paraId="66573126" w14:textId="5239162A"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4.716</w:t>
            </w:r>
          </w:p>
        </w:tc>
        <w:tc>
          <w:tcPr>
            <w:tcW w:w="1173" w:type="dxa"/>
            <w:shd w:val="clear" w:color="auto" w:fill="auto"/>
            <w:noWrap/>
            <w:vAlign w:val="bottom"/>
            <w:hideMark/>
          </w:tcPr>
          <w:p w14:paraId="3A056F0C" w14:textId="69760684"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0</w:t>
            </w:r>
          </w:p>
        </w:tc>
        <w:tc>
          <w:tcPr>
            <w:tcW w:w="1485" w:type="dxa"/>
            <w:shd w:val="clear" w:color="auto" w:fill="auto"/>
            <w:noWrap/>
            <w:vAlign w:val="bottom"/>
            <w:hideMark/>
          </w:tcPr>
          <w:p w14:paraId="7D81FCF1" w14:textId="3A37D712"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0</w:t>
            </w:r>
          </w:p>
        </w:tc>
        <w:tc>
          <w:tcPr>
            <w:tcW w:w="738" w:type="dxa"/>
            <w:shd w:val="clear" w:color="auto" w:fill="auto"/>
            <w:noWrap/>
            <w:vAlign w:val="bottom"/>
            <w:hideMark/>
          </w:tcPr>
          <w:p w14:paraId="7ED1A4BB" w14:textId="16C00A0D"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0%</w:t>
            </w:r>
          </w:p>
        </w:tc>
        <w:tc>
          <w:tcPr>
            <w:tcW w:w="738" w:type="dxa"/>
            <w:shd w:val="clear" w:color="auto" w:fill="auto"/>
            <w:noWrap/>
            <w:vAlign w:val="bottom"/>
            <w:hideMark/>
          </w:tcPr>
          <w:p w14:paraId="4BA98B73" w14:textId="036D8ECA"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0%</w:t>
            </w:r>
          </w:p>
        </w:tc>
      </w:tr>
      <w:tr w:rsidR="00732D5D" w:rsidRPr="00731CDB" w14:paraId="41E8C7E9" w14:textId="77777777" w:rsidTr="00732D5D">
        <w:trPr>
          <w:trHeight w:val="345"/>
        </w:trPr>
        <w:tc>
          <w:tcPr>
            <w:tcW w:w="923" w:type="dxa"/>
            <w:shd w:val="clear" w:color="auto" w:fill="auto"/>
            <w:noWrap/>
            <w:vAlign w:val="bottom"/>
            <w:hideMark/>
          </w:tcPr>
          <w:p w14:paraId="0CD66378" w14:textId="114AFBA9"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1.2.12.9</w:t>
            </w:r>
          </w:p>
        </w:tc>
        <w:tc>
          <w:tcPr>
            <w:tcW w:w="2888" w:type="dxa"/>
            <w:shd w:val="clear" w:color="auto" w:fill="auto"/>
            <w:noWrap/>
            <w:vAlign w:val="bottom"/>
            <w:hideMark/>
          </w:tcPr>
          <w:p w14:paraId="17B29A62" w14:textId="2D6B7530"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Tr. oglasa/osim za promidžbu</w:t>
            </w:r>
          </w:p>
        </w:tc>
        <w:tc>
          <w:tcPr>
            <w:tcW w:w="1341" w:type="dxa"/>
            <w:shd w:val="clear" w:color="auto" w:fill="auto"/>
            <w:noWrap/>
            <w:vAlign w:val="bottom"/>
            <w:hideMark/>
          </w:tcPr>
          <w:p w14:paraId="39D96663" w14:textId="1521C8CD"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color w:val="000000"/>
                <w:sz w:val="18"/>
                <w:szCs w:val="18"/>
              </w:rPr>
              <w:t>4.637</w:t>
            </w:r>
          </w:p>
        </w:tc>
        <w:tc>
          <w:tcPr>
            <w:tcW w:w="1173" w:type="dxa"/>
            <w:shd w:val="clear" w:color="auto" w:fill="auto"/>
            <w:noWrap/>
            <w:vAlign w:val="bottom"/>
            <w:hideMark/>
          </w:tcPr>
          <w:p w14:paraId="6439B410" w14:textId="2F9939D3"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color w:val="000000"/>
                <w:sz w:val="18"/>
                <w:szCs w:val="18"/>
              </w:rPr>
              <w:t>5.000</w:t>
            </w:r>
          </w:p>
        </w:tc>
        <w:tc>
          <w:tcPr>
            <w:tcW w:w="1485" w:type="dxa"/>
            <w:shd w:val="clear" w:color="auto" w:fill="auto"/>
            <w:noWrap/>
            <w:vAlign w:val="bottom"/>
            <w:hideMark/>
          </w:tcPr>
          <w:p w14:paraId="14BDAA53" w14:textId="187D17D4"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5.599</w:t>
            </w:r>
          </w:p>
        </w:tc>
        <w:tc>
          <w:tcPr>
            <w:tcW w:w="738" w:type="dxa"/>
            <w:shd w:val="clear" w:color="auto" w:fill="auto"/>
            <w:noWrap/>
            <w:vAlign w:val="bottom"/>
            <w:hideMark/>
          </w:tcPr>
          <w:p w14:paraId="4B3BE3D4" w14:textId="53D2FD37"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121%</w:t>
            </w:r>
          </w:p>
        </w:tc>
        <w:tc>
          <w:tcPr>
            <w:tcW w:w="738" w:type="dxa"/>
            <w:shd w:val="clear" w:color="auto" w:fill="auto"/>
            <w:noWrap/>
            <w:vAlign w:val="bottom"/>
            <w:hideMark/>
          </w:tcPr>
          <w:p w14:paraId="53A02643" w14:textId="6FC79AE2"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112%</w:t>
            </w:r>
          </w:p>
        </w:tc>
      </w:tr>
      <w:tr w:rsidR="00732D5D" w:rsidRPr="00731CDB" w14:paraId="54F3F4B9" w14:textId="77777777" w:rsidTr="00732D5D">
        <w:trPr>
          <w:trHeight w:val="345"/>
        </w:trPr>
        <w:tc>
          <w:tcPr>
            <w:tcW w:w="923" w:type="dxa"/>
            <w:shd w:val="clear" w:color="auto" w:fill="auto"/>
            <w:noWrap/>
            <w:vAlign w:val="bottom"/>
            <w:hideMark/>
          </w:tcPr>
          <w:p w14:paraId="1A49FAE2" w14:textId="539A2074"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1.2.12.10</w:t>
            </w:r>
          </w:p>
        </w:tc>
        <w:tc>
          <w:tcPr>
            <w:tcW w:w="2888" w:type="dxa"/>
            <w:shd w:val="clear" w:color="auto" w:fill="auto"/>
            <w:noWrap/>
            <w:vAlign w:val="bottom"/>
            <w:hideMark/>
          </w:tcPr>
          <w:p w14:paraId="232A5D49" w14:textId="606E6492" w:rsidR="00732D5D" w:rsidRPr="00E85D04" w:rsidRDefault="00732D5D" w:rsidP="00732D5D">
            <w:pPr>
              <w:spacing w:before="120" w:after="0" w:line="240" w:lineRule="auto"/>
              <w:rPr>
                <w:rFonts w:eastAsia="Times New Roman" w:cstheme="minorHAnsi"/>
                <w:sz w:val="18"/>
                <w:szCs w:val="18"/>
                <w:lang w:eastAsia="hr-HR"/>
              </w:rPr>
            </w:pPr>
            <w:r w:rsidRPr="00E85D04">
              <w:rPr>
                <w:rFonts w:eastAsia="Times New Roman" w:cstheme="minorHAnsi"/>
                <w:sz w:val="18"/>
                <w:szCs w:val="18"/>
                <w:lang w:eastAsia="hr-HR"/>
              </w:rPr>
              <w:t>Troškovi autoputa i tunela</w:t>
            </w:r>
          </w:p>
        </w:tc>
        <w:tc>
          <w:tcPr>
            <w:tcW w:w="1341" w:type="dxa"/>
            <w:shd w:val="clear" w:color="auto" w:fill="auto"/>
            <w:noWrap/>
            <w:vAlign w:val="bottom"/>
            <w:hideMark/>
          </w:tcPr>
          <w:p w14:paraId="2B49814D" w14:textId="75D65995"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color w:val="000000"/>
                <w:sz w:val="18"/>
                <w:szCs w:val="18"/>
              </w:rPr>
              <w:t>9.062</w:t>
            </w:r>
          </w:p>
        </w:tc>
        <w:tc>
          <w:tcPr>
            <w:tcW w:w="1173" w:type="dxa"/>
            <w:shd w:val="clear" w:color="auto" w:fill="auto"/>
            <w:noWrap/>
            <w:vAlign w:val="bottom"/>
            <w:hideMark/>
          </w:tcPr>
          <w:p w14:paraId="3DF24143" w14:textId="5DF57B41"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color w:val="000000"/>
                <w:sz w:val="18"/>
                <w:szCs w:val="18"/>
              </w:rPr>
              <w:t>2.500</w:t>
            </w:r>
          </w:p>
        </w:tc>
        <w:tc>
          <w:tcPr>
            <w:tcW w:w="1485" w:type="dxa"/>
            <w:shd w:val="clear" w:color="auto" w:fill="auto"/>
            <w:noWrap/>
            <w:vAlign w:val="bottom"/>
            <w:hideMark/>
          </w:tcPr>
          <w:p w14:paraId="11BE7C76" w14:textId="1318C404"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sz w:val="18"/>
                <w:szCs w:val="18"/>
              </w:rPr>
              <w:t>3.183</w:t>
            </w:r>
          </w:p>
        </w:tc>
        <w:tc>
          <w:tcPr>
            <w:tcW w:w="738" w:type="dxa"/>
            <w:shd w:val="clear" w:color="auto" w:fill="auto"/>
            <w:noWrap/>
            <w:vAlign w:val="bottom"/>
            <w:hideMark/>
          </w:tcPr>
          <w:p w14:paraId="53B97B88" w14:textId="6A61E86B"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sz w:val="18"/>
                <w:szCs w:val="18"/>
              </w:rPr>
              <w:t>35%</w:t>
            </w:r>
          </w:p>
        </w:tc>
        <w:tc>
          <w:tcPr>
            <w:tcW w:w="738" w:type="dxa"/>
            <w:shd w:val="clear" w:color="auto" w:fill="auto"/>
            <w:noWrap/>
            <w:vAlign w:val="bottom"/>
            <w:hideMark/>
          </w:tcPr>
          <w:p w14:paraId="0DC4E0E2" w14:textId="2675ECFD"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sz w:val="18"/>
                <w:szCs w:val="18"/>
              </w:rPr>
              <w:t>127%</w:t>
            </w:r>
          </w:p>
        </w:tc>
      </w:tr>
      <w:tr w:rsidR="00732D5D" w:rsidRPr="00731CDB" w14:paraId="16FC4604" w14:textId="77777777" w:rsidTr="00732D5D">
        <w:trPr>
          <w:trHeight w:val="345"/>
        </w:trPr>
        <w:tc>
          <w:tcPr>
            <w:tcW w:w="923" w:type="dxa"/>
            <w:shd w:val="clear" w:color="auto" w:fill="auto"/>
            <w:noWrap/>
            <w:vAlign w:val="bottom"/>
            <w:hideMark/>
          </w:tcPr>
          <w:p w14:paraId="2E004702" w14:textId="43A94EC8"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1.2.12.11</w:t>
            </w:r>
          </w:p>
        </w:tc>
        <w:tc>
          <w:tcPr>
            <w:tcW w:w="2888" w:type="dxa"/>
            <w:shd w:val="clear" w:color="auto" w:fill="auto"/>
            <w:noWrap/>
            <w:vAlign w:val="bottom"/>
            <w:hideMark/>
          </w:tcPr>
          <w:p w14:paraId="5BB0DD7C" w14:textId="77777777" w:rsidR="00732D5D" w:rsidRPr="00E85D04" w:rsidRDefault="00732D5D" w:rsidP="00732D5D">
            <w:pPr>
              <w:spacing w:before="120" w:after="0" w:line="240" w:lineRule="auto"/>
              <w:rPr>
                <w:rFonts w:eastAsia="Times New Roman" w:cstheme="minorHAnsi"/>
                <w:sz w:val="18"/>
                <w:szCs w:val="18"/>
                <w:lang w:eastAsia="hr-HR"/>
              </w:rPr>
            </w:pPr>
            <w:r w:rsidRPr="00E85D04">
              <w:rPr>
                <w:rFonts w:eastAsia="Times New Roman" w:cstheme="minorHAnsi"/>
                <w:sz w:val="18"/>
                <w:szCs w:val="18"/>
                <w:lang w:eastAsia="hr-HR"/>
              </w:rPr>
              <w:t>Troškovi trajekta</w:t>
            </w:r>
          </w:p>
        </w:tc>
        <w:tc>
          <w:tcPr>
            <w:tcW w:w="1341" w:type="dxa"/>
            <w:shd w:val="clear" w:color="auto" w:fill="auto"/>
            <w:noWrap/>
            <w:vAlign w:val="bottom"/>
            <w:hideMark/>
          </w:tcPr>
          <w:p w14:paraId="2B2DBC02" w14:textId="57A7453A"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color w:val="000000"/>
                <w:sz w:val="18"/>
                <w:szCs w:val="18"/>
              </w:rPr>
              <w:t>151.125</w:t>
            </w:r>
          </w:p>
        </w:tc>
        <w:tc>
          <w:tcPr>
            <w:tcW w:w="1173" w:type="dxa"/>
            <w:shd w:val="clear" w:color="auto" w:fill="auto"/>
            <w:noWrap/>
            <w:vAlign w:val="bottom"/>
            <w:hideMark/>
          </w:tcPr>
          <w:p w14:paraId="14926A07" w14:textId="72E7073B"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color w:val="000000"/>
                <w:sz w:val="18"/>
                <w:szCs w:val="18"/>
              </w:rPr>
              <w:t>187.898</w:t>
            </w:r>
          </w:p>
        </w:tc>
        <w:tc>
          <w:tcPr>
            <w:tcW w:w="1485" w:type="dxa"/>
            <w:shd w:val="clear" w:color="auto" w:fill="auto"/>
            <w:noWrap/>
            <w:vAlign w:val="bottom"/>
            <w:hideMark/>
          </w:tcPr>
          <w:p w14:paraId="4FFA4517" w14:textId="30A7B7B9"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sz w:val="18"/>
                <w:szCs w:val="18"/>
              </w:rPr>
              <w:t>181.689</w:t>
            </w:r>
          </w:p>
        </w:tc>
        <w:tc>
          <w:tcPr>
            <w:tcW w:w="738" w:type="dxa"/>
            <w:shd w:val="clear" w:color="auto" w:fill="auto"/>
            <w:noWrap/>
            <w:vAlign w:val="bottom"/>
            <w:hideMark/>
          </w:tcPr>
          <w:p w14:paraId="4F39662F" w14:textId="0D87529D"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sz w:val="18"/>
                <w:szCs w:val="18"/>
              </w:rPr>
              <w:t>120%</w:t>
            </w:r>
          </w:p>
        </w:tc>
        <w:tc>
          <w:tcPr>
            <w:tcW w:w="738" w:type="dxa"/>
            <w:shd w:val="clear" w:color="auto" w:fill="auto"/>
            <w:noWrap/>
            <w:vAlign w:val="bottom"/>
            <w:hideMark/>
          </w:tcPr>
          <w:p w14:paraId="68120951" w14:textId="0B925412" w:rsidR="00732D5D" w:rsidRPr="00732D5D" w:rsidRDefault="00732D5D" w:rsidP="00732D5D">
            <w:pPr>
              <w:spacing w:before="120" w:after="0" w:line="240" w:lineRule="auto"/>
              <w:jc w:val="center"/>
              <w:rPr>
                <w:rFonts w:eastAsia="Times New Roman" w:cstheme="minorHAnsi"/>
                <w:color w:val="FF0000"/>
                <w:sz w:val="18"/>
                <w:szCs w:val="18"/>
                <w:lang w:eastAsia="hr-HR"/>
              </w:rPr>
            </w:pPr>
            <w:r w:rsidRPr="00732D5D">
              <w:rPr>
                <w:rFonts w:ascii="Calibri" w:hAnsi="Calibri" w:cs="Calibri"/>
                <w:sz w:val="18"/>
                <w:szCs w:val="18"/>
              </w:rPr>
              <w:t>97%</w:t>
            </w:r>
          </w:p>
        </w:tc>
      </w:tr>
      <w:tr w:rsidR="00732D5D" w:rsidRPr="00731CDB" w14:paraId="2C31359A" w14:textId="77777777" w:rsidTr="00732D5D">
        <w:trPr>
          <w:trHeight w:val="345"/>
        </w:trPr>
        <w:tc>
          <w:tcPr>
            <w:tcW w:w="923" w:type="dxa"/>
            <w:shd w:val="clear" w:color="auto" w:fill="auto"/>
            <w:noWrap/>
            <w:vAlign w:val="bottom"/>
            <w:hideMark/>
          </w:tcPr>
          <w:p w14:paraId="6716B5E8" w14:textId="24B7A950" w:rsidR="00732D5D" w:rsidRPr="007B7D21" w:rsidRDefault="00732D5D" w:rsidP="00732D5D">
            <w:pPr>
              <w:spacing w:before="120" w:after="0" w:line="240" w:lineRule="auto"/>
              <w:rPr>
                <w:rFonts w:eastAsia="Times New Roman" w:cstheme="minorHAnsi"/>
                <w:sz w:val="18"/>
                <w:szCs w:val="18"/>
                <w:lang w:eastAsia="hr-HR"/>
              </w:rPr>
            </w:pPr>
            <w:r w:rsidRPr="007B7D21">
              <w:rPr>
                <w:rFonts w:ascii="Calibri" w:hAnsi="Calibri" w:cs="Calibri"/>
                <w:sz w:val="18"/>
                <w:szCs w:val="18"/>
              </w:rPr>
              <w:t>1.2.12.12</w:t>
            </w:r>
          </w:p>
        </w:tc>
        <w:tc>
          <w:tcPr>
            <w:tcW w:w="2888" w:type="dxa"/>
            <w:shd w:val="clear" w:color="auto" w:fill="auto"/>
            <w:noWrap/>
            <w:vAlign w:val="bottom"/>
            <w:hideMark/>
          </w:tcPr>
          <w:p w14:paraId="6D4D76CC" w14:textId="77777777" w:rsidR="00732D5D" w:rsidRPr="007B7D21" w:rsidRDefault="00732D5D" w:rsidP="00732D5D">
            <w:pPr>
              <w:spacing w:before="120" w:after="0" w:line="240" w:lineRule="auto"/>
              <w:rPr>
                <w:rFonts w:eastAsia="Times New Roman" w:cstheme="minorHAnsi"/>
                <w:sz w:val="18"/>
                <w:szCs w:val="18"/>
                <w:lang w:eastAsia="hr-HR"/>
              </w:rPr>
            </w:pPr>
            <w:r w:rsidRPr="007B7D21">
              <w:rPr>
                <w:rFonts w:eastAsia="Times New Roman" w:cstheme="minorHAnsi"/>
                <w:sz w:val="18"/>
                <w:szCs w:val="18"/>
                <w:lang w:eastAsia="hr-HR"/>
              </w:rPr>
              <w:t>Ostali troškovi</w:t>
            </w:r>
          </w:p>
        </w:tc>
        <w:tc>
          <w:tcPr>
            <w:tcW w:w="1341" w:type="dxa"/>
            <w:shd w:val="clear" w:color="auto" w:fill="auto"/>
            <w:noWrap/>
            <w:vAlign w:val="bottom"/>
            <w:hideMark/>
          </w:tcPr>
          <w:p w14:paraId="4FD35111" w14:textId="0086A617"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0</w:t>
            </w:r>
          </w:p>
        </w:tc>
        <w:tc>
          <w:tcPr>
            <w:tcW w:w="1173" w:type="dxa"/>
            <w:shd w:val="clear" w:color="auto" w:fill="auto"/>
            <w:noWrap/>
            <w:vAlign w:val="bottom"/>
            <w:hideMark/>
          </w:tcPr>
          <w:p w14:paraId="78D9D4CF" w14:textId="0033768D"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265</w:t>
            </w:r>
          </w:p>
        </w:tc>
        <w:tc>
          <w:tcPr>
            <w:tcW w:w="1485" w:type="dxa"/>
            <w:shd w:val="clear" w:color="auto" w:fill="auto"/>
            <w:noWrap/>
            <w:vAlign w:val="bottom"/>
            <w:hideMark/>
          </w:tcPr>
          <w:p w14:paraId="57C60F05" w14:textId="2A69E5FB"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66</w:t>
            </w:r>
          </w:p>
        </w:tc>
        <w:tc>
          <w:tcPr>
            <w:tcW w:w="738" w:type="dxa"/>
            <w:shd w:val="clear" w:color="auto" w:fill="auto"/>
            <w:noWrap/>
            <w:vAlign w:val="bottom"/>
            <w:hideMark/>
          </w:tcPr>
          <w:p w14:paraId="643B1C8A" w14:textId="5EB3C842"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0%</w:t>
            </w:r>
          </w:p>
        </w:tc>
        <w:tc>
          <w:tcPr>
            <w:tcW w:w="738" w:type="dxa"/>
            <w:shd w:val="clear" w:color="auto" w:fill="auto"/>
            <w:noWrap/>
            <w:vAlign w:val="bottom"/>
            <w:hideMark/>
          </w:tcPr>
          <w:p w14:paraId="4AC2BF49" w14:textId="0CC6F47F" w:rsidR="00732D5D" w:rsidRPr="00732D5D" w:rsidRDefault="00732D5D" w:rsidP="00732D5D">
            <w:pPr>
              <w:spacing w:before="120" w:after="0" w:line="240" w:lineRule="auto"/>
              <w:jc w:val="center"/>
              <w:rPr>
                <w:rFonts w:eastAsia="Times New Roman" w:cstheme="minorHAnsi"/>
                <w:sz w:val="18"/>
                <w:szCs w:val="18"/>
                <w:lang w:eastAsia="hr-HR"/>
              </w:rPr>
            </w:pPr>
            <w:r w:rsidRPr="00732D5D">
              <w:rPr>
                <w:rFonts w:ascii="Calibri" w:hAnsi="Calibri" w:cs="Calibri"/>
                <w:sz w:val="18"/>
                <w:szCs w:val="18"/>
              </w:rPr>
              <w:t>25%</w:t>
            </w:r>
          </w:p>
        </w:tc>
      </w:tr>
    </w:tbl>
    <w:p w14:paraId="76E225DD" w14:textId="77777777" w:rsidR="00731CDB" w:rsidRDefault="00731CDB" w:rsidP="00731CDB">
      <w:pPr>
        <w:spacing w:line="360" w:lineRule="auto"/>
        <w:jc w:val="both"/>
        <w:rPr>
          <w:rFonts w:cstheme="minorHAnsi"/>
        </w:rPr>
      </w:pPr>
    </w:p>
    <w:p w14:paraId="2CBFFE1A" w14:textId="19A77016" w:rsidR="00A42000" w:rsidRPr="00A66363" w:rsidRDefault="009835DC" w:rsidP="00A66363">
      <w:pPr>
        <w:spacing w:line="360" w:lineRule="auto"/>
        <w:jc w:val="both"/>
        <w:rPr>
          <w:rFonts w:cstheme="minorHAnsi"/>
        </w:rPr>
      </w:pPr>
      <w:r w:rsidRPr="009835DC">
        <w:rPr>
          <w:rFonts w:cstheme="minorHAnsi"/>
        </w:rPr>
        <w:t>Troškovi ostalih vanjskih usluga, prikazani u Tablici 32, iznose 306.177 eura, što je 10% više u odnosu na 2023. godinu i 2% više u odnosu na rebalans plana za 2024. godin</w:t>
      </w:r>
      <w:r w:rsidR="0009243B">
        <w:rPr>
          <w:rFonts w:cstheme="minorHAnsi"/>
        </w:rPr>
        <w:t>u</w:t>
      </w:r>
      <w:r w:rsidRPr="009835DC">
        <w:rPr>
          <w:rFonts w:cstheme="minorHAnsi"/>
        </w:rPr>
        <w:t>.</w:t>
      </w:r>
      <w:r w:rsidR="002D3F03">
        <w:rPr>
          <w:rFonts w:cstheme="minorHAnsi"/>
        </w:rPr>
        <w:t xml:space="preserve"> </w:t>
      </w:r>
      <w:r w:rsidR="008E1207">
        <w:rPr>
          <w:rFonts w:cstheme="minorHAnsi"/>
        </w:rPr>
        <w:t>O</w:t>
      </w:r>
      <w:r w:rsidR="0069271B">
        <w:rPr>
          <w:rFonts w:cstheme="minorHAnsi"/>
        </w:rPr>
        <w:t>dnose se</w:t>
      </w:r>
      <w:r w:rsidR="00731CDB" w:rsidRPr="00731CDB">
        <w:rPr>
          <w:rFonts w:cstheme="minorHAnsi"/>
        </w:rPr>
        <w:t xml:space="preserve"> na nužne usluge kontrola, ispitivanja i mjerenja kvalitete zraka, otpadnih voda, emisija u zrak, zaštite na radu i ispitivanje otpada te na troškove trajekta, cestarina i sl. </w:t>
      </w:r>
    </w:p>
    <w:p w14:paraId="1614AE56" w14:textId="1C2F81AA" w:rsidR="00A66363" w:rsidRPr="00A66363" w:rsidRDefault="00A66363" w:rsidP="00A66363">
      <w:pPr>
        <w:pStyle w:val="NoSpacing"/>
        <w:spacing w:line="360" w:lineRule="auto"/>
        <w:jc w:val="both"/>
      </w:pPr>
      <w:r w:rsidRPr="00A66363">
        <w:t>Povećanje u odnosu na prethodnu godinu</w:t>
      </w:r>
      <w:r w:rsidR="00A72CC0">
        <w:t xml:space="preserve"> </w:t>
      </w:r>
      <w:r w:rsidRPr="00A66363">
        <w:t>odnosi</w:t>
      </w:r>
      <w:r w:rsidR="00A72CC0">
        <w:t xml:space="preserve"> se</w:t>
      </w:r>
      <w:r w:rsidRPr="00A66363">
        <w:t xml:space="preserve"> na:</w:t>
      </w:r>
    </w:p>
    <w:p w14:paraId="3270E525" w14:textId="44F96567" w:rsidR="00A66363" w:rsidRPr="00A66363" w:rsidRDefault="00A66363" w:rsidP="00A66363">
      <w:pPr>
        <w:pStyle w:val="NoSpacing"/>
        <w:numPr>
          <w:ilvl w:val="0"/>
          <w:numId w:val="22"/>
        </w:numPr>
        <w:spacing w:line="360" w:lineRule="auto"/>
        <w:jc w:val="both"/>
      </w:pPr>
      <w:r w:rsidRPr="00A66363">
        <w:t>usluge kontrole (+47%)</w:t>
      </w:r>
      <w:r w:rsidR="00A72CC0">
        <w:t xml:space="preserve"> – </w:t>
      </w:r>
      <w:r w:rsidR="004D7C70">
        <w:t>obavezna</w:t>
      </w:r>
      <w:r w:rsidR="00A72CC0">
        <w:t xml:space="preserve"> ispitivanja radne opreme</w:t>
      </w:r>
    </w:p>
    <w:p w14:paraId="3013965B" w14:textId="0A00A65D" w:rsidR="00A66363" w:rsidRPr="00A66363" w:rsidRDefault="00A66363" w:rsidP="00A66363">
      <w:pPr>
        <w:pStyle w:val="NoSpacing"/>
        <w:numPr>
          <w:ilvl w:val="0"/>
          <w:numId w:val="22"/>
        </w:numPr>
        <w:spacing w:line="360" w:lineRule="auto"/>
        <w:jc w:val="both"/>
      </w:pPr>
      <w:r w:rsidRPr="00A66363">
        <w:t>ispitivanje otpada (+49%)</w:t>
      </w:r>
      <w:r w:rsidR="004D7C70">
        <w:t xml:space="preserve"> – </w:t>
      </w:r>
      <w:r w:rsidR="00DF07C1">
        <w:t>veća proizvodnja GIO</w:t>
      </w:r>
    </w:p>
    <w:p w14:paraId="7A7BF9B2" w14:textId="11DD2E81" w:rsidR="00A66363" w:rsidRPr="00A66363" w:rsidRDefault="00A66363" w:rsidP="00A66363">
      <w:pPr>
        <w:pStyle w:val="NoSpacing"/>
        <w:numPr>
          <w:ilvl w:val="0"/>
          <w:numId w:val="22"/>
        </w:numPr>
        <w:spacing w:line="360" w:lineRule="auto"/>
        <w:jc w:val="both"/>
      </w:pPr>
      <w:r w:rsidRPr="00A66363">
        <w:t>troškove oglašavanja osim za promidžbu (+21%)</w:t>
      </w:r>
      <w:r w:rsidR="0064657A">
        <w:t xml:space="preserve"> – veća fluktuacija radnika</w:t>
      </w:r>
    </w:p>
    <w:p w14:paraId="5EC0ECE1" w14:textId="4F133968" w:rsidR="00B51629" w:rsidRDefault="00A66363" w:rsidP="00B51629">
      <w:pPr>
        <w:pStyle w:val="NoSpacing"/>
        <w:numPr>
          <w:ilvl w:val="0"/>
          <w:numId w:val="22"/>
        </w:numPr>
        <w:spacing w:line="360" w:lineRule="auto"/>
        <w:jc w:val="both"/>
      </w:pPr>
      <w:r w:rsidRPr="00A66363">
        <w:t>troškove trajekta (+20%)</w:t>
      </w:r>
      <w:r w:rsidR="0064657A">
        <w:t xml:space="preserve"> – povećanje cijene</w:t>
      </w:r>
    </w:p>
    <w:p w14:paraId="7CF1157C" w14:textId="7AE722FA" w:rsidR="00B51629" w:rsidRPr="00A66363" w:rsidRDefault="00B51629" w:rsidP="00B51629">
      <w:pPr>
        <w:pStyle w:val="NoSpacing"/>
        <w:numPr>
          <w:ilvl w:val="0"/>
          <w:numId w:val="22"/>
        </w:numPr>
        <w:spacing w:line="360" w:lineRule="auto"/>
        <w:jc w:val="both"/>
      </w:pPr>
      <w:r>
        <w:t xml:space="preserve">ostali troškovi </w:t>
      </w:r>
    </w:p>
    <w:p w14:paraId="6C59455B" w14:textId="77777777" w:rsidR="0079032E" w:rsidRDefault="0079032E" w:rsidP="0079032E">
      <w:pPr>
        <w:pStyle w:val="NoSpacing"/>
        <w:spacing w:line="360" w:lineRule="auto"/>
        <w:ind w:left="720"/>
        <w:jc w:val="both"/>
      </w:pPr>
    </w:p>
    <w:p w14:paraId="79B0E977" w14:textId="525DE918" w:rsidR="00A72CC0" w:rsidRPr="00A66363" w:rsidRDefault="00A72CC0" w:rsidP="00A72CC0">
      <w:pPr>
        <w:pStyle w:val="NoSpacing"/>
        <w:spacing w:line="360" w:lineRule="auto"/>
        <w:jc w:val="both"/>
      </w:pPr>
      <w:r>
        <w:t>Smanjenje</w:t>
      </w:r>
      <w:r w:rsidRPr="00A66363">
        <w:t xml:space="preserve"> u odnosu na prethodnu godinu</w:t>
      </w:r>
      <w:r>
        <w:t xml:space="preserve"> </w:t>
      </w:r>
      <w:r w:rsidRPr="00A66363">
        <w:t>odnosi</w:t>
      </w:r>
      <w:r>
        <w:t xml:space="preserve"> se</w:t>
      </w:r>
      <w:r w:rsidRPr="00A66363">
        <w:t xml:space="preserve"> na:</w:t>
      </w:r>
    </w:p>
    <w:p w14:paraId="12F96FCC" w14:textId="6C6C3C05" w:rsidR="00A72CC0" w:rsidRPr="00A66363" w:rsidRDefault="007100AB" w:rsidP="00A72CC0">
      <w:pPr>
        <w:pStyle w:val="NoSpacing"/>
        <w:numPr>
          <w:ilvl w:val="0"/>
          <w:numId w:val="22"/>
        </w:numPr>
        <w:spacing w:line="360" w:lineRule="auto"/>
        <w:jc w:val="both"/>
      </w:pPr>
      <w:r>
        <w:t>ispitivanje otpadnih voda</w:t>
      </w:r>
      <w:r w:rsidR="00A72CC0" w:rsidRPr="00A66363">
        <w:t xml:space="preserve"> (</w:t>
      </w:r>
      <w:r>
        <w:t>-33</w:t>
      </w:r>
      <w:r w:rsidR="00A72CC0" w:rsidRPr="00A66363">
        <w:t>%)</w:t>
      </w:r>
    </w:p>
    <w:p w14:paraId="06429870" w14:textId="3644B171" w:rsidR="00A72CC0" w:rsidRDefault="00A72CC0" w:rsidP="00A72CC0">
      <w:pPr>
        <w:pStyle w:val="NoSpacing"/>
        <w:numPr>
          <w:ilvl w:val="0"/>
          <w:numId w:val="22"/>
        </w:numPr>
        <w:spacing w:line="360" w:lineRule="auto"/>
        <w:jc w:val="both"/>
      </w:pPr>
      <w:r w:rsidRPr="00A66363">
        <w:t xml:space="preserve">ispitivanje </w:t>
      </w:r>
      <w:r w:rsidR="007100AB">
        <w:t xml:space="preserve">zaštite na radu i požara </w:t>
      </w:r>
      <w:r w:rsidRPr="00A66363">
        <w:t>(</w:t>
      </w:r>
      <w:r w:rsidR="007100AB">
        <w:t>-35</w:t>
      </w:r>
      <w:r w:rsidRPr="00A66363">
        <w:t>%)</w:t>
      </w:r>
    </w:p>
    <w:p w14:paraId="56FEE4AA" w14:textId="7AA09BE9" w:rsidR="009A651E" w:rsidRPr="00A66363" w:rsidRDefault="009A651E" w:rsidP="00A72CC0">
      <w:pPr>
        <w:pStyle w:val="NoSpacing"/>
        <w:numPr>
          <w:ilvl w:val="0"/>
          <w:numId w:val="22"/>
        </w:numPr>
        <w:spacing w:line="360" w:lineRule="auto"/>
        <w:jc w:val="both"/>
      </w:pPr>
      <w:r>
        <w:t xml:space="preserve">mjerenje emisija u zrak (-21%) – manja cijena </w:t>
      </w:r>
    </w:p>
    <w:p w14:paraId="43DEC46C" w14:textId="0A9822F4" w:rsidR="00A72CC0" w:rsidRPr="00A66363" w:rsidRDefault="007100AB" w:rsidP="00A72CC0">
      <w:pPr>
        <w:pStyle w:val="NoSpacing"/>
        <w:numPr>
          <w:ilvl w:val="0"/>
          <w:numId w:val="22"/>
        </w:numPr>
        <w:spacing w:line="360" w:lineRule="auto"/>
        <w:jc w:val="both"/>
      </w:pPr>
      <w:r>
        <w:t xml:space="preserve">nadzor vozila </w:t>
      </w:r>
      <w:r w:rsidR="00A72CC0" w:rsidRPr="00A66363">
        <w:t xml:space="preserve"> </w:t>
      </w:r>
      <w:r>
        <w:t xml:space="preserve">- tablica </w:t>
      </w:r>
      <w:r w:rsidR="00DF07C1">
        <w:t>24. (objedinjeno u aplikaciji za nadzor vozila)</w:t>
      </w:r>
    </w:p>
    <w:p w14:paraId="41B8C620" w14:textId="2B00F712" w:rsidR="00A72CC0" w:rsidRPr="00A66363" w:rsidRDefault="00A72CC0" w:rsidP="00A72CC0">
      <w:pPr>
        <w:pStyle w:val="NoSpacing"/>
        <w:numPr>
          <w:ilvl w:val="0"/>
          <w:numId w:val="22"/>
        </w:numPr>
        <w:spacing w:line="360" w:lineRule="auto"/>
        <w:jc w:val="both"/>
      </w:pPr>
      <w:r w:rsidRPr="00A66363">
        <w:t>troškove cestarina i tunela (</w:t>
      </w:r>
      <w:r w:rsidR="00921B3D">
        <w:t>-6</w:t>
      </w:r>
      <w:r w:rsidRPr="00A66363">
        <w:t>5%)</w:t>
      </w:r>
      <w:r w:rsidR="00921B3D">
        <w:t xml:space="preserve"> </w:t>
      </w:r>
    </w:p>
    <w:p w14:paraId="12EDB25B" w14:textId="77777777" w:rsidR="0067768E" w:rsidRDefault="0067768E" w:rsidP="00C84768">
      <w:pPr>
        <w:spacing w:line="360" w:lineRule="auto"/>
        <w:jc w:val="both"/>
      </w:pPr>
    </w:p>
    <w:p w14:paraId="2309FD70" w14:textId="3B225BFF" w:rsidR="00B51629" w:rsidRDefault="00B51629" w:rsidP="00B51629">
      <w:pPr>
        <w:spacing w:before="240" w:after="240" w:line="360" w:lineRule="auto"/>
        <w:jc w:val="both"/>
        <w:rPr>
          <w:rFonts w:cstheme="minorHAnsi"/>
        </w:rPr>
      </w:pPr>
      <w:r>
        <w:rPr>
          <w:rFonts w:cstheme="minorHAnsi"/>
        </w:rPr>
        <w:lastRenderedPageBreak/>
        <w:t xml:space="preserve">Troškovi koji su ostali na razini prošlogodišnjih odnose se na </w:t>
      </w:r>
      <w:r w:rsidR="00BE3CF9">
        <w:rPr>
          <w:rFonts w:cstheme="minorHAnsi"/>
        </w:rPr>
        <w:t>ispitivanje kvalitete zraka na automatskoj mjernoj postaji</w:t>
      </w:r>
      <w:r>
        <w:rPr>
          <w:rFonts w:cstheme="minorHAnsi"/>
        </w:rPr>
        <w:t xml:space="preserve"> te na </w:t>
      </w:r>
      <w:r w:rsidR="00BE1904">
        <w:rPr>
          <w:rFonts w:cstheme="minorHAnsi"/>
        </w:rPr>
        <w:t>nadzor nad DDD mjerama.</w:t>
      </w:r>
    </w:p>
    <w:p w14:paraId="746E2BED" w14:textId="18CFBE80" w:rsidR="00325260" w:rsidRPr="00D774AA" w:rsidRDefault="00226755" w:rsidP="00D774AA">
      <w:pPr>
        <w:spacing w:before="240" w:after="240" w:line="360" w:lineRule="auto"/>
        <w:jc w:val="both"/>
        <w:rPr>
          <w:rFonts w:cstheme="minorHAnsi"/>
        </w:rPr>
      </w:pPr>
      <w:r w:rsidRPr="00226755">
        <w:rPr>
          <w:rFonts w:cstheme="minorHAnsi"/>
        </w:rPr>
        <w:t xml:space="preserve">Ostvarenje iznad plana rezultat je većeg obujma aktivnosti i promjena u cijenama određenih specijaliziranih usluga, osobito u segmentima ispitivanja otpada i kontrolnih analiza, dok su pojedine stavke poput </w:t>
      </w:r>
      <w:r>
        <w:rPr>
          <w:rFonts w:cstheme="minorHAnsi"/>
        </w:rPr>
        <w:t>mjerenje emisija u zrak</w:t>
      </w:r>
      <w:r w:rsidRPr="00226755">
        <w:rPr>
          <w:rFonts w:cstheme="minorHAnsi"/>
        </w:rPr>
        <w:t xml:space="preserve"> i ispitivanja voda zabilježile smanjenje u odnosu na prethodno razdoblje.</w:t>
      </w:r>
    </w:p>
    <w:p w14:paraId="5E69B15B" w14:textId="38D4ADB4" w:rsidR="0028216E" w:rsidRPr="00B51FB3" w:rsidRDefault="00B51FB3" w:rsidP="00B51FB3">
      <w:pPr>
        <w:pStyle w:val="Heading3"/>
        <w:spacing w:before="240" w:after="240"/>
      </w:pPr>
      <w:bookmarkStart w:id="73" w:name="_Toc200094288"/>
      <w:r w:rsidRPr="00E9501A">
        <w:t>3.2.</w:t>
      </w:r>
      <w:r>
        <w:t>3</w:t>
      </w:r>
      <w:r w:rsidRPr="00E9501A">
        <w:t>.</w:t>
      </w:r>
      <w:r>
        <w:t>Troškovi osoblja</w:t>
      </w:r>
      <w:bookmarkEnd w:id="73"/>
    </w:p>
    <w:p w14:paraId="18074073" w14:textId="65344934" w:rsidR="00201D60" w:rsidRPr="005D196C" w:rsidRDefault="00922908" w:rsidP="0059297F">
      <w:pPr>
        <w:spacing w:line="360" w:lineRule="auto"/>
        <w:jc w:val="both"/>
      </w:pPr>
      <w:r w:rsidRPr="00CB3323">
        <w:rPr>
          <w:b/>
          <w:bCs/>
        </w:rPr>
        <w:t>Troškovi osoblja</w:t>
      </w:r>
      <w:r w:rsidRPr="005D196C">
        <w:rPr>
          <w:b/>
          <w:bCs/>
        </w:rPr>
        <w:t xml:space="preserve"> </w:t>
      </w:r>
      <w:r w:rsidR="00BE648B" w:rsidRPr="005D196C">
        <w:t xml:space="preserve">iznose </w:t>
      </w:r>
      <w:r w:rsidR="00F83DEE">
        <w:t>1.877.131</w:t>
      </w:r>
      <w:r w:rsidR="00CA2B2C">
        <w:t xml:space="preserve"> eur</w:t>
      </w:r>
      <w:r w:rsidR="00F83DEE">
        <w:t>o</w:t>
      </w:r>
      <w:r w:rsidR="008C54CA" w:rsidRPr="005D196C">
        <w:t xml:space="preserve"> </w:t>
      </w:r>
      <w:r w:rsidR="00F83DEE" w:rsidRPr="00F83DEE">
        <w:t>što predstavlja povećanje od 25% u odnosu na 2023. godinu, dok su u odnosu na rebalans plana realizirani gotovo identično planiranom iznosu</w:t>
      </w:r>
      <w:r w:rsidR="00167DC7" w:rsidRPr="00F83DEE">
        <w:t>.</w:t>
      </w:r>
      <w:r w:rsidR="00167DC7">
        <w:t xml:space="preserve"> </w:t>
      </w:r>
      <w:r w:rsidR="00201D60" w:rsidRPr="005D196C">
        <w:t xml:space="preserve"> </w:t>
      </w:r>
      <w:r w:rsidR="00CA2B2C">
        <w:t xml:space="preserve">Do povećanja </w:t>
      </w:r>
      <w:r w:rsidR="00391AEB">
        <w:t xml:space="preserve">u odnosu na prethodno razdoblje došlo je zbog nove sistematizacije i </w:t>
      </w:r>
      <w:r w:rsidR="0014682F">
        <w:t xml:space="preserve">potpisivanja </w:t>
      </w:r>
      <w:r w:rsidR="00391AEB">
        <w:t xml:space="preserve">kolektivnog ugovora. </w:t>
      </w:r>
    </w:p>
    <w:p w14:paraId="688F16BB" w14:textId="4AF8A4D3" w:rsidR="002464C2" w:rsidRPr="005D196C" w:rsidRDefault="002464C2" w:rsidP="00840E6B">
      <w:pPr>
        <w:pStyle w:val="Caption"/>
        <w:spacing w:before="240" w:after="240"/>
        <w:rPr>
          <w:rFonts w:asciiTheme="minorHAnsi" w:hAnsiTheme="minorHAnsi" w:cstheme="minorHAnsi"/>
          <w:b w:val="0"/>
          <w:bCs w:val="0"/>
          <w:sz w:val="22"/>
          <w:szCs w:val="22"/>
        </w:rPr>
      </w:pPr>
      <w:bookmarkStart w:id="74" w:name="_Toc200366471"/>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33</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Troškovi osoblja</w:t>
      </w:r>
      <w:bookmarkEnd w:id="74"/>
    </w:p>
    <w:tbl>
      <w:tblPr>
        <w:tblW w:w="912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
        <w:gridCol w:w="3050"/>
        <w:gridCol w:w="1247"/>
        <w:gridCol w:w="1247"/>
        <w:gridCol w:w="1247"/>
        <w:gridCol w:w="780"/>
        <w:gridCol w:w="780"/>
      </w:tblGrid>
      <w:tr w:rsidR="00D774AA" w:rsidRPr="005D196C" w14:paraId="4E6769FA" w14:textId="77777777" w:rsidTr="00D774AA">
        <w:trPr>
          <w:trHeight w:val="624"/>
        </w:trPr>
        <w:tc>
          <w:tcPr>
            <w:tcW w:w="773" w:type="dxa"/>
            <w:tcBorders>
              <w:top w:val="single" w:sz="4" w:space="0" w:color="auto"/>
              <w:bottom w:val="single" w:sz="4" w:space="0" w:color="auto"/>
            </w:tcBorders>
            <w:shd w:val="clear" w:color="auto" w:fill="auto"/>
            <w:noWrap/>
            <w:vAlign w:val="center"/>
            <w:hideMark/>
          </w:tcPr>
          <w:p w14:paraId="788AD3C6" w14:textId="3C5DFB8F" w:rsidR="00D774AA" w:rsidRPr="005D196C" w:rsidRDefault="00D774AA" w:rsidP="00D774AA">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050" w:type="dxa"/>
            <w:tcBorders>
              <w:top w:val="single" w:sz="4" w:space="0" w:color="auto"/>
              <w:bottom w:val="single" w:sz="4" w:space="0" w:color="auto"/>
            </w:tcBorders>
            <w:shd w:val="clear" w:color="auto" w:fill="auto"/>
            <w:noWrap/>
            <w:vAlign w:val="center"/>
            <w:hideMark/>
          </w:tcPr>
          <w:p w14:paraId="00EB4C18" w14:textId="1BB1E481" w:rsidR="00D774AA" w:rsidRPr="005D196C" w:rsidRDefault="00D774AA" w:rsidP="00D774AA">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5DD2DD41" w14:textId="553996D6" w:rsidR="00D774AA" w:rsidRPr="005D196C" w:rsidRDefault="00D774AA" w:rsidP="00D774AA">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7D7EEAB7" w14:textId="7C5F9567" w:rsidR="00D774AA" w:rsidRPr="005D196C" w:rsidRDefault="00D774AA" w:rsidP="00D774AA">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08FF6D90" w14:textId="0ED502F6" w:rsidR="00D774AA" w:rsidRPr="005D196C" w:rsidRDefault="00D774AA" w:rsidP="00D774AA">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80" w:type="dxa"/>
            <w:tcBorders>
              <w:top w:val="single" w:sz="4" w:space="0" w:color="auto"/>
              <w:bottom w:val="single" w:sz="4" w:space="0" w:color="auto"/>
            </w:tcBorders>
            <w:shd w:val="clear" w:color="auto" w:fill="auto"/>
            <w:noWrap/>
            <w:vAlign w:val="center"/>
            <w:hideMark/>
          </w:tcPr>
          <w:p w14:paraId="4A1AE330" w14:textId="33819BC0" w:rsidR="00D774AA" w:rsidRPr="005D196C" w:rsidRDefault="00D774AA" w:rsidP="00D774AA">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80" w:type="dxa"/>
            <w:tcBorders>
              <w:top w:val="single" w:sz="4" w:space="0" w:color="auto"/>
              <w:bottom w:val="single" w:sz="4" w:space="0" w:color="auto"/>
            </w:tcBorders>
            <w:shd w:val="clear" w:color="auto" w:fill="auto"/>
            <w:noWrap/>
            <w:vAlign w:val="center"/>
            <w:hideMark/>
          </w:tcPr>
          <w:p w14:paraId="048A72EC" w14:textId="6A253E83" w:rsidR="00D774AA" w:rsidRPr="005D196C" w:rsidRDefault="00D774AA" w:rsidP="00D774AA">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5D196C" w:rsidRPr="005D196C" w14:paraId="01E9CF38" w14:textId="77777777" w:rsidTr="00D774AA">
        <w:trPr>
          <w:trHeight w:val="113"/>
        </w:trPr>
        <w:tc>
          <w:tcPr>
            <w:tcW w:w="773" w:type="dxa"/>
            <w:tcBorders>
              <w:top w:val="single" w:sz="4" w:space="0" w:color="auto"/>
              <w:bottom w:val="single" w:sz="4" w:space="0" w:color="auto"/>
            </w:tcBorders>
            <w:shd w:val="clear" w:color="auto" w:fill="auto"/>
            <w:noWrap/>
            <w:vAlign w:val="center"/>
          </w:tcPr>
          <w:p w14:paraId="7D16F85E" w14:textId="031EB9CE"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eastAsia="Times New Roman" w:cstheme="minorHAnsi"/>
                <w:b/>
                <w:bCs/>
                <w:i/>
                <w:iCs/>
                <w:color w:val="D9D9D9" w:themeColor="background1" w:themeShade="D9"/>
                <w:sz w:val="14"/>
                <w:szCs w:val="14"/>
                <w:lang w:eastAsia="hr-HR"/>
              </w:rPr>
              <w:t>1</w:t>
            </w:r>
          </w:p>
        </w:tc>
        <w:tc>
          <w:tcPr>
            <w:tcW w:w="3050" w:type="dxa"/>
            <w:tcBorders>
              <w:top w:val="single" w:sz="4" w:space="0" w:color="auto"/>
              <w:bottom w:val="single" w:sz="4" w:space="0" w:color="auto"/>
            </w:tcBorders>
            <w:shd w:val="clear" w:color="auto" w:fill="auto"/>
            <w:noWrap/>
            <w:vAlign w:val="center"/>
          </w:tcPr>
          <w:p w14:paraId="75432BA7" w14:textId="4CCAD3D3"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eastAsia="Times New Roman" w:cstheme="minorHAnsi"/>
                <w:b/>
                <w:bCs/>
                <w:i/>
                <w:iCs/>
                <w:color w:val="D9D9D9" w:themeColor="background1" w:themeShade="D9"/>
                <w:sz w:val="14"/>
                <w:szCs w:val="14"/>
                <w:lang w:eastAsia="hr-HR"/>
              </w:rPr>
              <w:t>2</w:t>
            </w:r>
          </w:p>
        </w:tc>
        <w:tc>
          <w:tcPr>
            <w:tcW w:w="1247" w:type="dxa"/>
            <w:tcBorders>
              <w:top w:val="single" w:sz="4" w:space="0" w:color="auto"/>
              <w:bottom w:val="single" w:sz="4" w:space="0" w:color="auto"/>
            </w:tcBorders>
            <w:shd w:val="clear" w:color="auto" w:fill="auto"/>
            <w:noWrap/>
            <w:vAlign w:val="center"/>
          </w:tcPr>
          <w:p w14:paraId="2CEE8919" w14:textId="1C2D2424"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ascii="Calibri" w:eastAsia="Times New Roman" w:hAnsi="Calibri" w:cs="Calibri"/>
                <w:b/>
                <w:bCs/>
                <w:i/>
                <w:iCs/>
                <w:color w:val="D9D9D9" w:themeColor="background1" w:themeShade="D9"/>
                <w:sz w:val="14"/>
                <w:szCs w:val="14"/>
                <w:lang w:eastAsia="hr-HR"/>
              </w:rPr>
              <w:t>3</w:t>
            </w:r>
          </w:p>
        </w:tc>
        <w:tc>
          <w:tcPr>
            <w:tcW w:w="1247" w:type="dxa"/>
            <w:tcBorders>
              <w:top w:val="single" w:sz="4" w:space="0" w:color="auto"/>
              <w:bottom w:val="single" w:sz="4" w:space="0" w:color="auto"/>
            </w:tcBorders>
            <w:shd w:val="clear" w:color="auto" w:fill="auto"/>
            <w:noWrap/>
            <w:vAlign w:val="center"/>
          </w:tcPr>
          <w:p w14:paraId="560E5F6B" w14:textId="0AD0456F"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eastAsia="Times New Roman" w:cstheme="minorHAnsi"/>
                <w:b/>
                <w:bCs/>
                <w:i/>
                <w:iCs/>
                <w:color w:val="D9D9D9" w:themeColor="background1" w:themeShade="D9"/>
                <w:sz w:val="14"/>
                <w:szCs w:val="14"/>
                <w:lang w:eastAsia="hr-HR"/>
              </w:rPr>
              <w:t>4</w:t>
            </w:r>
          </w:p>
        </w:tc>
        <w:tc>
          <w:tcPr>
            <w:tcW w:w="1247" w:type="dxa"/>
            <w:tcBorders>
              <w:top w:val="single" w:sz="4" w:space="0" w:color="auto"/>
              <w:bottom w:val="single" w:sz="4" w:space="0" w:color="auto"/>
            </w:tcBorders>
            <w:shd w:val="clear" w:color="auto" w:fill="auto"/>
            <w:noWrap/>
            <w:vAlign w:val="center"/>
          </w:tcPr>
          <w:p w14:paraId="006F75D3" w14:textId="73046A52"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ascii="Calibri" w:eastAsia="Times New Roman" w:hAnsi="Calibri" w:cs="Calibri"/>
                <w:b/>
                <w:bCs/>
                <w:i/>
                <w:iCs/>
                <w:color w:val="D9D9D9" w:themeColor="background1" w:themeShade="D9"/>
                <w:sz w:val="14"/>
                <w:szCs w:val="14"/>
                <w:lang w:eastAsia="hr-HR"/>
              </w:rPr>
              <w:t>5</w:t>
            </w:r>
          </w:p>
        </w:tc>
        <w:tc>
          <w:tcPr>
            <w:tcW w:w="780" w:type="dxa"/>
            <w:tcBorders>
              <w:top w:val="single" w:sz="4" w:space="0" w:color="auto"/>
              <w:bottom w:val="single" w:sz="4" w:space="0" w:color="auto"/>
            </w:tcBorders>
            <w:shd w:val="clear" w:color="auto" w:fill="auto"/>
            <w:noWrap/>
            <w:vAlign w:val="center"/>
          </w:tcPr>
          <w:p w14:paraId="4F07CCFC" w14:textId="0B6FB212"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ascii="Calibri" w:eastAsia="Times New Roman" w:hAnsi="Calibri" w:cs="Calibri"/>
                <w:b/>
                <w:bCs/>
                <w:i/>
                <w:iCs/>
                <w:color w:val="D9D9D9" w:themeColor="background1" w:themeShade="D9"/>
                <w:sz w:val="14"/>
                <w:szCs w:val="14"/>
                <w:lang w:eastAsia="hr-HR"/>
              </w:rPr>
              <w:t>6</w:t>
            </w:r>
          </w:p>
        </w:tc>
        <w:tc>
          <w:tcPr>
            <w:tcW w:w="780" w:type="dxa"/>
            <w:tcBorders>
              <w:top w:val="single" w:sz="4" w:space="0" w:color="auto"/>
              <w:bottom w:val="single" w:sz="4" w:space="0" w:color="auto"/>
            </w:tcBorders>
            <w:shd w:val="clear" w:color="auto" w:fill="auto"/>
            <w:noWrap/>
            <w:vAlign w:val="center"/>
          </w:tcPr>
          <w:p w14:paraId="794FB543" w14:textId="570F0DC4" w:rsidR="005D196C" w:rsidRPr="004869EC" w:rsidRDefault="005D196C" w:rsidP="005D196C">
            <w:pPr>
              <w:spacing w:after="0" w:line="240" w:lineRule="auto"/>
              <w:jc w:val="center"/>
              <w:rPr>
                <w:rFonts w:eastAsia="Times New Roman" w:cstheme="minorHAnsi"/>
                <w:b/>
                <w:bCs/>
                <w:sz w:val="14"/>
                <w:szCs w:val="14"/>
                <w:lang w:eastAsia="hr-HR"/>
              </w:rPr>
            </w:pPr>
            <w:r w:rsidRPr="004869EC">
              <w:rPr>
                <w:rFonts w:ascii="Calibri" w:eastAsia="Times New Roman" w:hAnsi="Calibri" w:cs="Calibri"/>
                <w:b/>
                <w:bCs/>
                <w:i/>
                <w:iCs/>
                <w:color w:val="D9D9D9" w:themeColor="background1" w:themeShade="D9"/>
                <w:sz w:val="14"/>
                <w:szCs w:val="14"/>
                <w:lang w:eastAsia="hr-HR"/>
              </w:rPr>
              <w:t>7</w:t>
            </w:r>
          </w:p>
        </w:tc>
      </w:tr>
      <w:tr w:rsidR="00D774AA" w:rsidRPr="005D196C" w14:paraId="70E87E9B" w14:textId="77777777" w:rsidTr="00F83DEE">
        <w:trPr>
          <w:trHeight w:val="283"/>
        </w:trPr>
        <w:tc>
          <w:tcPr>
            <w:tcW w:w="773" w:type="dxa"/>
            <w:tcBorders>
              <w:top w:val="single" w:sz="4" w:space="0" w:color="auto"/>
            </w:tcBorders>
            <w:shd w:val="clear" w:color="auto" w:fill="auto"/>
            <w:noWrap/>
            <w:vAlign w:val="bottom"/>
            <w:hideMark/>
          </w:tcPr>
          <w:p w14:paraId="355AE163" w14:textId="77777777" w:rsidR="00D774AA" w:rsidRPr="004869EC" w:rsidRDefault="00D774AA" w:rsidP="00F83DEE">
            <w:pPr>
              <w:spacing w:before="120" w:after="0" w:line="240" w:lineRule="auto"/>
              <w:rPr>
                <w:rFonts w:eastAsia="Times New Roman" w:cstheme="minorHAnsi"/>
                <w:sz w:val="18"/>
                <w:szCs w:val="18"/>
                <w:lang w:eastAsia="hr-HR"/>
              </w:rPr>
            </w:pPr>
            <w:r w:rsidRPr="004869EC">
              <w:rPr>
                <w:rFonts w:eastAsia="Times New Roman" w:cstheme="minorHAnsi"/>
                <w:sz w:val="18"/>
                <w:szCs w:val="18"/>
                <w:lang w:eastAsia="hr-HR"/>
              </w:rPr>
              <w:t>2.</w:t>
            </w:r>
          </w:p>
        </w:tc>
        <w:tc>
          <w:tcPr>
            <w:tcW w:w="3050" w:type="dxa"/>
            <w:tcBorders>
              <w:top w:val="single" w:sz="4" w:space="0" w:color="auto"/>
            </w:tcBorders>
            <w:shd w:val="clear" w:color="auto" w:fill="auto"/>
            <w:noWrap/>
            <w:vAlign w:val="bottom"/>
            <w:hideMark/>
          </w:tcPr>
          <w:p w14:paraId="7A8573EB" w14:textId="77777777" w:rsidR="00D774AA" w:rsidRPr="004869EC" w:rsidRDefault="00D774AA" w:rsidP="00F83DEE">
            <w:pPr>
              <w:spacing w:before="120" w:after="0" w:line="240" w:lineRule="auto"/>
              <w:rPr>
                <w:rFonts w:eastAsia="Times New Roman" w:cstheme="minorHAnsi"/>
                <w:sz w:val="18"/>
                <w:szCs w:val="18"/>
                <w:lang w:eastAsia="hr-HR"/>
              </w:rPr>
            </w:pPr>
            <w:r w:rsidRPr="004869EC">
              <w:rPr>
                <w:rFonts w:eastAsia="Times New Roman" w:cstheme="minorHAnsi"/>
                <w:sz w:val="18"/>
                <w:szCs w:val="18"/>
                <w:lang w:eastAsia="hr-HR"/>
              </w:rPr>
              <w:t>Troškovi osoblja</w:t>
            </w:r>
          </w:p>
        </w:tc>
        <w:tc>
          <w:tcPr>
            <w:tcW w:w="1247" w:type="dxa"/>
            <w:tcBorders>
              <w:top w:val="single" w:sz="4" w:space="0" w:color="auto"/>
            </w:tcBorders>
            <w:shd w:val="clear" w:color="auto" w:fill="auto"/>
            <w:noWrap/>
            <w:vAlign w:val="bottom"/>
            <w:hideMark/>
          </w:tcPr>
          <w:p w14:paraId="6CBD0038" w14:textId="3E0ABF7B" w:rsidR="00D774AA" w:rsidRPr="00D774AA" w:rsidRDefault="00D774AA" w:rsidP="00F83DEE">
            <w:pPr>
              <w:spacing w:before="120" w:after="0" w:line="240" w:lineRule="auto"/>
              <w:jc w:val="center"/>
              <w:rPr>
                <w:rFonts w:eastAsia="Times New Roman" w:cstheme="minorHAnsi"/>
                <w:sz w:val="18"/>
                <w:szCs w:val="18"/>
                <w:lang w:eastAsia="hr-HR"/>
              </w:rPr>
            </w:pPr>
            <w:r w:rsidRPr="00D774AA">
              <w:rPr>
                <w:rFonts w:ascii="Calibri" w:hAnsi="Calibri" w:cs="Calibri"/>
                <w:sz w:val="18"/>
                <w:szCs w:val="18"/>
              </w:rPr>
              <w:t>1.506.128</w:t>
            </w:r>
          </w:p>
        </w:tc>
        <w:tc>
          <w:tcPr>
            <w:tcW w:w="1247" w:type="dxa"/>
            <w:tcBorders>
              <w:top w:val="single" w:sz="4" w:space="0" w:color="auto"/>
            </w:tcBorders>
            <w:shd w:val="clear" w:color="auto" w:fill="auto"/>
            <w:noWrap/>
            <w:vAlign w:val="bottom"/>
            <w:hideMark/>
          </w:tcPr>
          <w:p w14:paraId="29BE5C4E" w14:textId="3FFA4CDA" w:rsidR="00D774AA" w:rsidRPr="00D774AA" w:rsidRDefault="00D774AA" w:rsidP="00F83DEE">
            <w:pPr>
              <w:spacing w:before="120" w:after="0" w:line="240" w:lineRule="auto"/>
              <w:jc w:val="center"/>
              <w:rPr>
                <w:rFonts w:eastAsia="Times New Roman" w:cstheme="minorHAnsi"/>
                <w:sz w:val="18"/>
                <w:szCs w:val="18"/>
                <w:lang w:eastAsia="hr-HR"/>
              </w:rPr>
            </w:pPr>
            <w:r w:rsidRPr="00D774AA">
              <w:rPr>
                <w:rFonts w:ascii="Calibri" w:hAnsi="Calibri" w:cs="Calibri"/>
                <w:sz w:val="18"/>
                <w:szCs w:val="18"/>
              </w:rPr>
              <w:t>1.875.014</w:t>
            </w:r>
          </w:p>
        </w:tc>
        <w:tc>
          <w:tcPr>
            <w:tcW w:w="1247" w:type="dxa"/>
            <w:tcBorders>
              <w:top w:val="single" w:sz="4" w:space="0" w:color="auto"/>
            </w:tcBorders>
            <w:shd w:val="clear" w:color="auto" w:fill="auto"/>
            <w:noWrap/>
            <w:vAlign w:val="bottom"/>
            <w:hideMark/>
          </w:tcPr>
          <w:p w14:paraId="06E7EED6" w14:textId="77391974" w:rsidR="00D774AA" w:rsidRPr="00D774AA" w:rsidRDefault="00D774AA" w:rsidP="00F83DEE">
            <w:pPr>
              <w:spacing w:before="120" w:after="0" w:line="240" w:lineRule="auto"/>
              <w:jc w:val="center"/>
              <w:rPr>
                <w:rFonts w:eastAsia="Times New Roman" w:cstheme="minorHAnsi"/>
                <w:sz w:val="18"/>
                <w:szCs w:val="18"/>
                <w:lang w:eastAsia="hr-HR"/>
              </w:rPr>
            </w:pPr>
            <w:r w:rsidRPr="00D774AA">
              <w:rPr>
                <w:rFonts w:ascii="Calibri" w:hAnsi="Calibri" w:cs="Calibri"/>
                <w:sz w:val="18"/>
                <w:szCs w:val="18"/>
              </w:rPr>
              <w:t>1.877.131</w:t>
            </w:r>
          </w:p>
        </w:tc>
        <w:tc>
          <w:tcPr>
            <w:tcW w:w="780" w:type="dxa"/>
            <w:tcBorders>
              <w:top w:val="single" w:sz="4" w:space="0" w:color="auto"/>
            </w:tcBorders>
            <w:shd w:val="clear" w:color="auto" w:fill="auto"/>
            <w:noWrap/>
            <w:vAlign w:val="bottom"/>
            <w:hideMark/>
          </w:tcPr>
          <w:p w14:paraId="0AC23AB2" w14:textId="61BA0DF2" w:rsidR="00D774AA" w:rsidRPr="00D774AA" w:rsidRDefault="00D774AA" w:rsidP="00F83DEE">
            <w:pPr>
              <w:spacing w:before="120" w:after="0" w:line="240" w:lineRule="auto"/>
              <w:jc w:val="center"/>
              <w:rPr>
                <w:rFonts w:eastAsia="Times New Roman" w:cstheme="minorHAnsi"/>
                <w:sz w:val="18"/>
                <w:szCs w:val="18"/>
                <w:lang w:eastAsia="hr-HR"/>
              </w:rPr>
            </w:pPr>
            <w:r w:rsidRPr="00D774AA">
              <w:rPr>
                <w:rFonts w:ascii="Calibri" w:hAnsi="Calibri" w:cs="Calibri"/>
                <w:sz w:val="18"/>
                <w:szCs w:val="18"/>
              </w:rPr>
              <w:t>125%</w:t>
            </w:r>
          </w:p>
        </w:tc>
        <w:tc>
          <w:tcPr>
            <w:tcW w:w="780" w:type="dxa"/>
            <w:tcBorders>
              <w:top w:val="single" w:sz="4" w:space="0" w:color="auto"/>
            </w:tcBorders>
            <w:shd w:val="clear" w:color="auto" w:fill="auto"/>
            <w:noWrap/>
            <w:vAlign w:val="bottom"/>
            <w:hideMark/>
          </w:tcPr>
          <w:p w14:paraId="585285EB" w14:textId="125540C2" w:rsidR="00D774AA" w:rsidRPr="00D774AA" w:rsidRDefault="00D774AA" w:rsidP="00F83DEE">
            <w:pPr>
              <w:spacing w:before="120" w:after="0" w:line="240" w:lineRule="auto"/>
              <w:jc w:val="center"/>
              <w:rPr>
                <w:rFonts w:eastAsia="Times New Roman" w:cstheme="minorHAnsi"/>
                <w:sz w:val="18"/>
                <w:szCs w:val="18"/>
                <w:lang w:eastAsia="hr-HR"/>
              </w:rPr>
            </w:pPr>
            <w:r w:rsidRPr="00D774AA">
              <w:rPr>
                <w:rFonts w:ascii="Calibri" w:hAnsi="Calibri" w:cs="Calibri"/>
                <w:sz w:val="18"/>
                <w:szCs w:val="18"/>
              </w:rPr>
              <w:t>100%</w:t>
            </w:r>
          </w:p>
        </w:tc>
      </w:tr>
    </w:tbl>
    <w:p w14:paraId="35629817" w14:textId="77777777" w:rsidR="00325260" w:rsidRDefault="00325260" w:rsidP="0059297F">
      <w:pPr>
        <w:spacing w:line="360" w:lineRule="auto"/>
        <w:jc w:val="both"/>
        <w:rPr>
          <w:b/>
          <w:bCs/>
          <w:u w:val="single"/>
        </w:rPr>
      </w:pPr>
    </w:p>
    <w:p w14:paraId="79E8400F" w14:textId="33659349" w:rsidR="00B51FB3" w:rsidRPr="00B51FB3" w:rsidRDefault="00B51FB3" w:rsidP="00B51FB3">
      <w:pPr>
        <w:pStyle w:val="Heading3"/>
        <w:spacing w:before="240" w:after="240"/>
      </w:pPr>
      <w:bookmarkStart w:id="75" w:name="_Toc200094289"/>
      <w:r w:rsidRPr="00E9501A">
        <w:t>3.2.</w:t>
      </w:r>
      <w:r>
        <w:t>4</w:t>
      </w:r>
      <w:r w:rsidRPr="00E9501A">
        <w:t>.</w:t>
      </w:r>
      <w:r>
        <w:t>Trošak amortizacije</w:t>
      </w:r>
      <w:bookmarkEnd w:id="75"/>
    </w:p>
    <w:p w14:paraId="0FE9AF40" w14:textId="59BD1DF9" w:rsidR="000005DC" w:rsidRDefault="00613E74" w:rsidP="000005DC">
      <w:pPr>
        <w:spacing w:line="360" w:lineRule="auto"/>
        <w:jc w:val="both"/>
      </w:pPr>
      <w:r w:rsidRPr="00CB3323">
        <w:rPr>
          <w:b/>
          <w:bCs/>
        </w:rPr>
        <w:t>Trošak amortizacije</w:t>
      </w:r>
      <w:r w:rsidR="00AC1BA5" w:rsidRPr="000A79EF">
        <w:t xml:space="preserve"> </w:t>
      </w:r>
      <w:r w:rsidR="000249F2" w:rsidRPr="000A79EF">
        <w:t xml:space="preserve">iznosi </w:t>
      </w:r>
      <w:r w:rsidR="00A134E8">
        <w:t>3.204.334</w:t>
      </w:r>
      <w:r w:rsidR="004869EC">
        <w:t xml:space="preserve"> eura</w:t>
      </w:r>
      <w:r w:rsidR="000005DC" w:rsidRPr="000005DC">
        <w:t xml:space="preserve"> što predstavlja povećanje od 1% u odnosu na prethodnu godinu kada je iznosio 3.186.313 eura</w:t>
      </w:r>
      <w:r w:rsidR="000005DC">
        <w:t xml:space="preserve"> </w:t>
      </w:r>
      <w:r w:rsidR="000005DC" w:rsidRPr="000005DC">
        <w:t xml:space="preserve">kao i 1% više u odnosu </w:t>
      </w:r>
      <w:r w:rsidR="000005DC">
        <w:t xml:space="preserve">rebalans plana za </w:t>
      </w:r>
      <w:r w:rsidR="000005DC" w:rsidRPr="000005DC">
        <w:t xml:space="preserve"> 2024. godinu (3.179.954 eura). </w:t>
      </w:r>
      <w:r w:rsidR="00DA1B7E" w:rsidRPr="00DA1B7E">
        <w:t>Ostvarenje je gotovo u potpunosti usklađeno s planiranim vrijednostima.</w:t>
      </w:r>
    </w:p>
    <w:p w14:paraId="33C79A61" w14:textId="2EEF3A80" w:rsidR="00724B38" w:rsidRPr="000A79EF" w:rsidRDefault="00724B38" w:rsidP="000005DC">
      <w:pPr>
        <w:spacing w:line="360" w:lineRule="auto"/>
        <w:jc w:val="both"/>
        <w:rPr>
          <w:rFonts w:cstheme="minorHAnsi"/>
        </w:rPr>
      </w:pPr>
      <w:bookmarkStart w:id="76" w:name="_Toc200366472"/>
      <w:r w:rsidRPr="000005DC">
        <w:rPr>
          <w:rFonts w:cstheme="minorHAnsi"/>
          <w:b/>
          <w:bCs/>
        </w:rPr>
        <w:t xml:space="preserve">Tablica </w:t>
      </w:r>
      <w:r w:rsidRPr="000005DC">
        <w:rPr>
          <w:rFonts w:cstheme="minorHAnsi"/>
          <w:b/>
          <w:bCs/>
        </w:rPr>
        <w:fldChar w:fldCharType="begin"/>
      </w:r>
      <w:r w:rsidRPr="000005DC">
        <w:rPr>
          <w:rFonts w:cstheme="minorHAnsi"/>
          <w:b/>
          <w:bCs/>
        </w:rPr>
        <w:instrText xml:space="preserve"> SEQ Tablica \* ARABIC </w:instrText>
      </w:r>
      <w:r w:rsidRPr="000005DC">
        <w:rPr>
          <w:rFonts w:cstheme="minorHAnsi"/>
          <w:b/>
          <w:bCs/>
        </w:rPr>
        <w:fldChar w:fldCharType="separate"/>
      </w:r>
      <w:r w:rsidR="00A1075A">
        <w:rPr>
          <w:rFonts w:cstheme="minorHAnsi"/>
          <w:b/>
          <w:bCs/>
          <w:noProof/>
        </w:rPr>
        <w:t>34</w:t>
      </w:r>
      <w:r w:rsidRPr="000005DC">
        <w:rPr>
          <w:rFonts w:cstheme="minorHAnsi"/>
          <w:b/>
          <w:bCs/>
        </w:rPr>
        <w:fldChar w:fldCharType="end"/>
      </w:r>
      <w:r w:rsidRPr="000005DC">
        <w:rPr>
          <w:rFonts w:cstheme="minorHAnsi"/>
          <w:b/>
          <w:bCs/>
        </w:rPr>
        <w:t>.</w:t>
      </w:r>
      <w:r w:rsidRPr="00840E6B">
        <w:rPr>
          <w:rFonts w:cstheme="minorHAnsi"/>
        </w:rPr>
        <w:t xml:space="preserve"> Trošak amortizacije</w:t>
      </w:r>
      <w:bookmarkEnd w:id="76"/>
    </w:p>
    <w:tbl>
      <w:tblPr>
        <w:tblW w:w="912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
        <w:gridCol w:w="3050"/>
        <w:gridCol w:w="1247"/>
        <w:gridCol w:w="1247"/>
        <w:gridCol w:w="1247"/>
        <w:gridCol w:w="780"/>
        <w:gridCol w:w="780"/>
      </w:tblGrid>
      <w:tr w:rsidR="003E3736" w:rsidRPr="000A79EF" w14:paraId="43F275FC" w14:textId="77777777" w:rsidTr="003E3736">
        <w:trPr>
          <w:trHeight w:val="624"/>
        </w:trPr>
        <w:tc>
          <w:tcPr>
            <w:tcW w:w="773" w:type="dxa"/>
            <w:tcBorders>
              <w:top w:val="single" w:sz="4" w:space="0" w:color="auto"/>
              <w:bottom w:val="single" w:sz="4" w:space="0" w:color="auto"/>
            </w:tcBorders>
            <w:shd w:val="clear" w:color="auto" w:fill="auto"/>
            <w:noWrap/>
            <w:vAlign w:val="center"/>
            <w:hideMark/>
          </w:tcPr>
          <w:p w14:paraId="1B796D4D" w14:textId="3BFE9FC2" w:rsidR="003E3736" w:rsidRPr="000A79EF" w:rsidRDefault="003E3736" w:rsidP="003E3736">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050" w:type="dxa"/>
            <w:tcBorders>
              <w:top w:val="single" w:sz="4" w:space="0" w:color="auto"/>
              <w:bottom w:val="single" w:sz="4" w:space="0" w:color="auto"/>
            </w:tcBorders>
            <w:shd w:val="clear" w:color="auto" w:fill="auto"/>
            <w:noWrap/>
            <w:vAlign w:val="center"/>
            <w:hideMark/>
          </w:tcPr>
          <w:p w14:paraId="1C62DC72" w14:textId="6A4D60B9" w:rsidR="003E3736" w:rsidRPr="000A79EF" w:rsidRDefault="003E3736" w:rsidP="003E3736">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17AFC11B" w14:textId="065C3CDC" w:rsidR="003E3736" w:rsidRPr="000A79EF" w:rsidRDefault="003E3736" w:rsidP="003E3736">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4C8FEB6B" w14:textId="1A7C305F" w:rsidR="003E3736" w:rsidRPr="000A79EF" w:rsidRDefault="003E3736" w:rsidP="003E3736">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48475411" w14:textId="3F13B6D3" w:rsidR="003E3736" w:rsidRPr="000A79EF" w:rsidRDefault="003E3736" w:rsidP="003E3736">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80" w:type="dxa"/>
            <w:tcBorders>
              <w:top w:val="single" w:sz="4" w:space="0" w:color="auto"/>
              <w:bottom w:val="single" w:sz="4" w:space="0" w:color="auto"/>
            </w:tcBorders>
            <w:shd w:val="clear" w:color="auto" w:fill="auto"/>
            <w:noWrap/>
            <w:vAlign w:val="center"/>
            <w:hideMark/>
          </w:tcPr>
          <w:p w14:paraId="7370F51A" w14:textId="4FFB621B" w:rsidR="003E3736" w:rsidRPr="000A79EF" w:rsidRDefault="003E3736" w:rsidP="003E3736">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80" w:type="dxa"/>
            <w:tcBorders>
              <w:top w:val="single" w:sz="4" w:space="0" w:color="auto"/>
              <w:bottom w:val="single" w:sz="4" w:space="0" w:color="auto"/>
            </w:tcBorders>
            <w:shd w:val="clear" w:color="auto" w:fill="auto"/>
            <w:noWrap/>
            <w:vAlign w:val="center"/>
            <w:hideMark/>
          </w:tcPr>
          <w:p w14:paraId="4F77D9FC" w14:textId="753A26E1" w:rsidR="003E3736" w:rsidRPr="000A79EF" w:rsidRDefault="003E3736" w:rsidP="003E3736">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0A79EF" w:rsidRPr="000A79EF" w14:paraId="0CDE52FC" w14:textId="77777777" w:rsidTr="003E3736">
        <w:trPr>
          <w:trHeight w:val="170"/>
        </w:trPr>
        <w:tc>
          <w:tcPr>
            <w:tcW w:w="773" w:type="dxa"/>
            <w:tcBorders>
              <w:top w:val="single" w:sz="4" w:space="0" w:color="auto"/>
              <w:bottom w:val="single" w:sz="4" w:space="0" w:color="auto"/>
            </w:tcBorders>
            <w:shd w:val="clear" w:color="auto" w:fill="auto"/>
            <w:noWrap/>
            <w:vAlign w:val="center"/>
          </w:tcPr>
          <w:p w14:paraId="47A50B6E"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eastAsia="Times New Roman" w:cstheme="minorHAnsi"/>
                <w:b/>
                <w:bCs/>
                <w:i/>
                <w:iCs/>
                <w:color w:val="BFBFBF" w:themeColor="background1" w:themeShade="BF"/>
                <w:sz w:val="16"/>
                <w:szCs w:val="16"/>
                <w:lang w:eastAsia="hr-HR"/>
              </w:rPr>
              <w:t>1</w:t>
            </w:r>
          </w:p>
        </w:tc>
        <w:tc>
          <w:tcPr>
            <w:tcW w:w="3050" w:type="dxa"/>
            <w:tcBorders>
              <w:top w:val="single" w:sz="4" w:space="0" w:color="auto"/>
              <w:bottom w:val="single" w:sz="4" w:space="0" w:color="auto"/>
            </w:tcBorders>
            <w:shd w:val="clear" w:color="auto" w:fill="auto"/>
            <w:noWrap/>
            <w:vAlign w:val="center"/>
          </w:tcPr>
          <w:p w14:paraId="21B44E5C"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eastAsia="Times New Roman" w:cstheme="minorHAnsi"/>
                <w:b/>
                <w:bCs/>
                <w:i/>
                <w:iCs/>
                <w:color w:val="BFBFBF" w:themeColor="background1" w:themeShade="BF"/>
                <w:sz w:val="16"/>
                <w:szCs w:val="16"/>
                <w:lang w:eastAsia="hr-HR"/>
              </w:rPr>
              <w:t>2</w:t>
            </w:r>
          </w:p>
        </w:tc>
        <w:tc>
          <w:tcPr>
            <w:tcW w:w="1247" w:type="dxa"/>
            <w:tcBorders>
              <w:top w:val="single" w:sz="4" w:space="0" w:color="auto"/>
              <w:bottom w:val="single" w:sz="4" w:space="0" w:color="auto"/>
            </w:tcBorders>
            <w:shd w:val="clear" w:color="auto" w:fill="auto"/>
            <w:noWrap/>
            <w:vAlign w:val="center"/>
          </w:tcPr>
          <w:p w14:paraId="1D2ED945"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3</w:t>
            </w:r>
          </w:p>
        </w:tc>
        <w:tc>
          <w:tcPr>
            <w:tcW w:w="1247" w:type="dxa"/>
            <w:tcBorders>
              <w:top w:val="single" w:sz="4" w:space="0" w:color="auto"/>
              <w:bottom w:val="single" w:sz="4" w:space="0" w:color="auto"/>
            </w:tcBorders>
            <w:shd w:val="clear" w:color="auto" w:fill="auto"/>
            <w:noWrap/>
            <w:vAlign w:val="center"/>
          </w:tcPr>
          <w:p w14:paraId="2951E83C"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eastAsia="Times New Roman" w:cstheme="minorHAnsi"/>
                <w:b/>
                <w:bCs/>
                <w:i/>
                <w:iCs/>
                <w:color w:val="BFBFBF" w:themeColor="background1" w:themeShade="BF"/>
                <w:sz w:val="16"/>
                <w:szCs w:val="16"/>
                <w:lang w:eastAsia="hr-HR"/>
              </w:rPr>
              <w:t>4</w:t>
            </w:r>
          </w:p>
        </w:tc>
        <w:tc>
          <w:tcPr>
            <w:tcW w:w="1247" w:type="dxa"/>
            <w:tcBorders>
              <w:top w:val="single" w:sz="4" w:space="0" w:color="auto"/>
              <w:bottom w:val="single" w:sz="4" w:space="0" w:color="auto"/>
            </w:tcBorders>
            <w:shd w:val="clear" w:color="auto" w:fill="auto"/>
            <w:noWrap/>
            <w:vAlign w:val="center"/>
          </w:tcPr>
          <w:p w14:paraId="46471A2B"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5</w:t>
            </w:r>
          </w:p>
        </w:tc>
        <w:tc>
          <w:tcPr>
            <w:tcW w:w="780" w:type="dxa"/>
            <w:tcBorders>
              <w:top w:val="single" w:sz="4" w:space="0" w:color="auto"/>
              <w:bottom w:val="single" w:sz="4" w:space="0" w:color="auto"/>
            </w:tcBorders>
            <w:shd w:val="clear" w:color="auto" w:fill="auto"/>
            <w:noWrap/>
            <w:vAlign w:val="center"/>
          </w:tcPr>
          <w:p w14:paraId="30C3AB54"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6</w:t>
            </w:r>
          </w:p>
        </w:tc>
        <w:tc>
          <w:tcPr>
            <w:tcW w:w="780" w:type="dxa"/>
            <w:tcBorders>
              <w:top w:val="single" w:sz="4" w:space="0" w:color="auto"/>
              <w:bottom w:val="single" w:sz="4" w:space="0" w:color="auto"/>
            </w:tcBorders>
            <w:shd w:val="clear" w:color="auto" w:fill="auto"/>
            <w:noWrap/>
            <w:vAlign w:val="center"/>
          </w:tcPr>
          <w:p w14:paraId="5D9088D6" w14:textId="77777777" w:rsidR="000A79EF" w:rsidRPr="004625C0" w:rsidRDefault="000A79EF" w:rsidP="00983E84">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7</w:t>
            </w:r>
          </w:p>
        </w:tc>
      </w:tr>
      <w:tr w:rsidR="003E3736" w:rsidRPr="000A79EF" w14:paraId="734BBE9E" w14:textId="77777777" w:rsidTr="00325260">
        <w:trPr>
          <w:trHeight w:val="283"/>
        </w:trPr>
        <w:tc>
          <w:tcPr>
            <w:tcW w:w="773" w:type="dxa"/>
            <w:tcBorders>
              <w:top w:val="single" w:sz="4" w:space="0" w:color="auto"/>
            </w:tcBorders>
            <w:shd w:val="clear" w:color="auto" w:fill="auto"/>
            <w:noWrap/>
            <w:vAlign w:val="bottom"/>
            <w:hideMark/>
          </w:tcPr>
          <w:p w14:paraId="48224DD6" w14:textId="5CA09978" w:rsidR="003E3736" w:rsidRPr="00C1082D" w:rsidRDefault="003E3736" w:rsidP="00325260">
            <w:pPr>
              <w:spacing w:before="120" w:after="0" w:line="240" w:lineRule="auto"/>
              <w:rPr>
                <w:rFonts w:eastAsia="Times New Roman" w:cstheme="minorHAnsi"/>
                <w:sz w:val="18"/>
                <w:szCs w:val="18"/>
                <w:lang w:eastAsia="hr-HR"/>
              </w:rPr>
            </w:pPr>
            <w:r>
              <w:rPr>
                <w:rFonts w:eastAsia="Times New Roman" w:cstheme="minorHAnsi"/>
                <w:sz w:val="18"/>
                <w:szCs w:val="18"/>
                <w:lang w:eastAsia="hr-HR"/>
              </w:rPr>
              <w:t>3</w:t>
            </w:r>
            <w:r w:rsidRPr="00C1082D">
              <w:rPr>
                <w:rFonts w:eastAsia="Times New Roman" w:cstheme="minorHAnsi"/>
                <w:sz w:val="18"/>
                <w:szCs w:val="18"/>
                <w:lang w:eastAsia="hr-HR"/>
              </w:rPr>
              <w:t>.</w:t>
            </w:r>
          </w:p>
        </w:tc>
        <w:tc>
          <w:tcPr>
            <w:tcW w:w="3050" w:type="dxa"/>
            <w:tcBorders>
              <w:top w:val="single" w:sz="4" w:space="0" w:color="auto"/>
            </w:tcBorders>
            <w:shd w:val="clear" w:color="auto" w:fill="auto"/>
            <w:noWrap/>
            <w:vAlign w:val="bottom"/>
            <w:hideMark/>
          </w:tcPr>
          <w:p w14:paraId="6710DEBC" w14:textId="1F4C7C92" w:rsidR="003E3736" w:rsidRPr="00C1082D" w:rsidRDefault="003E3736" w:rsidP="00325260">
            <w:pPr>
              <w:spacing w:before="120" w:after="0" w:line="240" w:lineRule="auto"/>
              <w:rPr>
                <w:rFonts w:eastAsia="Times New Roman" w:cstheme="minorHAnsi"/>
                <w:sz w:val="18"/>
                <w:szCs w:val="18"/>
                <w:lang w:eastAsia="hr-HR"/>
              </w:rPr>
            </w:pPr>
            <w:r w:rsidRPr="00C1082D">
              <w:rPr>
                <w:rFonts w:eastAsia="Times New Roman" w:cstheme="minorHAnsi"/>
                <w:sz w:val="18"/>
                <w:szCs w:val="18"/>
                <w:lang w:eastAsia="hr-HR"/>
              </w:rPr>
              <w:t>Trošak amortizacije</w:t>
            </w:r>
          </w:p>
        </w:tc>
        <w:tc>
          <w:tcPr>
            <w:tcW w:w="1247" w:type="dxa"/>
            <w:tcBorders>
              <w:top w:val="single" w:sz="4" w:space="0" w:color="auto"/>
            </w:tcBorders>
            <w:shd w:val="clear" w:color="auto" w:fill="auto"/>
            <w:noWrap/>
            <w:vAlign w:val="bottom"/>
            <w:hideMark/>
          </w:tcPr>
          <w:p w14:paraId="0D3DC3E4" w14:textId="0F986BC4" w:rsidR="003E3736" w:rsidRPr="003E3736" w:rsidRDefault="003E3736" w:rsidP="00325260">
            <w:pPr>
              <w:spacing w:before="120" w:after="0" w:line="240" w:lineRule="auto"/>
              <w:jc w:val="center"/>
              <w:rPr>
                <w:rFonts w:eastAsia="Times New Roman" w:cstheme="minorHAnsi"/>
                <w:sz w:val="18"/>
                <w:szCs w:val="18"/>
                <w:lang w:eastAsia="hr-HR"/>
              </w:rPr>
            </w:pPr>
            <w:r w:rsidRPr="003E3736">
              <w:rPr>
                <w:rFonts w:ascii="Calibri" w:hAnsi="Calibri" w:cs="Calibri"/>
                <w:sz w:val="18"/>
                <w:szCs w:val="18"/>
              </w:rPr>
              <w:t>3.186.313</w:t>
            </w:r>
          </w:p>
        </w:tc>
        <w:tc>
          <w:tcPr>
            <w:tcW w:w="1247" w:type="dxa"/>
            <w:tcBorders>
              <w:top w:val="single" w:sz="4" w:space="0" w:color="auto"/>
            </w:tcBorders>
            <w:shd w:val="clear" w:color="auto" w:fill="auto"/>
            <w:noWrap/>
            <w:vAlign w:val="bottom"/>
            <w:hideMark/>
          </w:tcPr>
          <w:p w14:paraId="1590C365" w14:textId="556153E1" w:rsidR="003E3736" w:rsidRPr="003E3736" w:rsidRDefault="003E3736" w:rsidP="00325260">
            <w:pPr>
              <w:spacing w:before="120" w:after="0" w:line="240" w:lineRule="auto"/>
              <w:jc w:val="center"/>
              <w:rPr>
                <w:rFonts w:eastAsia="Times New Roman" w:cstheme="minorHAnsi"/>
                <w:sz w:val="18"/>
                <w:szCs w:val="18"/>
                <w:lang w:eastAsia="hr-HR"/>
              </w:rPr>
            </w:pPr>
            <w:r w:rsidRPr="003E3736">
              <w:rPr>
                <w:rFonts w:ascii="Calibri" w:hAnsi="Calibri" w:cs="Calibri"/>
                <w:sz w:val="18"/>
                <w:szCs w:val="18"/>
              </w:rPr>
              <w:t>3.179.954</w:t>
            </w:r>
          </w:p>
        </w:tc>
        <w:tc>
          <w:tcPr>
            <w:tcW w:w="1247" w:type="dxa"/>
            <w:tcBorders>
              <w:top w:val="single" w:sz="4" w:space="0" w:color="auto"/>
            </w:tcBorders>
            <w:shd w:val="clear" w:color="auto" w:fill="auto"/>
            <w:noWrap/>
            <w:vAlign w:val="bottom"/>
            <w:hideMark/>
          </w:tcPr>
          <w:p w14:paraId="6DA4AAB1" w14:textId="35A6930B" w:rsidR="003E3736" w:rsidRPr="003E3736" w:rsidRDefault="003E3736" w:rsidP="00325260">
            <w:pPr>
              <w:spacing w:before="120" w:after="0" w:line="240" w:lineRule="auto"/>
              <w:jc w:val="center"/>
              <w:rPr>
                <w:rFonts w:eastAsia="Times New Roman" w:cstheme="minorHAnsi"/>
                <w:sz w:val="18"/>
                <w:szCs w:val="18"/>
                <w:lang w:eastAsia="hr-HR"/>
              </w:rPr>
            </w:pPr>
            <w:r w:rsidRPr="003E3736">
              <w:rPr>
                <w:rFonts w:ascii="Calibri" w:hAnsi="Calibri" w:cs="Calibri"/>
                <w:sz w:val="18"/>
                <w:szCs w:val="18"/>
              </w:rPr>
              <w:t>3.204.334</w:t>
            </w:r>
          </w:p>
        </w:tc>
        <w:tc>
          <w:tcPr>
            <w:tcW w:w="780" w:type="dxa"/>
            <w:tcBorders>
              <w:top w:val="single" w:sz="4" w:space="0" w:color="auto"/>
            </w:tcBorders>
            <w:shd w:val="clear" w:color="auto" w:fill="auto"/>
            <w:noWrap/>
            <w:vAlign w:val="bottom"/>
            <w:hideMark/>
          </w:tcPr>
          <w:p w14:paraId="6135408F" w14:textId="59CA1D62" w:rsidR="003E3736" w:rsidRPr="003E3736" w:rsidRDefault="003E3736" w:rsidP="00325260">
            <w:pPr>
              <w:spacing w:before="120" w:after="0" w:line="240" w:lineRule="auto"/>
              <w:jc w:val="center"/>
              <w:rPr>
                <w:rFonts w:eastAsia="Times New Roman" w:cstheme="minorHAnsi"/>
                <w:sz w:val="18"/>
                <w:szCs w:val="18"/>
                <w:lang w:eastAsia="hr-HR"/>
              </w:rPr>
            </w:pPr>
            <w:r w:rsidRPr="003E3736">
              <w:rPr>
                <w:rFonts w:ascii="Calibri" w:hAnsi="Calibri" w:cs="Calibri"/>
                <w:sz w:val="18"/>
                <w:szCs w:val="18"/>
              </w:rPr>
              <w:t>101%</w:t>
            </w:r>
          </w:p>
        </w:tc>
        <w:tc>
          <w:tcPr>
            <w:tcW w:w="780" w:type="dxa"/>
            <w:tcBorders>
              <w:top w:val="single" w:sz="4" w:space="0" w:color="auto"/>
            </w:tcBorders>
            <w:shd w:val="clear" w:color="auto" w:fill="auto"/>
            <w:noWrap/>
            <w:vAlign w:val="bottom"/>
            <w:hideMark/>
          </w:tcPr>
          <w:p w14:paraId="52FA9C51" w14:textId="677F68D6" w:rsidR="003E3736" w:rsidRPr="003E3736" w:rsidRDefault="003E3736" w:rsidP="00325260">
            <w:pPr>
              <w:spacing w:before="120" w:after="0" w:line="240" w:lineRule="auto"/>
              <w:jc w:val="center"/>
              <w:rPr>
                <w:rFonts w:eastAsia="Times New Roman" w:cstheme="minorHAnsi"/>
                <w:sz w:val="18"/>
                <w:szCs w:val="18"/>
                <w:lang w:eastAsia="hr-HR"/>
              </w:rPr>
            </w:pPr>
            <w:r w:rsidRPr="003E3736">
              <w:rPr>
                <w:rFonts w:ascii="Calibri" w:hAnsi="Calibri" w:cs="Calibri"/>
                <w:sz w:val="18"/>
                <w:szCs w:val="18"/>
              </w:rPr>
              <w:t>101%</w:t>
            </w:r>
          </w:p>
        </w:tc>
      </w:tr>
    </w:tbl>
    <w:p w14:paraId="478160F4" w14:textId="77777777" w:rsidR="00984EAB" w:rsidRDefault="00984EAB" w:rsidP="00984EAB">
      <w:pPr>
        <w:pStyle w:val="NoSpacing"/>
      </w:pPr>
    </w:p>
    <w:p w14:paraId="3CC95A68" w14:textId="77777777" w:rsidR="00325260" w:rsidRDefault="00325260">
      <w:pPr>
        <w:rPr>
          <w:rFonts w:ascii="Calibri" w:eastAsiaTheme="majorEastAsia" w:hAnsi="Calibri" w:cstheme="majorBidi"/>
          <w:b/>
          <w:i/>
          <w:szCs w:val="24"/>
        </w:rPr>
      </w:pPr>
      <w:r>
        <w:br w:type="page"/>
      </w:r>
    </w:p>
    <w:p w14:paraId="7EBD96B4" w14:textId="7CCC1833" w:rsidR="00B51FB3" w:rsidRPr="00B51FB3" w:rsidRDefault="00B51FB3" w:rsidP="00B51FB3">
      <w:pPr>
        <w:pStyle w:val="Heading3"/>
        <w:spacing w:before="240" w:after="240"/>
      </w:pPr>
      <w:bookmarkStart w:id="77" w:name="_Toc200094290"/>
      <w:r w:rsidRPr="00E9501A">
        <w:lastRenderedPageBreak/>
        <w:t>3.2.</w:t>
      </w:r>
      <w:r>
        <w:t>5</w:t>
      </w:r>
      <w:r w:rsidRPr="00E9501A">
        <w:t>.</w:t>
      </w:r>
      <w:r>
        <w:t>Ostali troškovi poslovanja</w:t>
      </w:r>
      <w:bookmarkEnd w:id="77"/>
    </w:p>
    <w:p w14:paraId="51500CA3" w14:textId="77777777" w:rsidR="000C7DA7" w:rsidRDefault="00835A71" w:rsidP="009A663F">
      <w:pPr>
        <w:spacing w:line="360" w:lineRule="auto"/>
        <w:jc w:val="both"/>
      </w:pPr>
      <w:r w:rsidRPr="00CB3323">
        <w:rPr>
          <w:b/>
          <w:bCs/>
        </w:rPr>
        <w:t>Ostali troškovi poslovanja</w:t>
      </w:r>
      <w:r w:rsidRPr="003E652E">
        <w:t xml:space="preserve"> </w:t>
      </w:r>
      <w:r w:rsidR="000F1903" w:rsidRPr="003E652E">
        <w:t xml:space="preserve">iznose </w:t>
      </w:r>
      <w:r w:rsidR="00C1082D">
        <w:t>4</w:t>
      </w:r>
      <w:r w:rsidR="008214E4">
        <w:t>52.836</w:t>
      </w:r>
      <w:r w:rsidR="00C1082D">
        <w:t xml:space="preserve"> eura</w:t>
      </w:r>
      <w:r w:rsidR="003E652E" w:rsidRPr="003E652E">
        <w:t xml:space="preserve">, </w:t>
      </w:r>
      <w:r w:rsidR="009A663F" w:rsidRPr="009A663F">
        <w:t>to je 4% više u odnosu na prethodnu godinu (2023.: 433.582 eura), dok su 2% manji u odnosu na rebalans plana (460.093 eura).</w:t>
      </w:r>
    </w:p>
    <w:p w14:paraId="50C94966" w14:textId="5007A951" w:rsidR="0070697D" w:rsidRPr="003E652E" w:rsidRDefault="0070697D" w:rsidP="009A663F">
      <w:pPr>
        <w:spacing w:line="360" w:lineRule="auto"/>
        <w:jc w:val="both"/>
        <w:rPr>
          <w:rFonts w:cstheme="minorHAnsi"/>
          <w:b/>
          <w:bCs/>
        </w:rPr>
      </w:pPr>
      <w:bookmarkStart w:id="78" w:name="_Toc200366473"/>
      <w:r w:rsidRPr="000C7DA7">
        <w:rPr>
          <w:rFonts w:cstheme="minorHAnsi"/>
          <w:b/>
          <w:bCs/>
        </w:rPr>
        <w:t xml:space="preserve">Tablica </w:t>
      </w:r>
      <w:r w:rsidRPr="000C7DA7">
        <w:rPr>
          <w:rFonts w:cstheme="minorHAnsi"/>
          <w:b/>
          <w:bCs/>
        </w:rPr>
        <w:fldChar w:fldCharType="begin"/>
      </w:r>
      <w:r w:rsidRPr="000C7DA7">
        <w:rPr>
          <w:rFonts w:cstheme="minorHAnsi"/>
          <w:b/>
          <w:bCs/>
        </w:rPr>
        <w:instrText xml:space="preserve"> SEQ Tablica \* ARABIC </w:instrText>
      </w:r>
      <w:r w:rsidRPr="000C7DA7">
        <w:rPr>
          <w:rFonts w:cstheme="minorHAnsi"/>
          <w:b/>
          <w:bCs/>
        </w:rPr>
        <w:fldChar w:fldCharType="separate"/>
      </w:r>
      <w:r w:rsidR="00A1075A">
        <w:rPr>
          <w:rFonts w:cstheme="minorHAnsi"/>
          <w:b/>
          <w:bCs/>
          <w:noProof/>
        </w:rPr>
        <w:t>35</w:t>
      </w:r>
      <w:r w:rsidRPr="000C7DA7">
        <w:rPr>
          <w:rFonts w:cstheme="minorHAnsi"/>
          <w:b/>
          <w:bCs/>
        </w:rPr>
        <w:fldChar w:fldCharType="end"/>
      </w:r>
      <w:r w:rsidRPr="00840E6B">
        <w:rPr>
          <w:rFonts w:cstheme="minorHAnsi"/>
        </w:rPr>
        <w:t>. Ostali troškovi poslovanja</w:t>
      </w:r>
      <w:bookmarkEnd w:id="78"/>
    </w:p>
    <w:tbl>
      <w:tblPr>
        <w:tblW w:w="93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46"/>
        <w:gridCol w:w="3491"/>
        <w:gridCol w:w="1203"/>
        <w:gridCol w:w="1203"/>
        <w:gridCol w:w="1203"/>
        <w:gridCol w:w="752"/>
        <w:gridCol w:w="756"/>
      </w:tblGrid>
      <w:tr w:rsidR="00AF1345" w:rsidRPr="008E4612" w14:paraId="35BE8450" w14:textId="77777777" w:rsidTr="00832A9D">
        <w:trPr>
          <w:trHeight w:val="635"/>
        </w:trPr>
        <w:tc>
          <w:tcPr>
            <w:tcW w:w="746" w:type="dxa"/>
            <w:tcBorders>
              <w:top w:val="single" w:sz="4" w:space="0" w:color="auto"/>
              <w:bottom w:val="single" w:sz="4" w:space="0" w:color="auto"/>
            </w:tcBorders>
            <w:shd w:val="clear" w:color="auto" w:fill="auto"/>
            <w:noWrap/>
            <w:vAlign w:val="center"/>
            <w:hideMark/>
          </w:tcPr>
          <w:p w14:paraId="37147EF9" w14:textId="4F1CF6D9" w:rsidR="00AF1345" w:rsidRPr="008E4612" w:rsidRDefault="00AF1345" w:rsidP="00AF1345">
            <w:pPr>
              <w:spacing w:before="120" w:after="0" w:line="240" w:lineRule="auto"/>
              <w:rPr>
                <w:rFonts w:eastAsia="Times New Roman" w:cstheme="minorHAnsi"/>
                <w:b/>
                <w:bCs/>
                <w:color w:val="FF0000"/>
                <w:sz w:val="20"/>
                <w:szCs w:val="20"/>
                <w:lang w:eastAsia="hr-HR"/>
              </w:rPr>
            </w:pPr>
            <w:r w:rsidRPr="00264869">
              <w:rPr>
                <w:rFonts w:eastAsia="Times New Roman" w:cstheme="minorHAnsi"/>
                <w:b/>
                <w:bCs/>
                <w:sz w:val="18"/>
                <w:szCs w:val="18"/>
                <w:lang w:eastAsia="hr-HR"/>
              </w:rPr>
              <w:t>R. br.</w:t>
            </w:r>
          </w:p>
        </w:tc>
        <w:tc>
          <w:tcPr>
            <w:tcW w:w="3491" w:type="dxa"/>
            <w:tcBorders>
              <w:top w:val="single" w:sz="4" w:space="0" w:color="auto"/>
              <w:bottom w:val="single" w:sz="4" w:space="0" w:color="auto"/>
            </w:tcBorders>
            <w:shd w:val="clear" w:color="auto" w:fill="auto"/>
            <w:noWrap/>
            <w:vAlign w:val="center"/>
            <w:hideMark/>
          </w:tcPr>
          <w:p w14:paraId="2857E8F4" w14:textId="3EE8700E" w:rsidR="00AF1345" w:rsidRPr="008E4612" w:rsidRDefault="00AF1345" w:rsidP="00AF1345">
            <w:pPr>
              <w:spacing w:before="120" w:after="0" w:line="240" w:lineRule="auto"/>
              <w:jc w:val="center"/>
              <w:rPr>
                <w:rFonts w:eastAsia="Times New Roman" w:cstheme="minorHAnsi"/>
                <w:b/>
                <w:bCs/>
                <w:color w:val="FF0000"/>
                <w:sz w:val="20"/>
                <w:szCs w:val="20"/>
                <w:lang w:eastAsia="hr-HR"/>
              </w:rPr>
            </w:pPr>
            <w:r w:rsidRPr="00264869">
              <w:rPr>
                <w:rFonts w:eastAsia="Times New Roman" w:cstheme="minorHAnsi"/>
                <w:b/>
                <w:bCs/>
                <w:sz w:val="18"/>
                <w:szCs w:val="18"/>
                <w:lang w:eastAsia="hr-HR"/>
              </w:rPr>
              <w:t xml:space="preserve">O p i s </w:t>
            </w:r>
          </w:p>
        </w:tc>
        <w:tc>
          <w:tcPr>
            <w:tcW w:w="1203" w:type="dxa"/>
            <w:tcBorders>
              <w:top w:val="single" w:sz="4" w:space="0" w:color="auto"/>
              <w:bottom w:val="single" w:sz="4" w:space="0" w:color="auto"/>
            </w:tcBorders>
            <w:shd w:val="clear" w:color="auto" w:fill="auto"/>
            <w:noWrap/>
            <w:vAlign w:val="center"/>
            <w:hideMark/>
          </w:tcPr>
          <w:p w14:paraId="4F90B1F4" w14:textId="4EF9D945" w:rsidR="00AF1345" w:rsidRPr="008E4612" w:rsidRDefault="00AF1345" w:rsidP="00AF1345">
            <w:pPr>
              <w:spacing w:before="120" w:after="0" w:line="240" w:lineRule="auto"/>
              <w:jc w:val="center"/>
              <w:rPr>
                <w:rFonts w:eastAsia="Times New Roman" w:cstheme="minorHAnsi"/>
                <w:b/>
                <w:bCs/>
                <w:color w:val="FF0000"/>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03" w:type="dxa"/>
            <w:tcBorders>
              <w:top w:val="single" w:sz="4" w:space="0" w:color="auto"/>
              <w:bottom w:val="single" w:sz="4" w:space="0" w:color="auto"/>
            </w:tcBorders>
            <w:shd w:val="clear" w:color="auto" w:fill="auto"/>
            <w:noWrap/>
            <w:vAlign w:val="center"/>
            <w:hideMark/>
          </w:tcPr>
          <w:p w14:paraId="7D07CB42" w14:textId="44558D59" w:rsidR="00AF1345" w:rsidRPr="008E4612" w:rsidRDefault="00AF1345" w:rsidP="00AF1345">
            <w:pPr>
              <w:spacing w:before="120" w:after="0" w:line="240" w:lineRule="auto"/>
              <w:jc w:val="center"/>
              <w:rPr>
                <w:rFonts w:eastAsia="Times New Roman" w:cstheme="minorHAnsi"/>
                <w:b/>
                <w:bCs/>
                <w:color w:val="FF0000"/>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03" w:type="dxa"/>
            <w:tcBorders>
              <w:top w:val="single" w:sz="4" w:space="0" w:color="auto"/>
              <w:bottom w:val="single" w:sz="4" w:space="0" w:color="auto"/>
            </w:tcBorders>
            <w:shd w:val="clear" w:color="auto" w:fill="auto"/>
            <w:noWrap/>
            <w:vAlign w:val="center"/>
            <w:hideMark/>
          </w:tcPr>
          <w:p w14:paraId="2F0D9937" w14:textId="585DA147" w:rsidR="00AF1345" w:rsidRPr="008E4612" w:rsidRDefault="00AF1345" w:rsidP="00AF1345">
            <w:pPr>
              <w:spacing w:before="120" w:after="0" w:line="240" w:lineRule="auto"/>
              <w:jc w:val="center"/>
              <w:rPr>
                <w:rFonts w:eastAsia="Times New Roman" w:cstheme="minorHAnsi"/>
                <w:b/>
                <w:bCs/>
                <w:color w:val="FF0000"/>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52" w:type="dxa"/>
            <w:tcBorders>
              <w:top w:val="single" w:sz="4" w:space="0" w:color="auto"/>
              <w:bottom w:val="single" w:sz="4" w:space="0" w:color="auto"/>
            </w:tcBorders>
            <w:shd w:val="clear" w:color="auto" w:fill="auto"/>
            <w:noWrap/>
            <w:vAlign w:val="center"/>
            <w:hideMark/>
          </w:tcPr>
          <w:p w14:paraId="37BB9EBC" w14:textId="5F4518EC" w:rsidR="00AF1345" w:rsidRPr="008E4612" w:rsidRDefault="00AF1345" w:rsidP="00AF1345">
            <w:pPr>
              <w:spacing w:before="120" w:after="0" w:line="240" w:lineRule="auto"/>
              <w:jc w:val="center"/>
              <w:rPr>
                <w:rFonts w:eastAsia="Times New Roman" w:cstheme="minorHAnsi"/>
                <w:b/>
                <w:bCs/>
                <w:color w:val="FF0000"/>
                <w:sz w:val="20"/>
                <w:szCs w:val="20"/>
                <w:lang w:eastAsia="hr-HR"/>
              </w:rPr>
            </w:pPr>
            <w:r w:rsidRPr="00264869">
              <w:rPr>
                <w:rFonts w:eastAsia="Times New Roman" w:cstheme="minorHAnsi"/>
                <w:b/>
                <w:bCs/>
                <w:color w:val="000000"/>
                <w:sz w:val="18"/>
                <w:szCs w:val="18"/>
                <w:lang w:eastAsia="hr-HR"/>
              </w:rPr>
              <w:t>index   (5/3)</w:t>
            </w:r>
          </w:p>
        </w:tc>
        <w:tc>
          <w:tcPr>
            <w:tcW w:w="756" w:type="dxa"/>
            <w:tcBorders>
              <w:top w:val="single" w:sz="4" w:space="0" w:color="auto"/>
              <w:bottom w:val="single" w:sz="4" w:space="0" w:color="auto"/>
            </w:tcBorders>
            <w:shd w:val="clear" w:color="auto" w:fill="auto"/>
            <w:noWrap/>
            <w:vAlign w:val="center"/>
            <w:hideMark/>
          </w:tcPr>
          <w:p w14:paraId="33C55E46" w14:textId="5C91E305" w:rsidR="00AF1345" w:rsidRPr="008E4612" w:rsidRDefault="00AF1345" w:rsidP="00AF1345">
            <w:pPr>
              <w:spacing w:before="120" w:after="0" w:line="240" w:lineRule="auto"/>
              <w:jc w:val="center"/>
              <w:rPr>
                <w:rFonts w:eastAsia="Times New Roman" w:cstheme="minorHAnsi"/>
                <w:b/>
                <w:bCs/>
                <w:color w:val="FF0000"/>
                <w:sz w:val="20"/>
                <w:szCs w:val="20"/>
                <w:lang w:eastAsia="hr-HR"/>
              </w:rPr>
            </w:pPr>
            <w:r w:rsidRPr="00264869">
              <w:rPr>
                <w:rFonts w:eastAsia="Times New Roman" w:cstheme="minorHAnsi"/>
                <w:b/>
                <w:bCs/>
                <w:color w:val="000000"/>
                <w:sz w:val="18"/>
                <w:szCs w:val="18"/>
                <w:lang w:eastAsia="hr-HR"/>
              </w:rPr>
              <w:t>indeks (5/4)</w:t>
            </w:r>
          </w:p>
        </w:tc>
      </w:tr>
      <w:tr w:rsidR="00D477FC" w:rsidRPr="008E4612" w14:paraId="002BB276" w14:textId="77777777" w:rsidTr="00832A9D">
        <w:trPr>
          <w:trHeight w:val="173"/>
        </w:trPr>
        <w:tc>
          <w:tcPr>
            <w:tcW w:w="746" w:type="dxa"/>
            <w:tcBorders>
              <w:top w:val="single" w:sz="4" w:space="0" w:color="auto"/>
              <w:bottom w:val="single" w:sz="4" w:space="0" w:color="auto"/>
            </w:tcBorders>
            <w:shd w:val="clear" w:color="auto" w:fill="auto"/>
            <w:noWrap/>
            <w:vAlign w:val="center"/>
          </w:tcPr>
          <w:p w14:paraId="587A2712" w14:textId="26E740AF" w:rsidR="00D477FC" w:rsidRPr="00984EAB" w:rsidRDefault="00D477FC" w:rsidP="00984EAB">
            <w:pPr>
              <w:pStyle w:val="NoSpacing"/>
              <w:jc w:val="center"/>
              <w:rPr>
                <w:i/>
                <w:iCs/>
                <w:color w:val="BFBFBF" w:themeColor="background1" w:themeShade="BF"/>
                <w:sz w:val="14"/>
                <w:szCs w:val="14"/>
                <w:lang w:eastAsia="hr-HR"/>
              </w:rPr>
            </w:pPr>
            <w:r w:rsidRPr="00984EAB">
              <w:rPr>
                <w:i/>
                <w:iCs/>
                <w:color w:val="BFBFBF" w:themeColor="background1" w:themeShade="BF"/>
                <w:sz w:val="14"/>
                <w:szCs w:val="14"/>
                <w:lang w:eastAsia="hr-HR"/>
              </w:rPr>
              <w:t>1</w:t>
            </w:r>
          </w:p>
        </w:tc>
        <w:tc>
          <w:tcPr>
            <w:tcW w:w="3491" w:type="dxa"/>
            <w:tcBorders>
              <w:top w:val="single" w:sz="4" w:space="0" w:color="auto"/>
              <w:bottom w:val="single" w:sz="4" w:space="0" w:color="auto"/>
            </w:tcBorders>
            <w:shd w:val="clear" w:color="auto" w:fill="auto"/>
            <w:noWrap/>
            <w:vAlign w:val="center"/>
          </w:tcPr>
          <w:p w14:paraId="6139CB02" w14:textId="10A941CF" w:rsidR="00D477FC" w:rsidRPr="00984EAB" w:rsidRDefault="00D477FC" w:rsidP="00984EAB">
            <w:pPr>
              <w:pStyle w:val="NoSpacing"/>
              <w:jc w:val="center"/>
              <w:rPr>
                <w:i/>
                <w:iCs/>
                <w:color w:val="BFBFBF" w:themeColor="background1" w:themeShade="BF"/>
                <w:sz w:val="14"/>
                <w:szCs w:val="14"/>
                <w:lang w:eastAsia="hr-HR"/>
              </w:rPr>
            </w:pPr>
            <w:r w:rsidRPr="00984EAB">
              <w:rPr>
                <w:i/>
                <w:iCs/>
                <w:color w:val="BFBFBF" w:themeColor="background1" w:themeShade="BF"/>
                <w:sz w:val="14"/>
                <w:szCs w:val="14"/>
                <w:lang w:eastAsia="hr-HR"/>
              </w:rPr>
              <w:t>2</w:t>
            </w:r>
          </w:p>
        </w:tc>
        <w:tc>
          <w:tcPr>
            <w:tcW w:w="1203" w:type="dxa"/>
            <w:tcBorders>
              <w:top w:val="single" w:sz="4" w:space="0" w:color="auto"/>
              <w:bottom w:val="single" w:sz="4" w:space="0" w:color="auto"/>
            </w:tcBorders>
            <w:shd w:val="clear" w:color="auto" w:fill="auto"/>
            <w:noWrap/>
            <w:vAlign w:val="center"/>
          </w:tcPr>
          <w:p w14:paraId="012DF408" w14:textId="484E675C" w:rsidR="00D477FC" w:rsidRPr="00984EAB" w:rsidRDefault="00D477FC" w:rsidP="00984EAB">
            <w:pPr>
              <w:pStyle w:val="NoSpacing"/>
              <w:jc w:val="center"/>
              <w:rPr>
                <w:i/>
                <w:iCs/>
                <w:color w:val="BFBFBF" w:themeColor="background1" w:themeShade="BF"/>
                <w:sz w:val="14"/>
                <w:szCs w:val="14"/>
                <w:lang w:eastAsia="hr-HR"/>
              </w:rPr>
            </w:pPr>
            <w:r w:rsidRPr="00984EAB">
              <w:rPr>
                <w:rFonts w:ascii="Calibri" w:hAnsi="Calibri" w:cs="Calibri"/>
                <w:i/>
                <w:iCs/>
                <w:color w:val="BFBFBF" w:themeColor="background1" w:themeShade="BF"/>
                <w:sz w:val="14"/>
                <w:szCs w:val="14"/>
                <w:lang w:eastAsia="hr-HR"/>
              </w:rPr>
              <w:t>3</w:t>
            </w:r>
          </w:p>
        </w:tc>
        <w:tc>
          <w:tcPr>
            <w:tcW w:w="1203" w:type="dxa"/>
            <w:tcBorders>
              <w:top w:val="single" w:sz="4" w:space="0" w:color="auto"/>
              <w:bottom w:val="single" w:sz="4" w:space="0" w:color="auto"/>
            </w:tcBorders>
            <w:shd w:val="clear" w:color="auto" w:fill="auto"/>
            <w:noWrap/>
            <w:vAlign w:val="center"/>
          </w:tcPr>
          <w:p w14:paraId="5AF78463" w14:textId="02E00101" w:rsidR="00D477FC" w:rsidRPr="00984EAB" w:rsidRDefault="00D477FC" w:rsidP="00984EAB">
            <w:pPr>
              <w:pStyle w:val="NoSpacing"/>
              <w:jc w:val="center"/>
              <w:rPr>
                <w:i/>
                <w:iCs/>
                <w:color w:val="BFBFBF" w:themeColor="background1" w:themeShade="BF"/>
                <w:sz w:val="14"/>
                <w:szCs w:val="14"/>
                <w:lang w:eastAsia="hr-HR"/>
              </w:rPr>
            </w:pPr>
            <w:r w:rsidRPr="00984EAB">
              <w:rPr>
                <w:i/>
                <w:iCs/>
                <w:color w:val="BFBFBF" w:themeColor="background1" w:themeShade="BF"/>
                <w:sz w:val="14"/>
                <w:szCs w:val="14"/>
                <w:lang w:eastAsia="hr-HR"/>
              </w:rPr>
              <w:t>4</w:t>
            </w:r>
          </w:p>
        </w:tc>
        <w:tc>
          <w:tcPr>
            <w:tcW w:w="1203" w:type="dxa"/>
            <w:tcBorders>
              <w:top w:val="single" w:sz="4" w:space="0" w:color="auto"/>
              <w:bottom w:val="single" w:sz="4" w:space="0" w:color="auto"/>
            </w:tcBorders>
            <w:shd w:val="clear" w:color="auto" w:fill="auto"/>
            <w:noWrap/>
            <w:vAlign w:val="center"/>
          </w:tcPr>
          <w:p w14:paraId="649EAD9E" w14:textId="669328E6" w:rsidR="00D477FC" w:rsidRPr="00984EAB" w:rsidRDefault="00D477FC" w:rsidP="00984EAB">
            <w:pPr>
              <w:pStyle w:val="NoSpacing"/>
              <w:jc w:val="center"/>
              <w:rPr>
                <w:i/>
                <w:iCs/>
                <w:color w:val="BFBFBF" w:themeColor="background1" w:themeShade="BF"/>
                <w:sz w:val="14"/>
                <w:szCs w:val="14"/>
                <w:lang w:eastAsia="hr-HR"/>
              </w:rPr>
            </w:pPr>
            <w:r w:rsidRPr="00984EAB">
              <w:rPr>
                <w:rFonts w:ascii="Calibri" w:hAnsi="Calibri" w:cs="Calibri"/>
                <w:i/>
                <w:iCs/>
                <w:color w:val="BFBFBF" w:themeColor="background1" w:themeShade="BF"/>
                <w:sz w:val="14"/>
                <w:szCs w:val="14"/>
                <w:lang w:eastAsia="hr-HR"/>
              </w:rPr>
              <w:t>5</w:t>
            </w:r>
          </w:p>
        </w:tc>
        <w:tc>
          <w:tcPr>
            <w:tcW w:w="752" w:type="dxa"/>
            <w:tcBorders>
              <w:top w:val="single" w:sz="4" w:space="0" w:color="auto"/>
              <w:bottom w:val="single" w:sz="4" w:space="0" w:color="auto"/>
            </w:tcBorders>
            <w:shd w:val="clear" w:color="auto" w:fill="auto"/>
            <w:noWrap/>
            <w:vAlign w:val="center"/>
          </w:tcPr>
          <w:p w14:paraId="36778208" w14:textId="3694FFD6" w:rsidR="00D477FC" w:rsidRPr="00984EAB" w:rsidRDefault="00D477FC" w:rsidP="00984EAB">
            <w:pPr>
              <w:pStyle w:val="NoSpacing"/>
              <w:jc w:val="center"/>
              <w:rPr>
                <w:i/>
                <w:iCs/>
                <w:color w:val="BFBFBF" w:themeColor="background1" w:themeShade="BF"/>
                <w:sz w:val="14"/>
                <w:szCs w:val="14"/>
                <w:lang w:eastAsia="hr-HR"/>
              </w:rPr>
            </w:pPr>
            <w:r w:rsidRPr="00984EAB">
              <w:rPr>
                <w:rFonts w:ascii="Calibri" w:hAnsi="Calibri" w:cs="Calibri"/>
                <w:i/>
                <w:iCs/>
                <w:color w:val="BFBFBF" w:themeColor="background1" w:themeShade="BF"/>
                <w:sz w:val="14"/>
                <w:szCs w:val="14"/>
                <w:lang w:eastAsia="hr-HR"/>
              </w:rPr>
              <w:t>6</w:t>
            </w:r>
          </w:p>
        </w:tc>
        <w:tc>
          <w:tcPr>
            <w:tcW w:w="756" w:type="dxa"/>
            <w:tcBorders>
              <w:top w:val="single" w:sz="4" w:space="0" w:color="auto"/>
              <w:bottom w:val="single" w:sz="4" w:space="0" w:color="auto"/>
            </w:tcBorders>
            <w:shd w:val="clear" w:color="auto" w:fill="auto"/>
            <w:noWrap/>
            <w:vAlign w:val="center"/>
          </w:tcPr>
          <w:p w14:paraId="21C43B82" w14:textId="0D277E07" w:rsidR="00D477FC" w:rsidRPr="00984EAB" w:rsidRDefault="00D477FC" w:rsidP="00984EAB">
            <w:pPr>
              <w:pStyle w:val="NoSpacing"/>
              <w:jc w:val="center"/>
              <w:rPr>
                <w:i/>
                <w:iCs/>
                <w:color w:val="BFBFBF" w:themeColor="background1" w:themeShade="BF"/>
                <w:sz w:val="14"/>
                <w:szCs w:val="14"/>
                <w:lang w:eastAsia="hr-HR"/>
              </w:rPr>
            </w:pPr>
            <w:r w:rsidRPr="00984EAB">
              <w:rPr>
                <w:rFonts w:ascii="Calibri" w:hAnsi="Calibri" w:cs="Calibri"/>
                <w:i/>
                <w:iCs/>
                <w:color w:val="BFBFBF" w:themeColor="background1" w:themeShade="BF"/>
                <w:sz w:val="14"/>
                <w:szCs w:val="14"/>
                <w:lang w:eastAsia="hr-HR"/>
              </w:rPr>
              <w:t>7</w:t>
            </w:r>
          </w:p>
        </w:tc>
      </w:tr>
      <w:tr w:rsidR="00AF1345" w:rsidRPr="008E4612" w14:paraId="186B4852" w14:textId="77777777" w:rsidTr="00832A9D">
        <w:trPr>
          <w:trHeight w:val="346"/>
        </w:trPr>
        <w:tc>
          <w:tcPr>
            <w:tcW w:w="746" w:type="dxa"/>
            <w:tcBorders>
              <w:top w:val="single" w:sz="4" w:space="0" w:color="auto"/>
            </w:tcBorders>
            <w:shd w:val="clear" w:color="auto" w:fill="auto"/>
            <w:noWrap/>
            <w:vAlign w:val="bottom"/>
            <w:hideMark/>
          </w:tcPr>
          <w:p w14:paraId="3DE9BB86" w14:textId="306380E2" w:rsidR="00AF1345" w:rsidRPr="00984EAB" w:rsidRDefault="00AF1345" w:rsidP="00AF1345">
            <w:pPr>
              <w:spacing w:before="120" w:after="0" w:line="240" w:lineRule="auto"/>
              <w:rPr>
                <w:rFonts w:eastAsia="Times New Roman" w:cstheme="minorHAnsi"/>
                <w:b/>
                <w:bCs/>
                <w:sz w:val="18"/>
                <w:szCs w:val="18"/>
                <w:lang w:eastAsia="hr-HR"/>
              </w:rPr>
            </w:pPr>
            <w:r w:rsidRPr="00984EAB">
              <w:rPr>
                <w:rFonts w:ascii="Calibri" w:hAnsi="Calibri" w:cs="Calibri"/>
                <w:b/>
                <w:bCs/>
                <w:sz w:val="18"/>
                <w:szCs w:val="18"/>
              </w:rPr>
              <w:t>4.</w:t>
            </w:r>
          </w:p>
        </w:tc>
        <w:tc>
          <w:tcPr>
            <w:tcW w:w="3491" w:type="dxa"/>
            <w:tcBorders>
              <w:top w:val="single" w:sz="4" w:space="0" w:color="auto"/>
            </w:tcBorders>
            <w:shd w:val="clear" w:color="auto" w:fill="auto"/>
            <w:noWrap/>
            <w:vAlign w:val="bottom"/>
            <w:hideMark/>
          </w:tcPr>
          <w:p w14:paraId="4ACBCFF5" w14:textId="5971007B" w:rsidR="00AF1345" w:rsidRPr="00AF1345" w:rsidRDefault="00AF1345" w:rsidP="00AF1345">
            <w:pPr>
              <w:spacing w:before="120" w:after="0" w:line="240" w:lineRule="auto"/>
              <w:rPr>
                <w:rFonts w:eastAsia="Times New Roman" w:cstheme="minorHAnsi"/>
                <w:b/>
                <w:bCs/>
                <w:sz w:val="18"/>
                <w:szCs w:val="18"/>
                <w:lang w:eastAsia="hr-HR"/>
              </w:rPr>
            </w:pPr>
            <w:r w:rsidRPr="00AF1345">
              <w:rPr>
                <w:rFonts w:ascii="Calibri" w:hAnsi="Calibri" w:cs="Calibri"/>
                <w:b/>
                <w:bCs/>
                <w:sz w:val="18"/>
                <w:szCs w:val="18"/>
              </w:rPr>
              <w:t>Ostali troškovi poslovanja</w:t>
            </w:r>
          </w:p>
        </w:tc>
        <w:tc>
          <w:tcPr>
            <w:tcW w:w="1203" w:type="dxa"/>
            <w:tcBorders>
              <w:top w:val="single" w:sz="4" w:space="0" w:color="auto"/>
            </w:tcBorders>
            <w:shd w:val="clear" w:color="auto" w:fill="auto"/>
            <w:noWrap/>
            <w:vAlign w:val="bottom"/>
            <w:hideMark/>
          </w:tcPr>
          <w:p w14:paraId="07F5C066" w14:textId="09ED4316" w:rsidR="00AF1345" w:rsidRPr="00AF1345" w:rsidRDefault="00AF1345" w:rsidP="00AF1345">
            <w:pPr>
              <w:spacing w:before="120" w:after="0" w:line="240" w:lineRule="auto"/>
              <w:jc w:val="center"/>
              <w:rPr>
                <w:rFonts w:eastAsia="Times New Roman" w:cstheme="minorHAnsi"/>
                <w:b/>
                <w:bCs/>
                <w:sz w:val="18"/>
                <w:szCs w:val="18"/>
                <w:lang w:eastAsia="hr-HR"/>
              </w:rPr>
            </w:pPr>
            <w:r w:rsidRPr="00AF1345">
              <w:rPr>
                <w:rFonts w:cstheme="minorHAnsi"/>
                <w:b/>
                <w:bCs/>
                <w:sz w:val="18"/>
                <w:szCs w:val="18"/>
              </w:rPr>
              <w:t>433.582</w:t>
            </w:r>
          </w:p>
        </w:tc>
        <w:tc>
          <w:tcPr>
            <w:tcW w:w="1203" w:type="dxa"/>
            <w:tcBorders>
              <w:top w:val="single" w:sz="4" w:space="0" w:color="auto"/>
            </w:tcBorders>
            <w:shd w:val="clear" w:color="auto" w:fill="auto"/>
            <w:noWrap/>
            <w:vAlign w:val="bottom"/>
            <w:hideMark/>
          </w:tcPr>
          <w:p w14:paraId="79E2CD16" w14:textId="4094E1C5" w:rsidR="00AF1345" w:rsidRPr="00AF1345" w:rsidRDefault="00AF1345" w:rsidP="00AF1345">
            <w:pPr>
              <w:spacing w:before="120" w:after="0" w:line="240" w:lineRule="auto"/>
              <w:jc w:val="center"/>
              <w:rPr>
                <w:rFonts w:eastAsia="Times New Roman" w:cstheme="minorHAnsi"/>
                <w:b/>
                <w:bCs/>
                <w:sz w:val="18"/>
                <w:szCs w:val="18"/>
                <w:lang w:eastAsia="hr-HR"/>
              </w:rPr>
            </w:pPr>
            <w:r w:rsidRPr="00AF1345">
              <w:rPr>
                <w:rFonts w:cstheme="minorHAnsi"/>
                <w:b/>
                <w:bCs/>
                <w:sz w:val="18"/>
                <w:szCs w:val="18"/>
              </w:rPr>
              <w:t>460.093</w:t>
            </w:r>
          </w:p>
        </w:tc>
        <w:tc>
          <w:tcPr>
            <w:tcW w:w="1203" w:type="dxa"/>
            <w:tcBorders>
              <w:top w:val="single" w:sz="4" w:space="0" w:color="auto"/>
            </w:tcBorders>
            <w:shd w:val="clear" w:color="auto" w:fill="auto"/>
            <w:noWrap/>
            <w:vAlign w:val="bottom"/>
            <w:hideMark/>
          </w:tcPr>
          <w:p w14:paraId="0CE2C280" w14:textId="3FC528AA" w:rsidR="00AF1345" w:rsidRPr="00AF1345" w:rsidRDefault="00AF1345" w:rsidP="00AF1345">
            <w:pPr>
              <w:spacing w:before="120" w:after="0" w:line="240" w:lineRule="auto"/>
              <w:jc w:val="center"/>
              <w:rPr>
                <w:rFonts w:eastAsia="Times New Roman" w:cstheme="minorHAnsi"/>
                <w:b/>
                <w:bCs/>
                <w:sz w:val="18"/>
                <w:szCs w:val="18"/>
                <w:lang w:eastAsia="hr-HR"/>
              </w:rPr>
            </w:pPr>
            <w:r w:rsidRPr="00AF1345">
              <w:rPr>
                <w:rFonts w:cstheme="minorHAnsi"/>
                <w:b/>
                <w:bCs/>
                <w:sz w:val="18"/>
                <w:szCs w:val="18"/>
              </w:rPr>
              <w:t>452.836</w:t>
            </w:r>
          </w:p>
        </w:tc>
        <w:tc>
          <w:tcPr>
            <w:tcW w:w="752" w:type="dxa"/>
            <w:tcBorders>
              <w:top w:val="single" w:sz="4" w:space="0" w:color="auto"/>
            </w:tcBorders>
            <w:shd w:val="clear" w:color="auto" w:fill="auto"/>
            <w:noWrap/>
            <w:vAlign w:val="bottom"/>
            <w:hideMark/>
          </w:tcPr>
          <w:p w14:paraId="724C6590" w14:textId="1E71A861" w:rsidR="00AF1345" w:rsidRPr="00AF1345" w:rsidRDefault="00AF1345" w:rsidP="00AF1345">
            <w:pPr>
              <w:spacing w:before="120" w:after="0" w:line="240" w:lineRule="auto"/>
              <w:jc w:val="center"/>
              <w:rPr>
                <w:rFonts w:eastAsia="Times New Roman" w:cstheme="minorHAnsi"/>
                <w:b/>
                <w:bCs/>
                <w:sz w:val="18"/>
                <w:szCs w:val="18"/>
                <w:lang w:eastAsia="hr-HR"/>
              </w:rPr>
            </w:pPr>
            <w:r w:rsidRPr="00AF1345">
              <w:rPr>
                <w:rFonts w:cstheme="minorHAnsi"/>
                <w:b/>
                <w:bCs/>
                <w:sz w:val="18"/>
                <w:szCs w:val="18"/>
              </w:rPr>
              <w:t>104%</w:t>
            </w:r>
          </w:p>
        </w:tc>
        <w:tc>
          <w:tcPr>
            <w:tcW w:w="756" w:type="dxa"/>
            <w:tcBorders>
              <w:top w:val="single" w:sz="4" w:space="0" w:color="auto"/>
            </w:tcBorders>
            <w:shd w:val="clear" w:color="auto" w:fill="auto"/>
            <w:noWrap/>
            <w:vAlign w:val="bottom"/>
            <w:hideMark/>
          </w:tcPr>
          <w:p w14:paraId="77E146EF" w14:textId="2B2DC4A2" w:rsidR="00AF1345" w:rsidRPr="00AF1345" w:rsidRDefault="00AF1345" w:rsidP="00AF1345">
            <w:pPr>
              <w:spacing w:before="120" w:after="0" w:line="240" w:lineRule="auto"/>
              <w:jc w:val="center"/>
              <w:rPr>
                <w:rFonts w:eastAsia="Times New Roman" w:cstheme="minorHAnsi"/>
                <w:b/>
                <w:bCs/>
                <w:sz w:val="18"/>
                <w:szCs w:val="18"/>
                <w:lang w:eastAsia="hr-HR"/>
              </w:rPr>
            </w:pPr>
            <w:r w:rsidRPr="00AF1345">
              <w:rPr>
                <w:rFonts w:cstheme="minorHAnsi"/>
                <w:b/>
                <w:bCs/>
                <w:sz w:val="18"/>
                <w:szCs w:val="18"/>
              </w:rPr>
              <w:t>98%</w:t>
            </w:r>
          </w:p>
        </w:tc>
      </w:tr>
      <w:tr w:rsidR="00AF1345" w:rsidRPr="008E4612" w14:paraId="0F729572" w14:textId="77777777" w:rsidTr="00832A9D">
        <w:trPr>
          <w:trHeight w:val="346"/>
        </w:trPr>
        <w:tc>
          <w:tcPr>
            <w:tcW w:w="746" w:type="dxa"/>
            <w:shd w:val="clear" w:color="auto" w:fill="auto"/>
            <w:noWrap/>
            <w:vAlign w:val="bottom"/>
            <w:hideMark/>
          </w:tcPr>
          <w:p w14:paraId="66C23140" w14:textId="55E1F351"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w:t>
            </w:r>
          </w:p>
        </w:tc>
        <w:tc>
          <w:tcPr>
            <w:tcW w:w="3491" w:type="dxa"/>
            <w:shd w:val="clear" w:color="auto" w:fill="auto"/>
            <w:noWrap/>
            <w:vAlign w:val="bottom"/>
            <w:hideMark/>
          </w:tcPr>
          <w:p w14:paraId="42E85EAF" w14:textId="44930410"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Dnevnice, smještaj i prijevoz na služb. putu</w:t>
            </w:r>
          </w:p>
        </w:tc>
        <w:tc>
          <w:tcPr>
            <w:tcW w:w="1203" w:type="dxa"/>
            <w:shd w:val="clear" w:color="auto" w:fill="auto"/>
            <w:noWrap/>
            <w:vAlign w:val="bottom"/>
            <w:hideMark/>
          </w:tcPr>
          <w:p w14:paraId="678531C5" w14:textId="6249D28C"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1.800</w:t>
            </w:r>
          </w:p>
        </w:tc>
        <w:tc>
          <w:tcPr>
            <w:tcW w:w="1203" w:type="dxa"/>
            <w:shd w:val="clear" w:color="auto" w:fill="auto"/>
            <w:noWrap/>
            <w:vAlign w:val="bottom"/>
            <w:hideMark/>
          </w:tcPr>
          <w:p w14:paraId="7BD3365E" w14:textId="57C0F57D"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3.500</w:t>
            </w:r>
          </w:p>
        </w:tc>
        <w:tc>
          <w:tcPr>
            <w:tcW w:w="1203" w:type="dxa"/>
            <w:shd w:val="clear" w:color="auto" w:fill="auto"/>
            <w:noWrap/>
            <w:vAlign w:val="bottom"/>
            <w:hideMark/>
          </w:tcPr>
          <w:p w14:paraId="70D9B240" w14:textId="4E310E5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4.643</w:t>
            </w:r>
          </w:p>
        </w:tc>
        <w:tc>
          <w:tcPr>
            <w:tcW w:w="752" w:type="dxa"/>
            <w:shd w:val="clear" w:color="auto" w:fill="auto"/>
            <w:noWrap/>
            <w:vAlign w:val="bottom"/>
            <w:hideMark/>
          </w:tcPr>
          <w:p w14:paraId="6A983610" w14:textId="67E3B160"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258%</w:t>
            </w:r>
          </w:p>
        </w:tc>
        <w:tc>
          <w:tcPr>
            <w:tcW w:w="756" w:type="dxa"/>
            <w:shd w:val="clear" w:color="auto" w:fill="auto"/>
            <w:noWrap/>
            <w:vAlign w:val="bottom"/>
            <w:hideMark/>
          </w:tcPr>
          <w:p w14:paraId="6C5EE48B" w14:textId="3A81B67B"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133%</w:t>
            </w:r>
          </w:p>
        </w:tc>
      </w:tr>
      <w:tr w:rsidR="00AF1345" w:rsidRPr="008E4612" w14:paraId="45DBF6B2" w14:textId="77777777" w:rsidTr="00832A9D">
        <w:trPr>
          <w:trHeight w:val="346"/>
        </w:trPr>
        <w:tc>
          <w:tcPr>
            <w:tcW w:w="746" w:type="dxa"/>
            <w:shd w:val="clear" w:color="auto" w:fill="auto"/>
            <w:noWrap/>
            <w:vAlign w:val="bottom"/>
            <w:hideMark/>
          </w:tcPr>
          <w:p w14:paraId="39DBEE16" w14:textId="74C951D3"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4.2</w:t>
            </w:r>
          </w:p>
        </w:tc>
        <w:tc>
          <w:tcPr>
            <w:tcW w:w="3491" w:type="dxa"/>
            <w:shd w:val="clear" w:color="auto" w:fill="auto"/>
            <w:noWrap/>
            <w:vAlign w:val="bottom"/>
            <w:hideMark/>
          </w:tcPr>
          <w:p w14:paraId="45499A42" w14:textId="0F9FC886"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Troškovi prijevoza radnika na posao</w:t>
            </w:r>
          </w:p>
        </w:tc>
        <w:tc>
          <w:tcPr>
            <w:tcW w:w="1203" w:type="dxa"/>
            <w:shd w:val="clear" w:color="auto" w:fill="auto"/>
            <w:noWrap/>
            <w:vAlign w:val="bottom"/>
            <w:hideMark/>
          </w:tcPr>
          <w:p w14:paraId="33AFAEC5" w14:textId="144A980C"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57.011</w:t>
            </w:r>
          </w:p>
        </w:tc>
        <w:tc>
          <w:tcPr>
            <w:tcW w:w="1203" w:type="dxa"/>
            <w:shd w:val="clear" w:color="auto" w:fill="auto"/>
            <w:noWrap/>
            <w:vAlign w:val="bottom"/>
            <w:hideMark/>
          </w:tcPr>
          <w:p w14:paraId="75D07868" w14:textId="02BD7442"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55.172</w:t>
            </w:r>
          </w:p>
        </w:tc>
        <w:tc>
          <w:tcPr>
            <w:tcW w:w="1203" w:type="dxa"/>
            <w:shd w:val="clear" w:color="auto" w:fill="auto"/>
            <w:noWrap/>
            <w:vAlign w:val="bottom"/>
            <w:hideMark/>
          </w:tcPr>
          <w:p w14:paraId="59A81A80" w14:textId="5DF324E2"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52.854</w:t>
            </w:r>
          </w:p>
        </w:tc>
        <w:tc>
          <w:tcPr>
            <w:tcW w:w="752" w:type="dxa"/>
            <w:shd w:val="clear" w:color="auto" w:fill="auto"/>
            <w:noWrap/>
            <w:vAlign w:val="bottom"/>
            <w:hideMark/>
          </w:tcPr>
          <w:p w14:paraId="210D8FEC" w14:textId="0D91F9EC"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93%</w:t>
            </w:r>
          </w:p>
        </w:tc>
        <w:tc>
          <w:tcPr>
            <w:tcW w:w="756" w:type="dxa"/>
            <w:shd w:val="clear" w:color="auto" w:fill="auto"/>
            <w:noWrap/>
            <w:vAlign w:val="bottom"/>
            <w:hideMark/>
          </w:tcPr>
          <w:p w14:paraId="20570809" w14:textId="5237AF24"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96%</w:t>
            </w:r>
          </w:p>
        </w:tc>
      </w:tr>
      <w:tr w:rsidR="00AF1345" w:rsidRPr="008E4612" w14:paraId="24B72F4A" w14:textId="77777777" w:rsidTr="00832A9D">
        <w:trPr>
          <w:trHeight w:val="346"/>
        </w:trPr>
        <w:tc>
          <w:tcPr>
            <w:tcW w:w="746" w:type="dxa"/>
            <w:shd w:val="clear" w:color="auto" w:fill="auto"/>
            <w:noWrap/>
            <w:vAlign w:val="bottom"/>
            <w:hideMark/>
          </w:tcPr>
          <w:p w14:paraId="2293D1B3" w14:textId="298CCEB1"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4.3</w:t>
            </w:r>
          </w:p>
        </w:tc>
        <w:tc>
          <w:tcPr>
            <w:tcW w:w="3491" w:type="dxa"/>
            <w:shd w:val="clear" w:color="auto" w:fill="auto"/>
            <w:noWrap/>
            <w:vAlign w:val="bottom"/>
            <w:hideMark/>
          </w:tcPr>
          <w:p w14:paraId="1BE07B00" w14:textId="4A50F777"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Otpremnine</w:t>
            </w:r>
          </w:p>
        </w:tc>
        <w:tc>
          <w:tcPr>
            <w:tcW w:w="1203" w:type="dxa"/>
            <w:shd w:val="clear" w:color="auto" w:fill="auto"/>
            <w:noWrap/>
            <w:vAlign w:val="bottom"/>
            <w:hideMark/>
          </w:tcPr>
          <w:p w14:paraId="0DDB609B" w14:textId="6234C76D"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29.512</w:t>
            </w:r>
          </w:p>
        </w:tc>
        <w:tc>
          <w:tcPr>
            <w:tcW w:w="1203" w:type="dxa"/>
            <w:shd w:val="clear" w:color="auto" w:fill="auto"/>
            <w:noWrap/>
            <w:vAlign w:val="bottom"/>
            <w:hideMark/>
          </w:tcPr>
          <w:p w14:paraId="3415D73A" w14:textId="59EF541A"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color w:val="000000"/>
                <w:sz w:val="18"/>
                <w:szCs w:val="18"/>
              </w:rPr>
              <w:t>0</w:t>
            </w:r>
          </w:p>
        </w:tc>
        <w:tc>
          <w:tcPr>
            <w:tcW w:w="1203" w:type="dxa"/>
            <w:shd w:val="clear" w:color="auto" w:fill="auto"/>
            <w:noWrap/>
            <w:vAlign w:val="bottom"/>
            <w:hideMark/>
          </w:tcPr>
          <w:p w14:paraId="44EE9965" w14:textId="67F267FD"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0</w:t>
            </w:r>
          </w:p>
        </w:tc>
        <w:tc>
          <w:tcPr>
            <w:tcW w:w="752" w:type="dxa"/>
            <w:shd w:val="clear" w:color="auto" w:fill="auto"/>
            <w:noWrap/>
            <w:vAlign w:val="bottom"/>
            <w:hideMark/>
          </w:tcPr>
          <w:p w14:paraId="107FA2EB" w14:textId="75F23EFE"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0%</w:t>
            </w:r>
          </w:p>
        </w:tc>
        <w:tc>
          <w:tcPr>
            <w:tcW w:w="756" w:type="dxa"/>
            <w:shd w:val="clear" w:color="auto" w:fill="auto"/>
            <w:noWrap/>
            <w:vAlign w:val="bottom"/>
            <w:hideMark/>
          </w:tcPr>
          <w:p w14:paraId="0B99C214" w14:textId="00BABB45" w:rsidR="00AF1345" w:rsidRPr="00AF1345" w:rsidRDefault="000C4EEB"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0%</w:t>
            </w:r>
          </w:p>
        </w:tc>
      </w:tr>
      <w:tr w:rsidR="00AF1345" w:rsidRPr="008E4612" w14:paraId="5F62BD0B" w14:textId="77777777" w:rsidTr="00832A9D">
        <w:trPr>
          <w:trHeight w:val="346"/>
        </w:trPr>
        <w:tc>
          <w:tcPr>
            <w:tcW w:w="746" w:type="dxa"/>
            <w:shd w:val="clear" w:color="auto" w:fill="auto"/>
            <w:noWrap/>
            <w:vAlign w:val="bottom"/>
            <w:hideMark/>
          </w:tcPr>
          <w:p w14:paraId="229E024D" w14:textId="4C9A78BF"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4.4</w:t>
            </w:r>
          </w:p>
        </w:tc>
        <w:tc>
          <w:tcPr>
            <w:tcW w:w="3491" w:type="dxa"/>
            <w:shd w:val="clear" w:color="auto" w:fill="auto"/>
            <w:noWrap/>
            <w:vAlign w:val="bottom"/>
            <w:hideMark/>
          </w:tcPr>
          <w:p w14:paraId="22CB0457" w14:textId="6CFC3C1F"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Darovi djeci</w:t>
            </w:r>
          </w:p>
        </w:tc>
        <w:tc>
          <w:tcPr>
            <w:tcW w:w="1203" w:type="dxa"/>
            <w:shd w:val="clear" w:color="auto" w:fill="auto"/>
            <w:noWrap/>
            <w:vAlign w:val="bottom"/>
            <w:hideMark/>
          </w:tcPr>
          <w:p w14:paraId="61723234" w14:textId="4460102B"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6.238</w:t>
            </w:r>
          </w:p>
        </w:tc>
        <w:tc>
          <w:tcPr>
            <w:tcW w:w="1203" w:type="dxa"/>
            <w:shd w:val="clear" w:color="auto" w:fill="auto"/>
            <w:noWrap/>
            <w:vAlign w:val="bottom"/>
            <w:hideMark/>
          </w:tcPr>
          <w:p w14:paraId="74FCE25C" w14:textId="57D8C28C"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7.000</w:t>
            </w:r>
          </w:p>
        </w:tc>
        <w:tc>
          <w:tcPr>
            <w:tcW w:w="1203" w:type="dxa"/>
            <w:shd w:val="clear" w:color="auto" w:fill="auto"/>
            <w:noWrap/>
            <w:vAlign w:val="bottom"/>
            <w:hideMark/>
          </w:tcPr>
          <w:p w14:paraId="2484CBB9" w14:textId="3ECEE71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7.420</w:t>
            </w:r>
          </w:p>
        </w:tc>
        <w:tc>
          <w:tcPr>
            <w:tcW w:w="752" w:type="dxa"/>
            <w:shd w:val="clear" w:color="auto" w:fill="auto"/>
            <w:noWrap/>
            <w:vAlign w:val="bottom"/>
            <w:hideMark/>
          </w:tcPr>
          <w:p w14:paraId="15884C0E" w14:textId="51809E00"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119%</w:t>
            </w:r>
          </w:p>
        </w:tc>
        <w:tc>
          <w:tcPr>
            <w:tcW w:w="756" w:type="dxa"/>
            <w:shd w:val="clear" w:color="auto" w:fill="auto"/>
            <w:noWrap/>
            <w:vAlign w:val="bottom"/>
            <w:hideMark/>
          </w:tcPr>
          <w:p w14:paraId="28DA7261" w14:textId="2BB88C64"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106%</w:t>
            </w:r>
          </w:p>
        </w:tc>
      </w:tr>
      <w:tr w:rsidR="00AF1345" w:rsidRPr="008E4612" w14:paraId="22828545" w14:textId="77777777" w:rsidTr="00832A9D">
        <w:trPr>
          <w:trHeight w:val="346"/>
        </w:trPr>
        <w:tc>
          <w:tcPr>
            <w:tcW w:w="746" w:type="dxa"/>
            <w:shd w:val="clear" w:color="auto" w:fill="auto"/>
            <w:noWrap/>
            <w:vAlign w:val="bottom"/>
            <w:hideMark/>
          </w:tcPr>
          <w:p w14:paraId="69FB259C" w14:textId="120DADF4"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4.5</w:t>
            </w:r>
          </w:p>
        </w:tc>
        <w:tc>
          <w:tcPr>
            <w:tcW w:w="3491" w:type="dxa"/>
            <w:shd w:val="clear" w:color="auto" w:fill="auto"/>
            <w:noWrap/>
            <w:vAlign w:val="bottom"/>
            <w:hideMark/>
          </w:tcPr>
          <w:p w14:paraId="62DED0F9" w14:textId="1B1DCDD8"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Dar u naravi</w:t>
            </w:r>
          </w:p>
        </w:tc>
        <w:tc>
          <w:tcPr>
            <w:tcW w:w="1203" w:type="dxa"/>
            <w:shd w:val="clear" w:color="auto" w:fill="auto"/>
            <w:noWrap/>
            <w:vAlign w:val="bottom"/>
            <w:hideMark/>
          </w:tcPr>
          <w:p w14:paraId="1903D19A" w14:textId="1B4A636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8.510</w:t>
            </w:r>
          </w:p>
        </w:tc>
        <w:tc>
          <w:tcPr>
            <w:tcW w:w="1203" w:type="dxa"/>
            <w:shd w:val="clear" w:color="auto" w:fill="auto"/>
            <w:noWrap/>
            <w:vAlign w:val="bottom"/>
            <w:hideMark/>
          </w:tcPr>
          <w:p w14:paraId="428CBF10" w14:textId="647FBBC4"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color w:val="000000"/>
                <w:sz w:val="18"/>
                <w:szCs w:val="18"/>
              </w:rPr>
              <w:t>9.800</w:t>
            </w:r>
          </w:p>
        </w:tc>
        <w:tc>
          <w:tcPr>
            <w:tcW w:w="1203" w:type="dxa"/>
            <w:shd w:val="clear" w:color="auto" w:fill="auto"/>
            <w:noWrap/>
            <w:vAlign w:val="bottom"/>
            <w:hideMark/>
          </w:tcPr>
          <w:p w14:paraId="2C8A928B" w14:textId="7A19C9C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8.548</w:t>
            </w:r>
          </w:p>
        </w:tc>
        <w:tc>
          <w:tcPr>
            <w:tcW w:w="752" w:type="dxa"/>
            <w:shd w:val="clear" w:color="auto" w:fill="auto"/>
            <w:noWrap/>
            <w:vAlign w:val="bottom"/>
            <w:hideMark/>
          </w:tcPr>
          <w:p w14:paraId="5B24AE25" w14:textId="60878E3B"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w:t>
            </w:r>
          </w:p>
        </w:tc>
        <w:tc>
          <w:tcPr>
            <w:tcW w:w="756" w:type="dxa"/>
            <w:shd w:val="clear" w:color="auto" w:fill="auto"/>
            <w:noWrap/>
            <w:vAlign w:val="bottom"/>
            <w:hideMark/>
          </w:tcPr>
          <w:p w14:paraId="29399E81" w14:textId="7D491A28"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87%</w:t>
            </w:r>
          </w:p>
        </w:tc>
      </w:tr>
      <w:tr w:rsidR="00AF1345" w:rsidRPr="008E4612" w14:paraId="33753F47" w14:textId="77777777" w:rsidTr="00832A9D">
        <w:trPr>
          <w:trHeight w:val="346"/>
        </w:trPr>
        <w:tc>
          <w:tcPr>
            <w:tcW w:w="746" w:type="dxa"/>
            <w:shd w:val="clear" w:color="auto" w:fill="auto"/>
            <w:noWrap/>
            <w:vAlign w:val="bottom"/>
            <w:hideMark/>
          </w:tcPr>
          <w:p w14:paraId="043F69B5" w14:textId="397A9F24"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4.6</w:t>
            </w:r>
          </w:p>
        </w:tc>
        <w:tc>
          <w:tcPr>
            <w:tcW w:w="3491" w:type="dxa"/>
            <w:shd w:val="clear" w:color="auto" w:fill="auto"/>
            <w:noWrap/>
            <w:vAlign w:val="bottom"/>
            <w:hideMark/>
          </w:tcPr>
          <w:p w14:paraId="0FC6FCBB" w14:textId="6C982C42"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Prigodne nagrade</w:t>
            </w:r>
          </w:p>
        </w:tc>
        <w:tc>
          <w:tcPr>
            <w:tcW w:w="1203" w:type="dxa"/>
            <w:shd w:val="clear" w:color="auto" w:fill="auto"/>
            <w:noWrap/>
            <w:vAlign w:val="bottom"/>
            <w:hideMark/>
          </w:tcPr>
          <w:p w14:paraId="5FDA3958" w14:textId="7C38B20C"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43.099</w:t>
            </w:r>
          </w:p>
        </w:tc>
        <w:tc>
          <w:tcPr>
            <w:tcW w:w="1203" w:type="dxa"/>
            <w:shd w:val="clear" w:color="auto" w:fill="auto"/>
            <w:noWrap/>
            <w:vAlign w:val="bottom"/>
            <w:hideMark/>
          </w:tcPr>
          <w:p w14:paraId="51D6D3A3" w14:textId="537EC6A5"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color w:val="000000"/>
                <w:sz w:val="18"/>
                <w:szCs w:val="18"/>
              </w:rPr>
              <w:t>49.000</w:t>
            </w:r>
          </w:p>
        </w:tc>
        <w:tc>
          <w:tcPr>
            <w:tcW w:w="1203" w:type="dxa"/>
            <w:shd w:val="clear" w:color="auto" w:fill="auto"/>
            <w:noWrap/>
            <w:vAlign w:val="bottom"/>
            <w:hideMark/>
          </w:tcPr>
          <w:p w14:paraId="3981F8EB" w14:textId="6E2F323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47.054</w:t>
            </w:r>
          </w:p>
        </w:tc>
        <w:tc>
          <w:tcPr>
            <w:tcW w:w="752" w:type="dxa"/>
            <w:shd w:val="clear" w:color="auto" w:fill="auto"/>
            <w:noWrap/>
            <w:vAlign w:val="bottom"/>
            <w:hideMark/>
          </w:tcPr>
          <w:p w14:paraId="4A372E01" w14:textId="6CF6158E"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109%</w:t>
            </w:r>
          </w:p>
        </w:tc>
        <w:tc>
          <w:tcPr>
            <w:tcW w:w="756" w:type="dxa"/>
            <w:shd w:val="clear" w:color="auto" w:fill="auto"/>
            <w:noWrap/>
            <w:vAlign w:val="bottom"/>
            <w:hideMark/>
          </w:tcPr>
          <w:p w14:paraId="41ECC603" w14:textId="70FA950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96%</w:t>
            </w:r>
          </w:p>
        </w:tc>
      </w:tr>
      <w:tr w:rsidR="00AF1345" w:rsidRPr="008E4612" w14:paraId="084A9441" w14:textId="77777777" w:rsidTr="00832A9D">
        <w:trPr>
          <w:trHeight w:val="346"/>
        </w:trPr>
        <w:tc>
          <w:tcPr>
            <w:tcW w:w="746" w:type="dxa"/>
            <w:shd w:val="clear" w:color="auto" w:fill="auto"/>
            <w:noWrap/>
            <w:vAlign w:val="bottom"/>
            <w:hideMark/>
          </w:tcPr>
          <w:p w14:paraId="340946A2" w14:textId="47A0A834"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4.7</w:t>
            </w:r>
          </w:p>
        </w:tc>
        <w:tc>
          <w:tcPr>
            <w:tcW w:w="3491" w:type="dxa"/>
            <w:shd w:val="clear" w:color="auto" w:fill="auto"/>
            <w:noWrap/>
            <w:vAlign w:val="bottom"/>
            <w:hideMark/>
          </w:tcPr>
          <w:p w14:paraId="62E78566" w14:textId="4835F641"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Troškovi prehrane</w:t>
            </w:r>
          </w:p>
        </w:tc>
        <w:tc>
          <w:tcPr>
            <w:tcW w:w="1203" w:type="dxa"/>
            <w:shd w:val="clear" w:color="auto" w:fill="auto"/>
            <w:noWrap/>
            <w:vAlign w:val="bottom"/>
            <w:hideMark/>
          </w:tcPr>
          <w:p w14:paraId="66F57E02" w14:textId="0FF27936"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49.996</w:t>
            </w:r>
          </w:p>
        </w:tc>
        <w:tc>
          <w:tcPr>
            <w:tcW w:w="1203" w:type="dxa"/>
            <w:shd w:val="clear" w:color="auto" w:fill="auto"/>
            <w:noWrap/>
            <w:vAlign w:val="bottom"/>
            <w:hideMark/>
          </w:tcPr>
          <w:p w14:paraId="72EFF867" w14:textId="5A812758"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78.100</w:t>
            </w:r>
          </w:p>
        </w:tc>
        <w:tc>
          <w:tcPr>
            <w:tcW w:w="1203" w:type="dxa"/>
            <w:shd w:val="clear" w:color="auto" w:fill="auto"/>
            <w:noWrap/>
            <w:vAlign w:val="bottom"/>
            <w:hideMark/>
          </w:tcPr>
          <w:p w14:paraId="7B1973E9" w14:textId="5274A305"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77.800</w:t>
            </w:r>
          </w:p>
        </w:tc>
        <w:tc>
          <w:tcPr>
            <w:tcW w:w="752" w:type="dxa"/>
            <w:shd w:val="clear" w:color="auto" w:fill="auto"/>
            <w:noWrap/>
            <w:vAlign w:val="bottom"/>
            <w:hideMark/>
          </w:tcPr>
          <w:p w14:paraId="1A80B273" w14:textId="69503EDE"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156%</w:t>
            </w:r>
          </w:p>
        </w:tc>
        <w:tc>
          <w:tcPr>
            <w:tcW w:w="756" w:type="dxa"/>
            <w:shd w:val="clear" w:color="auto" w:fill="auto"/>
            <w:noWrap/>
            <w:vAlign w:val="bottom"/>
            <w:hideMark/>
          </w:tcPr>
          <w:p w14:paraId="564AA28B" w14:textId="057F658A"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w:t>
            </w:r>
          </w:p>
        </w:tc>
      </w:tr>
      <w:tr w:rsidR="00AF1345" w:rsidRPr="008E4612" w14:paraId="798BCC5D" w14:textId="77777777" w:rsidTr="00832A9D">
        <w:trPr>
          <w:trHeight w:val="346"/>
        </w:trPr>
        <w:tc>
          <w:tcPr>
            <w:tcW w:w="746" w:type="dxa"/>
            <w:shd w:val="clear" w:color="auto" w:fill="auto"/>
            <w:noWrap/>
            <w:vAlign w:val="bottom"/>
            <w:hideMark/>
          </w:tcPr>
          <w:p w14:paraId="3026285A" w14:textId="34F2BDFA"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4.8</w:t>
            </w:r>
          </w:p>
        </w:tc>
        <w:tc>
          <w:tcPr>
            <w:tcW w:w="3491" w:type="dxa"/>
            <w:shd w:val="clear" w:color="auto" w:fill="auto"/>
            <w:noWrap/>
            <w:vAlign w:val="bottom"/>
            <w:hideMark/>
          </w:tcPr>
          <w:p w14:paraId="42E6DB03" w14:textId="5F09DCB3"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Nagrade za radne rezultate</w:t>
            </w:r>
          </w:p>
        </w:tc>
        <w:tc>
          <w:tcPr>
            <w:tcW w:w="1203" w:type="dxa"/>
            <w:shd w:val="clear" w:color="auto" w:fill="auto"/>
            <w:noWrap/>
            <w:vAlign w:val="bottom"/>
            <w:hideMark/>
          </w:tcPr>
          <w:p w14:paraId="2D6CE585" w14:textId="24DFD53C"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55.314</w:t>
            </w:r>
          </w:p>
        </w:tc>
        <w:tc>
          <w:tcPr>
            <w:tcW w:w="1203" w:type="dxa"/>
            <w:shd w:val="clear" w:color="auto" w:fill="auto"/>
            <w:noWrap/>
            <w:vAlign w:val="bottom"/>
            <w:hideMark/>
          </w:tcPr>
          <w:p w14:paraId="45ADFA94" w14:textId="49B3B3CD"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color w:val="000000"/>
                <w:sz w:val="18"/>
                <w:szCs w:val="18"/>
              </w:rPr>
              <w:t>66.380</w:t>
            </w:r>
          </w:p>
        </w:tc>
        <w:tc>
          <w:tcPr>
            <w:tcW w:w="1203" w:type="dxa"/>
            <w:shd w:val="clear" w:color="auto" w:fill="auto"/>
            <w:noWrap/>
            <w:vAlign w:val="bottom"/>
            <w:hideMark/>
          </w:tcPr>
          <w:p w14:paraId="3E72E2BF" w14:textId="05731F4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66.260</w:t>
            </w:r>
          </w:p>
        </w:tc>
        <w:tc>
          <w:tcPr>
            <w:tcW w:w="752" w:type="dxa"/>
            <w:shd w:val="clear" w:color="auto" w:fill="auto"/>
            <w:noWrap/>
            <w:vAlign w:val="bottom"/>
            <w:hideMark/>
          </w:tcPr>
          <w:p w14:paraId="58719134" w14:textId="5A80FEF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120%</w:t>
            </w:r>
          </w:p>
        </w:tc>
        <w:tc>
          <w:tcPr>
            <w:tcW w:w="756" w:type="dxa"/>
            <w:shd w:val="clear" w:color="auto" w:fill="auto"/>
            <w:noWrap/>
            <w:vAlign w:val="bottom"/>
            <w:hideMark/>
          </w:tcPr>
          <w:p w14:paraId="17DC4D3D" w14:textId="3C6BF8F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w:t>
            </w:r>
          </w:p>
        </w:tc>
      </w:tr>
      <w:tr w:rsidR="00AF1345" w:rsidRPr="008E4612" w14:paraId="1DF55EE6" w14:textId="77777777" w:rsidTr="00832A9D">
        <w:trPr>
          <w:trHeight w:val="346"/>
        </w:trPr>
        <w:tc>
          <w:tcPr>
            <w:tcW w:w="746" w:type="dxa"/>
            <w:shd w:val="clear" w:color="auto" w:fill="auto"/>
            <w:noWrap/>
            <w:vAlign w:val="bottom"/>
            <w:hideMark/>
          </w:tcPr>
          <w:p w14:paraId="032BF643" w14:textId="2426794A"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4.9</w:t>
            </w:r>
          </w:p>
        </w:tc>
        <w:tc>
          <w:tcPr>
            <w:tcW w:w="3491" w:type="dxa"/>
            <w:shd w:val="clear" w:color="auto" w:fill="auto"/>
            <w:noWrap/>
            <w:vAlign w:val="bottom"/>
            <w:hideMark/>
          </w:tcPr>
          <w:p w14:paraId="48932029" w14:textId="69658A7F"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Potpore zbog bolesti, invaliditeta, smrti</w:t>
            </w:r>
          </w:p>
        </w:tc>
        <w:tc>
          <w:tcPr>
            <w:tcW w:w="1203" w:type="dxa"/>
            <w:shd w:val="clear" w:color="auto" w:fill="auto"/>
            <w:noWrap/>
            <w:vAlign w:val="bottom"/>
            <w:hideMark/>
          </w:tcPr>
          <w:p w14:paraId="4F45AB19" w14:textId="3EAA905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3.783</w:t>
            </w:r>
          </w:p>
        </w:tc>
        <w:tc>
          <w:tcPr>
            <w:tcW w:w="1203" w:type="dxa"/>
            <w:shd w:val="clear" w:color="auto" w:fill="auto"/>
            <w:noWrap/>
            <w:vAlign w:val="bottom"/>
            <w:hideMark/>
          </w:tcPr>
          <w:p w14:paraId="3EC1C5A2" w14:textId="66708F7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3.000</w:t>
            </w:r>
          </w:p>
        </w:tc>
        <w:tc>
          <w:tcPr>
            <w:tcW w:w="1203" w:type="dxa"/>
            <w:shd w:val="clear" w:color="auto" w:fill="auto"/>
            <w:noWrap/>
            <w:vAlign w:val="bottom"/>
            <w:hideMark/>
          </w:tcPr>
          <w:p w14:paraId="2AC7B2BE" w14:textId="4C5C0356"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3.411</w:t>
            </w:r>
          </w:p>
        </w:tc>
        <w:tc>
          <w:tcPr>
            <w:tcW w:w="752" w:type="dxa"/>
            <w:shd w:val="clear" w:color="auto" w:fill="auto"/>
            <w:noWrap/>
            <w:vAlign w:val="bottom"/>
            <w:hideMark/>
          </w:tcPr>
          <w:p w14:paraId="4A20E329" w14:textId="63912AF3"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90%</w:t>
            </w:r>
          </w:p>
        </w:tc>
        <w:tc>
          <w:tcPr>
            <w:tcW w:w="756" w:type="dxa"/>
            <w:shd w:val="clear" w:color="auto" w:fill="auto"/>
            <w:noWrap/>
            <w:vAlign w:val="bottom"/>
            <w:hideMark/>
          </w:tcPr>
          <w:p w14:paraId="6AB78850" w14:textId="7AF6EAF0"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114%</w:t>
            </w:r>
          </w:p>
        </w:tc>
      </w:tr>
      <w:tr w:rsidR="00AF1345" w:rsidRPr="008E4612" w14:paraId="2C9C8760" w14:textId="77777777" w:rsidTr="00832A9D">
        <w:trPr>
          <w:trHeight w:val="346"/>
        </w:trPr>
        <w:tc>
          <w:tcPr>
            <w:tcW w:w="746" w:type="dxa"/>
            <w:shd w:val="clear" w:color="auto" w:fill="auto"/>
            <w:noWrap/>
            <w:vAlign w:val="bottom"/>
            <w:hideMark/>
          </w:tcPr>
          <w:p w14:paraId="69465E5E" w14:textId="0E5C4BAB"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4.10</w:t>
            </w:r>
          </w:p>
        </w:tc>
        <w:tc>
          <w:tcPr>
            <w:tcW w:w="3491" w:type="dxa"/>
            <w:shd w:val="clear" w:color="auto" w:fill="auto"/>
            <w:noWrap/>
            <w:vAlign w:val="bottom"/>
            <w:hideMark/>
          </w:tcPr>
          <w:p w14:paraId="4B9F1A8F" w14:textId="601E701A"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Jubilarne nagrade</w:t>
            </w:r>
          </w:p>
        </w:tc>
        <w:tc>
          <w:tcPr>
            <w:tcW w:w="1203" w:type="dxa"/>
            <w:shd w:val="clear" w:color="auto" w:fill="auto"/>
            <w:noWrap/>
            <w:vAlign w:val="bottom"/>
            <w:hideMark/>
          </w:tcPr>
          <w:p w14:paraId="31CAB4B2" w14:textId="2A7D621D"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199</w:t>
            </w:r>
          </w:p>
        </w:tc>
        <w:tc>
          <w:tcPr>
            <w:tcW w:w="1203" w:type="dxa"/>
            <w:shd w:val="clear" w:color="auto" w:fill="auto"/>
            <w:noWrap/>
            <w:vAlign w:val="bottom"/>
            <w:hideMark/>
          </w:tcPr>
          <w:p w14:paraId="4882D4D9" w14:textId="094D53A8"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597</w:t>
            </w:r>
          </w:p>
        </w:tc>
        <w:tc>
          <w:tcPr>
            <w:tcW w:w="1203" w:type="dxa"/>
            <w:shd w:val="clear" w:color="auto" w:fill="auto"/>
            <w:noWrap/>
            <w:vAlign w:val="bottom"/>
            <w:hideMark/>
          </w:tcPr>
          <w:p w14:paraId="5E2C6DE9" w14:textId="65A1B49B"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597</w:t>
            </w:r>
          </w:p>
        </w:tc>
        <w:tc>
          <w:tcPr>
            <w:tcW w:w="752" w:type="dxa"/>
            <w:shd w:val="clear" w:color="auto" w:fill="auto"/>
            <w:noWrap/>
            <w:vAlign w:val="bottom"/>
            <w:hideMark/>
          </w:tcPr>
          <w:p w14:paraId="69815EC1" w14:textId="50CE6420"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300%</w:t>
            </w:r>
          </w:p>
        </w:tc>
        <w:tc>
          <w:tcPr>
            <w:tcW w:w="756" w:type="dxa"/>
            <w:shd w:val="clear" w:color="auto" w:fill="auto"/>
            <w:noWrap/>
            <w:vAlign w:val="bottom"/>
            <w:hideMark/>
          </w:tcPr>
          <w:p w14:paraId="231D0D86" w14:textId="7CF75B1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w:t>
            </w:r>
          </w:p>
        </w:tc>
      </w:tr>
      <w:tr w:rsidR="00AF1345" w:rsidRPr="008E4612" w14:paraId="2E783FCD" w14:textId="77777777" w:rsidTr="00832A9D">
        <w:trPr>
          <w:trHeight w:val="346"/>
        </w:trPr>
        <w:tc>
          <w:tcPr>
            <w:tcW w:w="746" w:type="dxa"/>
            <w:shd w:val="clear" w:color="auto" w:fill="auto"/>
            <w:noWrap/>
            <w:vAlign w:val="bottom"/>
            <w:hideMark/>
          </w:tcPr>
          <w:p w14:paraId="0C024279" w14:textId="234123C7"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4.11</w:t>
            </w:r>
          </w:p>
        </w:tc>
        <w:tc>
          <w:tcPr>
            <w:tcW w:w="3491" w:type="dxa"/>
            <w:shd w:val="clear" w:color="auto" w:fill="auto"/>
            <w:noWrap/>
            <w:vAlign w:val="bottom"/>
            <w:hideMark/>
          </w:tcPr>
          <w:p w14:paraId="4DBCD234" w14:textId="6E4DC77B"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Troškovi osiguranja imovine i osoba</w:t>
            </w:r>
          </w:p>
        </w:tc>
        <w:tc>
          <w:tcPr>
            <w:tcW w:w="1203" w:type="dxa"/>
            <w:shd w:val="clear" w:color="auto" w:fill="auto"/>
            <w:noWrap/>
            <w:vAlign w:val="bottom"/>
            <w:hideMark/>
          </w:tcPr>
          <w:p w14:paraId="5FD90236" w14:textId="3264F438"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116.911</w:t>
            </w:r>
          </w:p>
        </w:tc>
        <w:tc>
          <w:tcPr>
            <w:tcW w:w="1203" w:type="dxa"/>
            <w:shd w:val="clear" w:color="auto" w:fill="auto"/>
            <w:noWrap/>
            <w:vAlign w:val="bottom"/>
            <w:hideMark/>
          </w:tcPr>
          <w:p w14:paraId="2336ABFC" w14:textId="3A2B4781"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120.000</w:t>
            </w:r>
          </w:p>
        </w:tc>
        <w:tc>
          <w:tcPr>
            <w:tcW w:w="1203" w:type="dxa"/>
            <w:shd w:val="clear" w:color="auto" w:fill="auto"/>
            <w:noWrap/>
            <w:vAlign w:val="bottom"/>
            <w:hideMark/>
          </w:tcPr>
          <w:p w14:paraId="03709846" w14:textId="521E4213"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115.489</w:t>
            </w:r>
          </w:p>
        </w:tc>
        <w:tc>
          <w:tcPr>
            <w:tcW w:w="752" w:type="dxa"/>
            <w:shd w:val="clear" w:color="auto" w:fill="auto"/>
            <w:noWrap/>
            <w:vAlign w:val="bottom"/>
            <w:hideMark/>
          </w:tcPr>
          <w:p w14:paraId="118E71FA" w14:textId="542656CA"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99%</w:t>
            </w:r>
          </w:p>
        </w:tc>
        <w:tc>
          <w:tcPr>
            <w:tcW w:w="756" w:type="dxa"/>
            <w:shd w:val="clear" w:color="auto" w:fill="auto"/>
            <w:noWrap/>
            <w:vAlign w:val="bottom"/>
            <w:hideMark/>
          </w:tcPr>
          <w:p w14:paraId="20B72E4F" w14:textId="68A9741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96%</w:t>
            </w:r>
          </w:p>
        </w:tc>
      </w:tr>
      <w:tr w:rsidR="00AF1345" w:rsidRPr="008E4612" w14:paraId="66A59BBC" w14:textId="77777777" w:rsidTr="00832A9D">
        <w:trPr>
          <w:trHeight w:val="346"/>
        </w:trPr>
        <w:tc>
          <w:tcPr>
            <w:tcW w:w="746" w:type="dxa"/>
            <w:shd w:val="clear" w:color="auto" w:fill="auto"/>
            <w:noWrap/>
            <w:vAlign w:val="bottom"/>
            <w:hideMark/>
          </w:tcPr>
          <w:p w14:paraId="563470AA" w14:textId="0569B9A8"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4.12</w:t>
            </w:r>
          </w:p>
        </w:tc>
        <w:tc>
          <w:tcPr>
            <w:tcW w:w="3491" w:type="dxa"/>
            <w:shd w:val="clear" w:color="auto" w:fill="auto"/>
            <w:noWrap/>
            <w:vAlign w:val="bottom"/>
            <w:hideMark/>
          </w:tcPr>
          <w:p w14:paraId="34D317C1" w14:textId="1D9FA599"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Bankovne usluge i troškovi platnog prometa</w:t>
            </w:r>
          </w:p>
        </w:tc>
        <w:tc>
          <w:tcPr>
            <w:tcW w:w="1203" w:type="dxa"/>
            <w:shd w:val="clear" w:color="auto" w:fill="auto"/>
            <w:noWrap/>
            <w:vAlign w:val="bottom"/>
            <w:hideMark/>
          </w:tcPr>
          <w:p w14:paraId="21431378" w14:textId="5E4EDE9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26.169</w:t>
            </w:r>
          </w:p>
        </w:tc>
        <w:tc>
          <w:tcPr>
            <w:tcW w:w="1203" w:type="dxa"/>
            <w:shd w:val="clear" w:color="auto" w:fill="auto"/>
            <w:noWrap/>
            <w:vAlign w:val="bottom"/>
            <w:hideMark/>
          </w:tcPr>
          <w:p w14:paraId="254E9998" w14:textId="2F085371"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color w:val="000000"/>
                <w:sz w:val="18"/>
                <w:szCs w:val="18"/>
              </w:rPr>
              <w:t>25.000</w:t>
            </w:r>
          </w:p>
        </w:tc>
        <w:tc>
          <w:tcPr>
            <w:tcW w:w="1203" w:type="dxa"/>
            <w:shd w:val="clear" w:color="auto" w:fill="auto"/>
            <w:noWrap/>
            <w:vAlign w:val="bottom"/>
            <w:hideMark/>
          </w:tcPr>
          <w:p w14:paraId="53671C22" w14:textId="5E4D68D9"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26.485</w:t>
            </w:r>
          </w:p>
        </w:tc>
        <w:tc>
          <w:tcPr>
            <w:tcW w:w="752" w:type="dxa"/>
            <w:shd w:val="clear" w:color="auto" w:fill="auto"/>
            <w:noWrap/>
            <w:vAlign w:val="bottom"/>
            <w:hideMark/>
          </w:tcPr>
          <w:p w14:paraId="35AF1BDE" w14:textId="7F69630D"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101%</w:t>
            </w:r>
          </w:p>
        </w:tc>
        <w:tc>
          <w:tcPr>
            <w:tcW w:w="756" w:type="dxa"/>
            <w:shd w:val="clear" w:color="auto" w:fill="auto"/>
            <w:noWrap/>
            <w:vAlign w:val="bottom"/>
            <w:hideMark/>
          </w:tcPr>
          <w:p w14:paraId="19CCF37C" w14:textId="58FBE1E6"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106%</w:t>
            </w:r>
          </w:p>
        </w:tc>
      </w:tr>
      <w:tr w:rsidR="00AF1345" w:rsidRPr="008E4612" w14:paraId="4FFF68D1" w14:textId="77777777" w:rsidTr="00832A9D">
        <w:trPr>
          <w:trHeight w:val="346"/>
        </w:trPr>
        <w:tc>
          <w:tcPr>
            <w:tcW w:w="746" w:type="dxa"/>
            <w:shd w:val="clear" w:color="auto" w:fill="auto"/>
            <w:noWrap/>
            <w:vAlign w:val="bottom"/>
            <w:hideMark/>
          </w:tcPr>
          <w:p w14:paraId="7A546445" w14:textId="48D3959E"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4.13</w:t>
            </w:r>
          </w:p>
        </w:tc>
        <w:tc>
          <w:tcPr>
            <w:tcW w:w="3491" w:type="dxa"/>
            <w:shd w:val="clear" w:color="auto" w:fill="auto"/>
            <w:noWrap/>
            <w:vAlign w:val="bottom"/>
            <w:hideMark/>
          </w:tcPr>
          <w:p w14:paraId="12979744" w14:textId="7B8BB58F"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Članarina HGK, HAK, šume, scribd</w:t>
            </w:r>
          </w:p>
        </w:tc>
        <w:tc>
          <w:tcPr>
            <w:tcW w:w="1203" w:type="dxa"/>
            <w:shd w:val="clear" w:color="auto" w:fill="auto"/>
            <w:noWrap/>
            <w:vAlign w:val="bottom"/>
            <w:hideMark/>
          </w:tcPr>
          <w:p w14:paraId="5C92CA44" w14:textId="36B6C1E3"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9.558</w:t>
            </w:r>
          </w:p>
        </w:tc>
        <w:tc>
          <w:tcPr>
            <w:tcW w:w="1203" w:type="dxa"/>
            <w:shd w:val="clear" w:color="auto" w:fill="auto"/>
            <w:noWrap/>
            <w:vAlign w:val="bottom"/>
            <w:hideMark/>
          </w:tcPr>
          <w:p w14:paraId="0666863F" w14:textId="4D677B0A"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6.385</w:t>
            </w:r>
          </w:p>
        </w:tc>
        <w:tc>
          <w:tcPr>
            <w:tcW w:w="1203" w:type="dxa"/>
            <w:shd w:val="clear" w:color="auto" w:fill="auto"/>
            <w:noWrap/>
            <w:vAlign w:val="bottom"/>
            <w:hideMark/>
          </w:tcPr>
          <w:p w14:paraId="2638D5D0" w14:textId="0107423B"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8.830</w:t>
            </w:r>
          </w:p>
        </w:tc>
        <w:tc>
          <w:tcPr>
            <w:tcW w:w="752" w:type="dxa"/>
            <w:shd w:val="clear" w:color="auto" w:fill="auto"/>
            <w:noWrap/>
            <w:vAlign w:val="bottom"/>
            <w:hideMark/>
          </w:tcPr>
          <w:p w14:paraId="6D6F4581" w14:textId="09DAF3A1"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92%</w:t>
            </w:r>
          </w:p>
        </w:tc>
        <w:tc>
          <w:tcPr>
            <w:tcW w:w="756" w:type="dxa"/>
            <w:shd w:val="clear" w:color="auto" w:fill="auto"/>
            <w:noWrap/>
            <w:vAlign w:val="bottom"/>
            <w:hideMark/>
          </w:tcPr>
          <w:p w14:paraId="60CA67DD" w14:textId="1BFC90F2"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138%</w:t>
            </w:r>
          </w:p>
        </w:tc>
      </w:tr>
      <w:tr w:rsidR="00AF1345" w:rsidRPr="008E4612" w14:paraId="3F83826F" w14:textId="77777777" w:rsidTr="00832A9D">
        <w:trPr>
          <w:trHeight w:val="346"/>
        </w:trPr>
        <w:tc>
          <w:tcPr>
            <w:tcW w:w="746" w:type="dxa"/>
            <w:shd w:val="clear" w:color="auto" w:fill="auto"/>
            <w:noWrap/>
            <w:vAlign w:val="bottom"/>
            <w:hideMark/>
          </w:tcPr>
          <w:p w14:paraId="14650A79" w14:textId="68878017"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4.14</w:t>
            </w:r>
          </w:p>
        </w:tc>
        <w:tc>
          <w:tcPr>
            <w:tcW w:w="3491" w:type="dxa"/>
            <w:shd w:val="clear" w:color="auto" w:fill="auto"/>
            <w:noWrap/>
            <w:vAlign w:val="bottom"/>
            <w:hideMark/>
          </w:tcPr>
          <w:p w14:paraId="034F70B1" w14:textId="3F9A469D"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HRT pretplata</w:t>
            </w:r>
          </w:p>
        </w:tc>
        <w:tc>
          <w:tcPr>
            <w:tcW w:w="1203" w:type="dxa"/>
            <w:shd w:val="clear" w:color="auto" w:fill="auto"/>
            <w:noWrap/>
            <w:vAlign w:val="bottom"/>
            <w:hideMark/>
          </w:tcPr>
          <w:p w14:paraId="19A2FAA3" w14:textId="2438DA61"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382</w:t>
            </w:r>
          </w:p>
        </w:tc>
        <w:tc>
          <w:tcPr>
            <w:tcW w:w="1203" w:type="dxa"/>
            <w:shd w:val="clear" w:color="auto" w:fill="auto"/>
            <w:noWrap/>
            <w:vAlign w:val="bottom"/>
            <w:hideMark/>
          </w:tcPr>
          <w:p w14:paraId="1C760BDF" w14:textId="12EE2197"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382</w:t>
            </w:r>
          </w:p>
        </w:tc>
        <w:tc>
          <w:tcPr>
            <w:tcW w:w="1203" w:type="dxa"/>
            <w:shd w:val="clear" w:color="auto" w:fill="auto"/>
            <w:noWrap/>
            <w:vAlign w:val="bottom"/>
            <w:hideMark/>
          </w:tcPr>
          <w:p w14:paraId="77B22D85" w14:textId="7FA7DC74"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382</w:t>
            </w:r>
          </w:p>
        </w:tc>
        <w:tc>
          <w:tcPr>
            <w:tcW w:w="752" w:type="dxa"/>
            <w:shd w:val="clear" w:color="auto" w:fill="auto"/>
            <w:noWrap/>
            <w:vAlign w:val="bottom"/>
            <w:hideMark/>
          </w:tcPr>
          <w:p w14:paraId="09893A69" w14:textId="426908FE"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w:t>
            </w:r>
          </w:p>
        </w:tc>
        <w:tc>
          <w:tcPr>
            <w:tcW w:w="756" w:type="dxa"/>
            <w:shd w:val="clear" w:color="auto" w:fill="auto"/>
            <w:noWrap/>
            <w:vAlign w:val="bottom"/>
            <w:hideMark/>
          </w:tcPr>
          <w:p w14:paraId="7092819E" w14:textId="3097AC22"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w:t>
            </w:r>
          </w:p>
        </w:tc>
      </w:tr>
      <w:tr w:rsidR="00AF1345" w:rsidRPr="008E4612" w14:paraId="68D26128" w14:textId="77777777" w:rsidTr="00832A9D">
        <w:trPr>
          <w:trHeight w:val="346"/>
        </w:trPr>
        <w:tc>
          <w:tcPr>
            <w:tcW w:w="746" w:type="dxa"/>
            <w:shd w:val="clear" w:color="auto" w:fill="auto"/>
            <w:noWrap/>
            <w:vAlign w:val="bottom"/>
            <w:hideMark/>
          </w:tcPr>
          <w:p w14:paraId="332FB5DD" w14:textId="56BDA2C9"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4.15</w:t>
            </w:r>
          </w:p>
        </w:tc>
        <w:tc>
          <w:tcPr>
            <w:tcW w:w="3491" w:type="dxa"/>
            <w:shd w:val="clear" w:color="auto" w:fill="auto"/>
            <w:noWrap/>
            <w:vAlign w:val="bottom"/>
            <w:hideMark/>
          </w:tcPr>
          <w:p w14:paraId="4860BB72" w14:textId="6BA56DDE"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Stručna obrazovanja, stručna literatura</w:t>
            </w:r>
          </w:p>
        </w:tc>
        <w:tc>
          <w:tcPr>
            <w:tcW w:w="1203" w:type="dxa"/>
            <w:shd w:val="clear" w:color="auto" w:fill="auto"/>
            <w:noWrap/>
            <w:vAlign w:val="bottom"/>
            <w:hideMark/>
          </w:tcPr>
          <w:p w14:paraId="4203EE4A" w14:textId="0ECB08A8"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5.490</w:t>
            </w:r>
          </w:p>
        </w:tc>
        <w:tc>
          <w:tcPr>
            <w:tcW w:w="1203" w:type="dxa"/>
            <w:shd w:val="clear" w:color="auto" w:fill="auto"/>
            <w:noWrap/>
            <w:vAlign w:val="bottom"/>
            <w:hideMark/>
          </w:tcPr>
          <w:p w14:paraId="2BD9599C" w14:textId="14FD6C2A"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10.000</w:t>
            </w:r>
          </w:p>
        </w:tc>
        <w:tc>
          <w:tcPr>
            <w:tcW w:w="1203" w:type="dxa"/>
            <w:shd w:val="clear" w:color="auto" w:fill="auto"/>
            <w:noWrap/>
            <w:vAlign w:val="bottom"/>
            <w:hideMark/>
          </w:tcPr>
          <w:p w14:paraId="4C4F8F83" w14:textId="6B566602"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8.320</w:t>
            </w:r>
          </w:p>
        </w:tc>
        <w:tc>
          <w:tcPr>
            <w:tcW w:w="752" w:type="dxa"/>
            <w:shd w:val="clear" w:color="auto" w:fill="auto"/>
            <w:noWrap/>
            <w:vAlign w:val="bottom"/>
            <w:hideMark/>
          </w:tcPr>
          <w:p w14:paraId="23416644" w14:textId="10D0610A"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152%</w:t>
            </w:r>
          </w:p>
        </w:tc>
        <w:tc>
          <w:tcPr>
            <w:tcW w:w="756" w:type="dxa"/>
            <w:shd w:val="clear" w:color="auto" w:fill="auto"/>
            <w:noWrap/>
            <w:vAlign w:val="bottom"/>
            <w:hideMark/>
          </w:tcPr>
          <w:p w14:paraId="1EFCF1BB" w14:textId="749D387F" w:rsidR="00AF1345" w:rsidRPr="00AF1345" w:rsidRDefault="00AF1345" w:rsidP="00AF1345">
            <w:pPr>
              <w:spacing w:before="120" w:after="0" w:line="240" w:lineRule="auto"/>
              <w:jc w:val="center"/>
              <w:rPr>
                <w:rFonts w:eastAsia="Times New Roman" w:cstheme="minorHAnsi"/>
                <w:sz w:val="18"/>
                <w:szCs w:val="18"/>
                <w:lang w:eastAsia="hr-HR"/>
              </w:rPr>
            </w:pPr>
            <w:r w:rsidRPr="00AF1345">
              <w:rPr>
                <w:rFonts w:cstheme="minorHAnsi"/>
                <w:sz w:val="18"/>
                <w:szCs w:val="18"/>
              </w:rPr>
              <w:t>83%</w:t>
            </w:r>
          </w:p>
        </w:tc>
      </w:tr>
      <w:tr w:rsidR="00AF1345" w:rsidRPr="008E4612" w14:paraId="7694238E" w14:textId="77777777" w:rsidTr="00832A9D">
        <w:trPr>
          <w:trHeight w:val="346"/>
        </w:trPr>
        <w:tc>
          <w:tcPr>
            <w:tcW w:w="746" w:type="dxa"/>
            <w:shd w:val="clear" w:color="auto" w:fill="auto"/>
            <w:noWrap/>
            <w:vAlign w:val="bottom"/>
          </w:tcPr>
          <w:p w14:paraId="5A235BB7" w14:textId="638BB1AB"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4.16</w:t>
            </w:r>
          </w:p>
        </w:tc>
        <w:tc>
          <w:tcPr>
            <w:tcW w:w="3491" w:type="dxa"/>
            <w:shd w:val="clear" w:color="auto" w:fill="auto"/>
            <w:noWrap/>
            <w:vAlign w:val="bottom"/>
          </w:tcPr>
          <w:p w14:paraId="198267E8" w14:textId="5465ABE0"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 xml:space="preserve">Naknade za </w:t>
            </w:r>
            <w:r w:rsidR="003B7BAB">
              <w:rPr>
                <w:rFonts w:ascii="Calibri" w:hAnsi="Calibri" w:cs="Calibri"/>
                <w:sz w:val="18"/>
                <w:szCs w:val="18"/>
              </w:rPr>
              <w:t>osobe sa invaliditetom</w:t>
            </w:r>
          </w:p>
        </w:tc>
        <w:tc>
          <w:tcPr>
            <w:tcW w:w="1203" w:type="dxa"/>
            <w:shd w:val="clear" w:color="auto" w:fill="auto"/>
            <w:noWrap/>
            <w:vAlign w:val="bottom"/>
          </w:tcPr>
          <w:p w14:paraId="3AD8DC64" w14:textId="1FE104ED"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1.664</w:t>
            </w:r>
          </w:p>
        </w:tc>
        <w:tc>
          <w:tcPr>
            <w:tcW w:w="1203" w:type="dxa"/>
            <w:shd w:val="clear" w:color="auto" w:fill="auto"/>
            <w:noWrap/>
            <w:vAlign w:val="bottom"/>
          </w:tcPr>
          <w:p w14:paraId="2C8BA925" w14:textId="4820502F"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1.988</w:t>
            </w:r>
          </w:p>
        </w:tc>
        <w:tc>
          <w:tcPr>
            <w:tcW w:w="1203" w:type="dxa"/>
            <w:shd w:val="clear" w:color="auto" w:fill="auto"/>
            <w:noWrap/>
            <w:vAlign w:val="bottom"/>
          </w:tcPr>
          <w:p w14:paraId="04E4A87E" w14:textId="143189D8"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1.988</w:t>
            </w:r>
          </w:p>
        </w:tc>
        <w:tc>
          <w:tcPr>
            <w:tcW w:w="752" w:type="dxa"/>
            <w:shd w:val="clear" w:color="auto" w:fill="auto"/>
            <w:noWrap/>
            <w:vAlign w:val="bottom"/>
          </w:tcPr>
          <w:p w14:paraId="53209827" w14:textId="4F50B163"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119%</w:t>
            </w:r>
          </w:p>
        </w:tc>
        <w:tc>
          <w:tcPr>
            <w:tcW w:w="756" w:type="dxa"/>
            <w:shd w:val="clear" w:color="auto" w:fill="auto"/>
            <w:noWrap/>
            <w:vAlign w:val="bottom"/>
          </w:tcPr>
          <w:p w14:paraId="2479FAB8" w14:textId="792AD1C5"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100%</w:t>
            </w:r>
          </w:p>
        </w:tc>
      </w:tr>
      <w:tr w:rsidR="00AF1345" w:rsidRPr="008E4612" w14:paraId="6C6DBA6E" w14:textId="77777777" w:rsidTr="00832A9D">
        <w:trPr>
          <w:trHeight w:val="346"/>
        </w:trPr>
        <w:tc>
          <w:tcPr>
            <w:tcW w:w="746" w:type="dxa"/>
            <w:shd w:val="clear" w:color="auto" w:fill="auto"/>
            <w:noWrap/>
            <w:vAlign w:val="bottom"/>
          </w:tcPr>
          <w:p w14:paraId="467B6851" w14:textId="23D7FAE6"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4.17</w:t>
            </w:r>
          </w:p>
        </w:tc>
        <w:tc>
          <w:tcPr>
            <w:tcW w:w="3491" w:type="dxa"/>
            <w:shd w:val="clear" w:color="auto" w:fill="auto"/>
            <w:noWrap/>
            <w:vAlign w:val="bottom"/>
          </w:tcPr>
          <w:p w14:paraId="075DBCCD" w14:textId="520EE671"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Pristojbe i sudski troškovi</w:t>
            </w:r>
          </w:p>
        </w:tc>
        <w:tc>
          <w:tcPr>
            <w:tcW w:w="1203" w:type="dxa"/>
            <w:shd w:val="clear" w:color="auto" w:fill="auto"/>
            <w:noWrap/>
            <w:vAlign w:val="bottom"/>
          </w:tcPr>
          <w:p w14:paraId="3220C1FD" w14:textId="77B01C73"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2.526</w:t>
            </w:r>
          </w:p>
        </w:tc>
        <w:tc>
          <w:tcPr>
            <w:tcW w:w="1203" w:type="dxa"/>
            <w:shd w:val="clear" w:color="auto" w:fill="auto"/>
            <w:noWrap/>
            <w:vAlign w:val="bottom"/>
          </w:tcPr>
          <w:p w14:paraId="2DBEE59F" w14:textId="53F8D8E5"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100</w:t>
            </w:r>
          </w:p>
        </w:tc>
        <w:tc>
          <w:tcPr>
            <w:tcW w:w="1203" w:type="dxa"/>
            <w:shd w:val="clear" w:color="auto" w:fill="auto"/>
            <w:noWrap/>
            <w:vAlign w:val="bottom"/>
          </w:tcPr>
          <w:p w14:paraId="0F7BCF05" w14:textId="4B354704"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66</w:t>
            </w:r>
          </w:p>
        </w:tc>
        <w:tc>
          <w:tcPr>
            <w:tcW w:w="752" w:type="dxa"/>
            <w:shd w:val="clear" w:color="auto" w:fill="auto"/>
            <w:noWrap/>
            <w:vAlign w:val="bottom"/>
          </w:tcPr>
          <w:p w14:paraId="1BC1A685" w14:textId="48C57AFF"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3%</w:t>
            </w:r>
          </w:p>
        </w:tc>
        <w:tc>
          <w:tcPr>
            <w:tcW w:w="756" w:type="dxa"/>
            <w:shd w:val="clear" w:color="auto" w:fill="auto"/>
            <w:noWrap/>
            <w:vAlign w:val="bottom"/>
          </w:tcPr>
          <w:p w14:paraId="6F1DFC87" w14:textId="0561518A"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66%</w:t>
            </w:r>
          </w:p>
        </w:tc>
      </w:tr>
      <w:tr w:rsidR="00AF1345" w:rsidRPr="008E4612" w14:paraId="025D524F" w14:textId="77777777" w:rsidTr="00832A9D">
        <w:trPr>
          <w:trHeight w:val="346"/>
        </w:trPr>
        <w:tc>
          <w:tcPr>
            <w:tcW w:w="746" w:type="dxa"/>
            <w:shd w:val="clear" w:color="auto" w:fill="auto"/>
            <w:noWrap/>
            <w:vAlign w:val="bottom"/>
          </w:tcPr>
          <w:p w14:paraId="1A0B4614" w14:textId="23A46437"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4.18</w:t>
            </w:r>
          </w:p>
        </w:tc>
        <w:tc>
          <w:tcPr>
            <w:tcW w:w="3491" w:type="dxa"/>
            <w:shd w:val="clear" w:color="auto" w:fill="auto"/>
            <w:noWrap/>
            <w:vAlign w:val="bottom"/>
          </w:tcPr>
          <w:p w14:paraId="3D8C1C9F" w14:textId="6A0B8529"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 xml:space="preserve">Obavezni liječnički pregledi </w:t>
            </w:r>
          </w:p>
        </w:tc>
        <w:tc>
          <w:tcPr>
            <w:tcW w:w="1203" w:type="dxa"/>
            <w:shd w:val="clear" w:color="auto" w:fill="auto"/>
            <w:noWrap/>
            <w:vAlign w:val="bottom"/>
          </w:tcPr>
          <w:p w14:paraId="4332D1CF" w14:textId="6B926BD5"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4.843</w:t>
            </w:r>
          </w:p>
        </w:tc>
        <w:tc>
          <w:tcPr>
            <w:tcW w:w="1203" w:type="dxa"/>
            <w:shd w:val="clear" w:color="auto" w:fill="auto"/>
            <w:noWrap/>
            <w:vAlign w:val="bottom"/>
          </w:tcPr>
          <w:p w14:paraId="0FA7C812" w14:textId="08A7BAB7"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10.000</w:t>
            </w:r>
          </w:p>
        </w:tc>
        <w:tc>
          <w:tcPr>
            <w:tcW w:w="1203" w:type="dxa"/>
            <w:shd w:val="clear" w:color="auto" w:fill="auto"/>
            <w:noWrap/>
            <w:vAlign w:val="bottom"/>
          </w:tcPr>
          <w:p w14:paraId="32B31429" w14:textId="53E04FFC"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8.723</w:t>
            </w:r>
          </w:p>
        </w:tc>
        <w:tc>
          <w:tcPr>
            <w:tcW w:w="752" w:type="dxa"/>
            <w:shd w:val="clear" w:color="auto" w:fill="auto"/>
            <w:noWrap/>
            <w:vAlign w:val="bottom"/>
          </w:tcPr>
          <w:p w14:paraId="1B193686" w14:textId="67BEE64E"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180%</w:t>
            </w:r>
          </w:p>
        </w:tc>
        <w:tc>
          <w:tcPr>
            <w:tcW w:w="756" w:type="dxa"/>
            <w:shd w:val="clear" w:color="auto" w:fill="auto"/>
            <w:noWrap/>
            <w:vAlign w:val="bottom"/>
          </w:tcPr>
          <w:p w14:paraId="314D6D0D" w14:textId="199420B5"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87%</w:t>
            </w:r>
          </w:p>
        </w:tc>
      </w:tr>
      <w:tr w:rsidR="00AF1345" w:rsidRPr="008E4612" w14:paraId="4D550F0E" w14:textId="77777777" w:rsidTr="00832A9D">
        <w:trPr>
          <w:trHeight w:val="346"/>
        </w:trPr>
        <w:tc>
          <w:tcPr>
            <w:tcW w:w="746" w:type="dxa"/>
            <w:shd w:val="clear" w:color="auto" w:fill="auto"/>
            <w:noWrap/>
            <w:vAlign w:val="bottom"/>
          </w:tcPr>
          <w:p w14:paraId="68561225" w14:textId="2418C4CF" w:rsidR="00AF1345" w:rsidRPr="00984EAB" w:rsidRDefault="00AF1345" w:rsidP="00AF1345">
            <w:pPr>
              <w:spacing w:before="120" w:after="0" w:line="240" w:lineRule="auto"/>
              <w:rPr>
                <w:rFonts w:eastAsia="Times New Roman" w:cstheme="minorHAnsi"/>
                <w:sz w:val="18"/>
                <w:szCs w:val="18"/>
                <w:lang w:eastAsia="hr-HR"/>
              </w:rPr>
            </w:pPr>
            <w:r w:rsidRPr="00984EAB">
              <w:rPr>
                <w:rFonts w:ascii="Calibri" w:hAnsi="Calibri" w:cs="Calibri"/>
                <w:sz w:val="18"/>
                <w:szCs w:val="18"/>
              </w:rPr>
              <w:t>4.19</w:t>
            </w:r>
          </w:p>
        </w:tc>
        <w:tc>
          <w:tcPr>
            <w:tcW w:w="3491" w:type="dxa"/>
            <w:shd w:val="clear" w:color="auto" w:fill="auto"/>
            <w:noWrap/>
            <w:vAlign w:val="bottom"/>
          </w:tcPr>
          <w:p w14:paraId="49030310" w14:textId="4383BF83" w:rsidR="00AF1345" w:rsidRPr="00AF1345" w:rsidRDefault="00AF1345" w:rsidP="00AF1345">
            <w:pPr>
              <w:spacing w:before="120" w:after="0" w:line="240" w:lineRule="auto"/>
              <w:rPr>
                <w:rFonts w:eastAsia="Times New Roman" w:cstheme="minorHAnsi"/>
                <w:sz w:val="18"/>
                <w:szCs w:val="18"/>
                <w:lang w:eastAsia="hr-HR"/>
              </w:rPr>
            </w:pPr>
            <w:r w:rsidRPr="00AF1345">
              <w:rPr>
                <w:rFonts w:ascii="Calibri" w:hAnsi="Calibri" w:cs="Calibri"/>
                <w:sz w:val="18"/>
                <w:szCs w:val="18"/>
              </w:rPr>
              <w:t>Sistematski pregledi (dobrovoljno zdr. osig.)</w:t>
            </w:r>
          </w:p>
        </w:tc>
        <w:tc>
          <w:tcPr>
            <w:tcW w:w="1203" w:type="dxa"/>
            <w:shd w:val="clear" w:color="auto" w:fill="auto"/>
            <w:noWrap/>
            <w:vAlign w:val="bottom"/>
          </w:tcPr>
          <w:p w14:paraId="13994CB0" w14:textId="34B51A1F"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10.577</w:t>
            </w:r>
          </w:p>
        </w:tc>
        <w:tc>
          <w:tcPr>
            <w:tcW w:w="1203" w:type="dxa"/>
            <w:shd w:val="clear" w:color="auto" w:fill="auto"/>
            <w:noWrap/>
            <w:vAlign w:val="bottom"/>
          </w:tcPr>
          <w:p w14:paraId="7B1FC789" w14:textId="0416D63A"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13.689</w:t>
            </w:r>
          </w:p>
        </w:tc>
        <w:tc>
          <w:tcPr>
            <w:tcW w:w="1203" w:type="dxa"/>
            <w:shd w:val="clear" w:color="auto" w:fill="auto"/>
            <w:noWrap/>
            <w:vAlign w:val="bottom"/>
          </w:tcPr>
          <w:p w14:paraId="0D36DD8A" w14:textId="5AD364B8" w:rsidR="00AF1345" w:rsidRPr="00AF1345" w:rsidRDefault="00AF1345" w:rsidP="00AF1345">
            <w:pPr>
              <w:spacing w:before="120" w:after="0" w:line="240" w:lineRule="auto"/>
              <w:jc w:val="center"/>
              <w:rPr>
                <w:rFonts w:cstheme="minorHAnsi"/>
                <w:sz w:val="18"/>
                <w:szCs w:val="18"/>
              </w:rPr>
            </w:pPr>
            <w:r w:rsidRPr="00AF1345">
              <w:rPr>
                <w:rFonts w:cstheme="minorHAnsi"/>
                <w:sz w:val="18"/>
                <w:szCs w:val="18"/>
              </w:rPr>
              <w:t>13.964</w:t>
            </w:r>
          </w:p>
        </w:tc>
        <w:tc>
          <w:tcPr>
            <w:tcW w:w="752" w:type="dxa"/>
            <w:shd w:val="clear" w:color="auto" w:fill="auto"/>
            <w:noWrap/>
            <w:vAlign w:val="bottom"/>
          </w:tcPr>
          <w:p w14:paraId="0CDDB9E6" w14:textId="7874AB2C"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132%</w:t>
            </w:r>
          </w:p>
        </w:tc>
        <w:tc>
          <w:tcPr>
            <w:tcW w:w="756" w:type="dxa"/>
            <w:shd w:val="clear" w:color="auto" w:fill="auto"/>
            <w:noWrap/>
            <w:vAlign w:val="bottom"/>
          </w:tcPr>
          <w:p w14:paraId="313159F6" w14:textId="20E1291F" w:rsidR="00AF1345" w:rsidRPr="00AF1345" w:rsidRDefault="00AF1345" w:rsidP="00AF1345">
            <w:pPr>
              <w:spacing w:before="120" w:after="0" w:line="240" w:lineRule="auto"/>
              <w:jc w:val="center"/>
              <w:rPr>
                <w:rFonts w:cstheme="minorHAnsi"/>
                <w:color w:val="000000"/>
                <w:sz w:val="18"/>
                <w:szCs w:val="18"/>
              </w:rPr>
            </w:pPr>
            <w:r w:rsidRPr="00AF1345">
              <w:rPr>
                <w:rFonts w:cstheme="minorHAnsi"/>
                <w:sz w:val="18"/>
                <w:szCs w:val="18"/>
              </w:rPr>
              <w:t>102%</w:t>
            </w:r>
          </w:p>
        </w:tc>
      </w:tr>
    </w:tbl>
    <w:p w14:paraId="7322D3B0" w14:textId="77777777" w:rsidR="0070697D" w:rsidRPr="008E4612" w:rsidRDefault="0070697D" w:rsidP="00840E6B">
      <w:pPr>
        <w:rPr>
          <w:color w:val="FF0000"/>
        </w:rPr>
      </w:pPr>
    </w:p>
    <w:p w14:paraId="3898FB36" w14:textId="39E09C1D" w:rsidR="00AF1345" w:rsidRPr="0076316D" w:rsidRDefault="00AF1345" w:rsidP="00AF1345">
      <w:pPr>
        <w:spacing w:line="360" w:lineRule="auto"/>
        <w:jc w:val="both"/>
      </w:pPr>
      <w:r w:rsidRPr="0076316D">
        <w:t>Iz analitički prikazanih troškova ostvarenih u 202</w:t>
      </w:r>
      <w:r w:rsidR="000C4EEB">
        <w:t>4</w:t>
      </w:r>
      <w:r w:rsidRPr="0076316D">
        <w:t>. godini u odnosu na ostvarenje u 202</w:t>
      </w:r>
      <w:r w:rsidR="000C4EEB">
        <w:t>3</w:t>
      </w:r>
      <w:r w:rsidRPr="0076316D">
        <w:t>. godini može se zaključiti da su ostali troškovi poslovanja povećani u vidu troškova:</w:t>
      </w:r>
    </w:p>
    <w:p w14:paraId="5FEA0C13" w14:textId="35AFE6E9" w:rsidR="00AF1345" w:rsidRDefault="00AF1345" w:rsidP="00AF1345">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dnevnica i sl.</w:t>
      </w:r>
      <w:r w:rsidR="000C4EEB">
        <w:rPr>
          <w:rFonts w:asciiTheme="minorHAnsi" w:hAnsiTheme="minorHAnsi" w:cstheme="minorHAnsi"/>
          <w:sz w:val="22"/>
          <w:szCs w:val="22"/>
        </w:rPr>
        <w:t xml:space="preserve"> (+158%) -</w:t>
      </w:r>
      <w:r>
        <w:rPr>
          <w:rFonts w:asciiTheme="minorHAnsi" w:hAnsiTheme="minorHAnsi" w:cstheme="minorHAnsi"/>
          <w:sz w:val="22"/>
          <w:szCs w:val="22"/>
        </w:rPr>
        <w:t xml:space="preserve"> veći boj službenih putovanja</w:t>
      </w:r>
    </w:p>
    <w:p w14:paraId="14C7AF0A" w14:textId="4F7167F0" w:rsidR="000C4EEB" w:rsidRDefault="000C4EEB" w:rsidP="00AF1345">
      <w:pPr>
        <w:pStyle w:val="ListParagraph"/>
        <w:numPr>
          <w:ilvl w:val="0"/>
          <w:numId w:val="4"/>
        </w:numPr>
        <w:spacing w:line="360" w:lineRule="auto"/>
        <w:jc w:val="both"/>
        <w:rPr>
          <w:rFonts w:asciiTheme="minorHAnsi" w:hAnsiTheme="minorHAnsi" w:cstheme="minorHAnsi"/>
          <w:sz w:val="22"/>
          <w:szCs w:val="22"/>
        </w:rPr>
      </w:pPr>
      <w:r w:rsidRPr="000C4EEB">
        <w:rPr>
          <w:rFonts w:asciiTheme="minorHAnsi" w:hAnsiTheme="minorHAnsi" w:cstheme="minorHAnsi"/>
          <w:sz w:val="22"/>
          <w:szCs w:val="22"/>
        </w:rPr>
        <w:t>darovi djeci (+19%)</w:t>
      </w:r>
      <w:r>
        <w:rPr>
          <w:rFonts w:asciiTheme="minorHAnsi" w:hAnsiTheme="minorHAnsi" w:cstheme="minorHAnsi"/>
          <w:sz w:val="22"/>
          <w:szCs w:val="22"/>
        </w:rPr>
        <w:t xml:space="preserve"> </w:t>
      </w:r>
    </w:p>
    <w:p w14:paraId="61B2D680" w14:textId="0671021B" w:rsidR="000C4EEB" w:rsidRDefault="000C4EEB" w:rsidP="00AF1345">
      <w:pPr>
        <w:pStyle w:val="ListParagraph"/>
        <w:numPr>
          <w:ilvl w:val="0"/>
          <w:numId w:val="4"/>
        </w:numPr>
        <w:spacing w:line="360" w:lineRule="auto"/>
        <w:jc w:val="both"/>
        <w:rPr>
          <w:rFonts w:asciiTheme="minorHAnsi" w:hAnsiTheme="minorHAnsi" w:cstheme="minorHAnsi"/>
          <w:sz w:val="22"/>
          <w:szCs w:val="22"/>
        </w:rPr>
      </w:pPr>
      <w:r w:rsidRPr="000C4EEB">
        <w:rPr>
          <w:rFonts w:asciiTheme="minorHAnsi" w:hAnsiTheme="minorHAnsi" w:cstheme="minorHAnsi"/>
          <w:sz w:val="22"/>
          <w:szCs w:val="22"/>
        </w:rPr>
        <w:t>prigodn</w:t>
      </w:r>
      <w:r w:rsidR="00875805">
        <w:rPr>
          <w:rFonts w:asciiTheme="minorHAnsi" w:hAnsiTheme="minorHAnsi" w:cstheme="minorHAnsi"/>
          <w:sz w:val="22"/>
          <w:szCs w:val="22"/>
        </w:rPr>
        <w:t>ih</w:t>
      </w:r>
      <w:r w:rsidRPr="000C4EEB">
        <w:rPr>
          <w:rFonts w:asciiTheme="minorHAnsi" w:hAnsiTheme="minorHAnsi" w:cstheme="minorHAnsi"/>
          <w:sz w:val="22"/>
          <w:szCs w:val="22"/>
        </w:rPr>
        <w:t xml:space="preserve"> nagrad</w:t>
      </w:r>
      <w:r w:rsidR="00875805">
        <w:rPr>
          <w:rFonts w:asciiTheme="minorHAnsi" w:hAnsiTheme="minorHAnsi" w:cstheme="minorHAnsi"/>
          <w:sz w:val="22"/>
          <w:szCs w:val="22"/>
        </w:rPr>
        <w:t>a</w:t>
      </w:r>
      <w:r w:rsidRPr="000C4EEB">
        <w:rPr>
          <w:rFonts w:asciiTheme="minorHAnsi" w:hAnsiTheme="minorHAnsi" w:cstheme="minorHAnsi"/>
          <w:sz w:val="22"/>
          <w:szCs w:val="22"/>
        </w:rPr>
        <w:t xml:space="preserve"> (+9%) – božićnica, regres</w:t>
      </w:r>
    </w:p>
    <w:p w14:paraId="18041241" w14:textId="67F5349A" w:rsidR="000C4EEB" w:rsidRDefault="000C4EEB" w:rsidP="00AF1345">
      <w:pPr>
        <w:pStyle w:val="ListParagraph"/>
        <w:numPr>
          <w:ilvl w:val="0"/>
          <w:numId w:val="4"/>
        </w:numPr>
        <w:spacing w:line="360" w:lineRule="auto"/>
        <w:jc w:val="both"/>
        <w:rPr>
          <w:rFonts w:asciiTheme="minorHAnsi" w:hAnsiTheme="minorHAnsi" w:cstheme="minorHAnsi"/>
          <w:sz w:val="22"/>
          <w:szCs w:val="22"/>
        </w:rPr>
      </w:pPr>
      <w:r w:rsidRPr="000C4EEB">
        <w:rPr>
          <w:rFonts w:asciiTheme="minorHAnsi" w:hAnsiTheme="minorHAnsi" w:cstheme="minorHAnsi"/>
          <w:sz w:val="22"/>
          <w:szCs w:val="22"/>
        </w:rPr>
        <w:t>troškov</w:t>
      </w:r>
      <w:r w:rsidR="00875805">
        <w:rPr>
          <w:rFonts w:asciiTheme="minorHAnsi" w:hAnsiTheme="minorHAnsi" w:cstheme="minorHAnsi"/>
          <w:sz w:val="22"/>
          <w:szCs w:val="22"/>
        </w:rPr>
        <w:t>a</w:t>
      </w:r>
      <w:r w:rsidRPr="000C4EEB">
        <w:rPr>
          <w:rFonts w:asciiTheme="minorHAnsi" w:hAnsiTheme="minorHAnsi" w:cstheme="minorHAnsi"/>
          <w:sz w:val="22"/>
          <w:szCs w:val="22"/>
        </w:rPr>
        <w:t xml:space="preserve"> prehrane (+56%) – </w:t>
      </w:r>
      <w:r>
        <w:rPr>
          <w:rFonts w:asciiTheme="minorHAnsi" w:hAnsiTheme="minorHAnsi" w:cstheme="minorHAnsi"/>
          <w:sz w:val="22"/>
          <w:szCs w:val="22"/>
        </w:rPr>
        <w:t>porast</w:t>
      </w:r>
      <w:r w:rsidRPr="000C4EEB">
        <w:rPr>
          <w:rFonts w:asciiTheme="minorHAnsi" w:hAnsiTheme="minorHAnsi" w:cstheme="minorHAnsi"/>
          <w:sz w:val="22"/>
          <w:szCs w:val="22"/>
        </w:rPr>
        <w:t xml:space="preserve"> </w:t>
      </w:r>
      <w:r>
        <w:rPr>
          <w:rFonts w:asciiTheme="minorHAnsi" w:hAnsiTheme="minorHAnsi" w:cstheme="minorHAnsi"/>
          <w:sz w:val="22"/>
          <w:szCs w:val="22"/>
        </w:rPr>
        <w:t xml:space="preserve">neoporezivog iznosa </w:t>
      </w:r>
      <w:r w:rsidRPr="000C4EEB">
        <w:rPr>
          <w:rFonts w:asciiTheme="minorHAnsi" w:hAnsiTheme="minorHAnsi" w:cstheme="minorHAnsi"/>
          <w:sz w:val="22"/>
          <w:szCs w:val="22"/>
        </w:rPr>
        <w:t>naknade</w:t>
      </w:r>
    </w:p>
    <w:p w14:paraId="685CC8E2" w14:textId="4423E615" w:rsidR="000C4EEB" w:rsidRDefault="000C4EEB" w:rsidP="00AF1345">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n</w:t>
      </w:r>
      <w:r w:rsidRPr="000C4EEB">
        <w:rPr>
          <w:rFonts w:asciiTheme="minorHAnsi" w:hAnsiTheme="minorHAnsi" w:cstheme="minorHAnsi"/>
          <w:sz w:val="22"/>
          <w:szCs w:val="22"/>
        </w:rPr>
        <w:t>agrad</w:t>
      </w:r>
      <w:r w:rsidR="00875805">
        <w:rPr>
          <w:rFonts w:asciiTheme="minorHAnsi" w:hAnsiTheme="minorHAnsi" w:cstheme="minorHAnsi"/>
          <w:sz w:val="22"/>
          <w:szCs w:val="22"/>
        </w:rPr>
        <w:t>a</w:t>
      </w:r>
      <w:r w:rsidRPr="000C4EEB">
        <w:rPr>
          <w:rFonts w:asciiTheme="minorHAnsi" w:hAnsiTheme="minorHAnsi" w:cstheme="minorHAnsi"/>
          <w:sz w:val="22"/>
          <w:szCs w:val="22"/>
        </w:rPr>
        <w:t xml:space="preserve"> za radne rezultate</w:t>
      </w:r>
      <w:r>
        <w:rPr>
          <w:rFonts w:asciiTheme="minorHAnsi" w:hAnsiTheme="minorHAnsi" w:cstheme="minorHAnsi"/>
          <w:sz w:val="22"/>
          <w:szCs w:val="22"/>
        </w:rPr>
        <w:t xml:space="preserve"> (+20%) - porast</w:t>
      </w:r>
      <w:r w:rsidRPr="000C4EEB">
        <w:rPr>
          <w:rFonts w:asciiTheme="minorHAnsi" w:hAnsiTheme="minorHAnsi" w:cstheme="minorHAnsi"/>
          <w:sz w:val="22"/>
          <w:szCs w:val="22"/>
        </w:rPr>
        <w:t xml:space="preserve"> </w:t>
      </w:r>
      <w:r>
        <w:rPr>
          <w:rFonts w:asciiTheme="minorHAnsi" w:hAnsiTheme="minorHAnsi" w:cstheme="minorHAnsi"/>
          <w:sz w:val="22"/>
          <w:szCs w:val="22"/>
        </w:rPr>
        <w:t xml:space="preserve">neoporezivog iznosa </w:t>
      </w:r>
      <w:r w:rsidRPr="000C4EEB">
        <w:rPr>
          <w:rFonts w:asciiTheme="minorHAnsi" w:hAnsiTheme="minorHAnsi" w:cstheme="minorHAnsi"/>
          <w:sz w:val="22"/>
          <w:szCs w:val="22"/>
        </w:rPr>
        <w:t>naknade</w:t>
      </w:r>
    </w:p>
    <w:p w14:paraId="1CEC6595" w14:textId="27F9974B" w:rsidR="000C4EEB" w:rsidRDefault="000C4EEB" w:rsidP="00AF1345">
      <w:pPr>
        <w:pStyle w:val="ListParagraph"/>
        <w:numPr>
          <w:ilvl w:val="0"/>
          <w:numId w:val="4"/>
        </w:numPr>
        <w:spacing w:line="360" w:lineRule="auto"/>
        <w:jc w:val="both"/>
        <w:rPr>
          <w:rFonts w:asciiTheme="minorHAnsi" w:hAnsiTheme="minorHAnsi" w:cstheme="minorHAnsi"/>
          <w:sz w:val="22"/>
          <w:szCs w:val="22"/>
        </w:rPr>
      </w:pPr>
      <w:r w:rsidRPr="000C4EEB">
        <w:rPr>
          <w:rFonts w:asciiTheme="minorHAnsi" w:hAnsiTheme="minorHAnsi" w:cstheme="minorHAnsi"/>
          <w:sz w:val="22"/>
          <w:szCs w:val="22"/>
        </w:rPr>
        <w:t>jubilarn</w:t>
      </w:r>
      <w:r w:rsidR="00875805">
        <w:rPr>
          <w:rFonts w:asciiTheme="minorHAnsi" w:hAnsiTheme="minorHAnsi" w:cstheme="minorHAnsi"/>
          <w:sz w:val="22"/>
          <w:szCs w:val="22"/>
        </w:rPr>
        <w:t>ih</w:t>
      </w:r>
      <w:r w:rsidRPr="000C4EEB">
        <w:rPr>
          <w:rFonts w:asciiTheme="minorHAnsi" w:hAnsiTheme="minorHAnsi" w:cstheme="minorHAnsi"/>
          <w:sz w:val="22"/>
          <w:szCs w:val="22"/>
        </w:rPr>
        <w:t xml:space="preserve"> nagrad</w:t>
      </w:r>
      <w:r w:rsidR="00875805">
        <w:rPr>
          <w:rFonts w:asciiTheme="minorHAnsi" w:hAnsiTheme="minorHAnsi" w:cstheme="minorHAnsi"/>
          <w:sz w:val="22"/>
          <w:szCs w:val="22"/>
        </w:rPr>
        <w:t>a</w:t>
      </w:r>
      <w:r w:rsidRPr="000C4EEB">
        <w:rPr>
          <w:rFonts w:asciiTheme="minorHAnsi" w:hAnsiTheme="minorHAnsi" w:cstheme="minorHAnsi"/>
          <w:sz w:val="22"/>
          <w:szCs w:val="22"/>
        </w:rPr>
        <w:t xml:space="preserve"> (+200%)</w:t>
      </w:r>
      <w:r>
        <w:rPr>
          <w:rFonts w:asciiTheme="minorHAnsi" w:hAnsiTheme="minorHAnsi" w:cstheme="minorHAnsi"/>
          <w:sz w:val="22"/>
          <w:szCs w:val="22"/>
        </w:rPr>
        <w:t xml:space="preserve"> </w:t>
      </w:r>
    </w:p>
    <w:p w14:paraId="6EA91A97" w14:textId="358596D4" w:rsidR="00875805" w:rsidRDefault="00875805" w:rsidP="00AF1345">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bankovnih usluga i tr. platnog prometa (+1%)</w:t>
      </w:r>
    </w:p>
    <w:p w14:paraId="74279764" w14:textId="63145363" w:rsidR="00875805" w:rsidRDefault="00875805" w:rsidP="00AF1345">
      <w:pPr>
        <w:pStyle w:val="ListParagraph"/>
        <w:numPr>
          <w:ilvl w:val="0"/>
          <w:numId w:val="4"/>
        </w:numPr>
        <w:spacing w:line="360" w:lineRule="auto"/>
        <w:jc w:val="both"/>
        <w:rPr>
          <w:rFonts w:asciiTheme="minorHAnsi" w:hAnsiTheme="minorHAnsi" w:cstheme="minorHAnsi"/>
          <w:sz w:val="22"/>
          <w:szCs w:val="22"/>
        </w:rPr>
      </w:pPr>
      <w:r w:rsidRPr="00875805">
        <w:rPr>
          <w:rFonts w:asciiTheme="minorHAnsi" w:hAnsiTheme="minorHAnsi" w:cstheme="minorHAnsi"/>
          <w:sz w:val="22"/>
          <w:szCs w:val="22"/>
        </w:rPr>
        <w:lastRenderedPageBreak/>
        <w:t>stručn</w:t>
      </w:r>
      <w:r>
        <w:rPr>
          <w:rFonts w:asciiTheme="minorHAnsi" w:hAnsiTheme="minorHAnsi" w:cstheme="minorHAnsi"/>
          <w:sz w:val="22"/>
          <w:szCs w:val="22"/>
        </w:rPr>
        <w:t>ih</w:t>
      </w:r>
      <w:r w:rsidRPr="00875805">
        <w:rPr>
          <w:rFonts w:asciiTheme="minorHAnsi" w:hAnsiTheme="minorHAnsi" w:cstheme="minorHAnsi"/>
          <w:sz w:val="22"/>
          <w:szCs w:val="22"/>
        </w:rPr>
        <w:t xml:space="preserve"> obrazovanja i literatur</w:t>
      </w:r>
      <w:r>
        <w:rPr>
          <w:rFonts w:asciiTheme="minorHAnsi" w:hAnsiTheme="minorHAnsi" w:cstheme="minorHAnsi"/>
          <w:sz w:val="22"/>
          <w:szCs w:val="22"/>
        </w:rPr>
        <w:t>e</w:t>
      </w:r>
      <w:r w:rsidRPr="00875805">
        <w:rPr>
          <w:rFonts w:asciiTheme="minorHAnsi" w:hAnsiTheme="minorHAnsi" w:cstheme="minorHAnsi"/>
          <w:sz w:val="22"/>
          <w:szCs w:val="22"/>
        </w:rPr>
        <w:t xml:space="preserve"> (+52%)</w:t>
      </w:r>
    </w:p>
    <w:p w14:paraId="29C5A4F5" w14:textId="2F582AA9" w:rsidR="00875805" w:rsidRDefault="00875805" w:rsidP="00875805">
      <w:pPr>
        <w:pStyle w:val="ListParagraph"/>
        <w:numPr>
          <w:ilvl w:val="0"/>
          <w:numId w:val="4"/>
        </w:numPr>
        <w:spacing w:line="360" w:lineRule="auto"/>
        <w:jc w:val="both"/>
        <w:rPr>
          <w:rFonts w:asciiTheme="minorHAnsi" w:hAnsiTheme="minorHAnsi" w:cstheme="minorHAnsi"/>
          <w:sz w:val="22"/>
          <w:szCs w:val="22"/>
        </w:rPr>
      </w:pPr>
      <w:r w:rsidRPr="0076316D">
        <w:rPr>
          <w:rFonts w:asciiTheme="minorHAnsi" w:hAnsiTheme="minorHAnsi" w:cstheme="minorHAnsi"/>
          <w:sz w:val="22"/>
          <w:szCs w:val="22"/>
        </w:rPr>
        <w:t>neispunjenih kvota za zapošljavanje invalida</w:t>
      </w:r>
      <w:r>
        <w:rPr>
          <w:rFonts w:asciiTheme="minorHAnsi" w:hAnsiTheme="minorHAnsi" w:cstheme="minorHAnsi"/>
          <w:sz w:val="22"/>
          <w:szCs w:val="22"/>
        </w:rPr>
        <w:t xml:space="preserve"> (+19%) – povećanje naknade</w:t>
      </w:r>
    </w:p>
    <w:p w14:paraId="4A61E3A5" w14:textId="29181300" w:rsidR="00875805" w:rsidRDefault="00875805" w:rsidP="00875805">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obaveznih liječničkih pregleda (+80%)</w:t>
      </w:r>
    </w:p>
    <w:p w14:paraId="2B53E165" w14:textId="64C4B4C2" w:rsidR="00832A9D" w:rsidRDefault="00832A9D" w:rsidP="00AF1345">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sistematskih pregleda (+32%) – povećanje cijene</w:t>
      </w:r>
    </w:p>
    <w:p w14:paraId="5A1212A9" w14:textId="77777777" w:rsidR="00D546CF" w:rsidRPr="00D546CF" w:rsidRDefault="00D546CF" w:rsidP="00D546CF">
      <w:pPr>
        <w:pStyle w:val="ListParagraph"/>
        <w:spacing w:line="360" w:lineRule="auto"/>
        <w:ind w:left="1065"/>
        <w:jc w:val="both"/>
        <w:rPr>
          <w:rFonts w:asciiTheme="minorHAnsi" w:hAnsiTheme="minorHAnsi" w:cstheme="minorHAnsi"/>
          <w:sz w:val="22"/>
          <w:szCs w:val="22"/>
        </w:rPr>
      </w:pPr>
    </w:p>
    <w:p w14:paraId="00D32419" w14:textId="1F575566" w:rsidR="009158F1" w:rsidRPr="009158F1" w:rsidRDefault="009158F1" w:rsidP="009158F1">
      <w:pPr>
        <w:spacing w:line="360" w:lineRule="auto"/>
        <w:jc w:val="both"/>
        <w:rPr>
          <w:rFonts w:cstheme="minorHAnsi"/>
        </w:rPr>
      </w:pPr>
      <w:r w:rsidRPr="009158F1">
        <w:rPr>
          <w:rFonts w:cstheme="minorHAnsi"/>
        </w:rPr>
        <w:t>Istodobno, troškovi prijevoza radnika na posao, potpore radnicima, troškovi osiguranja, članarine  te pristojbe i sudski troškovi bilježe pad, dok otpremnine u 2024. godini nisu realizirane jer nije bilo isplata po toj osnovi.</w:t>
      </w:r>
    </w:p>
    <w:p w14:paraId="0E32DEA8" w14:textId="14E15D70" w:rsidR="00C0549B" w:rsidRPr="009158F1" w:rsidRDefault="009158F1" w:rsidP="00D546CF">
      <w:pPr>
        <w:spacing w:after="360" w:line="360" w:lineRule="auto"/>
        <w:jc w:val="both"/>
        <w:rPr>
          <w:rFonts w:cstheme="minorHAnsi"/>
        </w:rPr>
      </w:pPr>
      <w:r w:rsidRPr="009158F1">
        <w:rPr>
          <w:rFonts w:cstheme="minorHAnsi"/>
        </w:rPr>
        <w:t>Troškovi koji su ostali na razini prethodnog razdoblja uključuju HRT pretplatu i darove u naravi.</w:t>
      </w:r>
    </w:p>
    <w:p w14:paraId="31F4C8E4" w14:textId="490C2654" w:rsidR="00FE081B" w:rsidRPr="00C0549B" w:rsidRDefault="00C0549B" w:rsidP="00C0549B">
      <w:pPr>
        <w:pStyle w:val="Heading3"/>
        <w:spacing w:before="240" w:after="240"/>
      </w:pPr>
      <w:bookmarkStart w:id="79" w:name="_Toc200094291"/>
      <w:r w:rsidRPr="00E9501A">
        <w:t>3.2.</w:t>
      </w:r>
      <w:r>
        <w:t>6</w:t>
      </w:r>
      <w:r w:rsidRPr="00E9501A">
        <w:t>.</w:t>
      </w:r>
      <w:r>
        <w:t xml:space="preserve"> Vrijednosna usklađenja</w:t>
      </w:r>
      <w:bookmarkEnd w:id="79"/>
    </w:p>
    <w:p w14:paraId="1E61CAC9" w14:textId="77777777" w:rsidR="00D546CF" w:rsidRDefault="00D546CF" w:rsidP="00257C24">
      <w:pPr>
        <w:spacing w:line="360" w:lineRule="auto"/>
        <w:jc w:val="both"/>
      </w:pPr>
      <w:r w:rsidRPr="00D546CF">
        <w:t xml:space="preserve">U 2024. godini nije bilo potrebe za </w:t>
      </w:r>
      <w:r w:rsidRPr="00CB3323">
        <w:rPr>
          <w:b/>
          <w:bCs/>
        </w:rPr>
        <w:t>vrijednosnim usklađenjima</w:t>
      </w:r>
      <w:r w:rsidRPr="00D546CF">
        <w:t>. Za razliku od toga, u 2023. godini vrijednosna usklađenja odnosila su se na sporna potraživanja od društva Komunalac d.o.o. Jurdani, nastala nakon uvođenja nove cijene.</w:t>
      </w:r>
    </w:p>
    <w:p w14:paraId="6C5C373D" w14:textId="2A76737C" w:rsidR="008A2537" w:rsidRPr="008A2537" w:rsidRDefault="008A2537" w:rsidP="00257C24">
      <w:pPr>
        <w:spacing w:line="360" w:lineRule="auto"/>
        <w:jc w:val="both"/>
        <w:rPr>
          <w:rFonts w:cstheme="minorHAnsi"/>
        </w:rPr>
      </w:pPr>
      <w:bookmarkStart w:id="80" w:name="_Toc200366474"/>
      <w:r w:rsidRPr="00840E6B">
        <w:rPr>
          <w:rFonts w:cstheme="minorHAnsi"/>
        </w:rPr>
        <w:t xml:space="preserve">Tablica </w:t>
      </w:r>
      <w:r w:rsidRPr="00840E6B">
        <w:rPr>
          <w:rFonts w:cstheme="minorHAnsi"/>
        </w:rPr>
        <w:fldChar w:fldCharType="begin"/>
      </w:r>
      <w:r w:rsidRPr="00840E6B">
        <w:rPr>
          <w:rFonts w:cstheme="minorHAnsi"/>
        </w:rPr>
        <w:instrText xml:space="preserve"> SEQ Tablica \* ARABIC </w:instrText>
      </w:r>
      <w:r w:rsidRPr="00840E6B">
        <w:rPr>
          <w:rFonts w:cstheme="minorHAnsi"/>
        </w:rPr>
        <w:fldChar w:fldCharType="separate"/>
      </w:r>
      <w:r w:rsidR="00A1075A">
        <w:rPr>
          <w:rFonts w:cstheme="minorHAnsi"/>
          <w:noProof/>
        </w:rPr>
        <w:t>36</w:t>
      </w:r>
      <w:r w:rsidRPr="00840E6B">
        <w:rPr>
          <w:rFonts w:cstheme="minorHAnsi"/>
        </w:rPr>
        <w:fldChar w:fldCharType="end"/>
      </w:r>
      <w:r w:rsidRPr="00840E6B">
        <w:rPr>
          <w:rFonts w:cstheme="minorHAnsi"/>
        </w:rPr>
        <w:t xml:space="preserve">. </w:t>
      </w:r>
      <w:r>
        <w:rPr>
          <w:rFonts w:cstheme="minorHAnsi"/>
          <w:b/>
          <w:bCs/>
        </w:rPr>
        <w:t>Vrijednosn</w:t>
      </w:r>
      <w:r w:rsidR="008D7146">
        <w:rPr>
          <w:rFonts w:cstheme="minorHAnsi"/>
          <w:b/>
          <w:bCs/>
        </w:rPr>
        <w:t>a</w:t>
      </w:r>
      <w:r>
        <w:rPr>
          <w:rFonts w:cstheme="minorHAnsi"/>
          <w:b/>
          <w:bCs/>
        </w:rPr>
        <w:t xml:space="preserve"> usklađenj</w:t>
      </w:r>
      <w:r w:rsidR="008D7146">
        <w:rPr>
          <w:rFonts w:cstheme="minorHAnsi"/>
          <w:b/>
          <w:bCs/>
        </w:rPr>
        <w:t>a</w:t>
      </w:r>
      <w:bookmarkEnd w:id="80"/>
    </w:p>
    <w:tbl>
      <w:tblPr>
        <w:tblW w:w="903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3"/>
        <w:gridCol w:w="3050"/>
        <w:gridCol w:w="1247"/>
        <w:gridCol w:w="1247"/>
        <w:gridCol w:w="1247"/>
        <w:gridCol w:w="737"/>
        <w:gridCol w:w="737"/>
      </w:tblGrid>
      <w:tr w:rsidR="00C0549B" w:rsidRPr="000A79EF" w14:paraId="7FD80D5D" w14:textId="77777777" w:rsidTr="00D546CF">
        <w:trPr>
          <w:trHeight w:val="624"/>
        </w:trPr>
        <w:tc>
          <w:tcPr>
            <w:tcW w:w="773" w:type="dxa"/>
            <w:tcBorders>
              <w:top w:val="single" w:sz="4" w:space="0" w:color="auto"/>
              <w:bottom w:val="single" w:sz="4" w:space="0" w:color="auto"/>
            </w:tcBorders>
            <w:shd w:val="clear" w:color="auto" w:fill="auto"/>
            <w:noWrap/>
            <w:vAlign w:val="center"/>
            <w:hideMark/>
          </w:tcPr>
          <w:p w14:paraId="430307BB" w14:textId="11C04DBA" w:rsidR="00C0549B" w:rsidRPr="000A79EF" w:rsidRDefault="00C0549B" w:rsidP="00C0549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050" w:type="dxa"/>
            <w:tcBorders>
              <w:top w:val="single" w:sz="4" w:space="0" w:color="auto"/>
              <w:bottom w:val="single" w:sz="4" w:space="0" w:color="auto"/>
            </w:tcBorders>
            <w:shd w:val="clear" w:color="auto" w:fill="auto"/>
            <w:noWrap/>
            <w:vAlign w:val="center"/>
            <w:hideMark/>
          </w:tcPr>
          <w:p w14:paraId="664C574A" w14:textId="58C16D8F" w:rsidR="00C0549B" w:rsidRPr="000A79EF" w:rsidRDefault="00C0549B" w:rsidP="00C0549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19BDA13B" w14:textId="046370B8" w:rsidR="00C0549B" w:rsidRPr="000A79EF" w:rsidRDefault="00C0549B" w:rsidP="00C0549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1ADF04C4" w14:textId="6128FF35" w:rsidR="00C0549B" w:rsidRPr="000A79EF" w:rsidRDefault="00C0549B" w:rsidP="00C0549B">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78C68CBF" w14:textId="5741943C" w:rsidR="00C0549B" w:rsidRPr="000A79EF" w:rsidRDefault="00C0549B" w:rsidP="00C0549B">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7" w:type="dxa"/>
            <w:tcBorders>
              <w:top w:val="single" w:sz="4" w:space="0" w:color="auto"/>
              <w:bottom w:val="single" w:sz="4" w:space="0" w:color="auto"/>
            </w:tcBorders>
            <w:shd w:val="clear" w:color="auto" w:fill="auto"/>
            <w:noWrap/>
            <w:vAlign w:val="center"/>
            <w:hideMark/>
          </w:tcPr>
          <w:p w14:paraId="74126868" w14:textId="31151AB2" w:rsidR="00C0549B" w:rsidRPr="000A79EF" w:rsidRDefault="00C0549B" w:rsidP="00C0549B">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013C42B7" w14:textId="57E73845" w:rsidR="00C0549B" w:rsidRPr="000A79EF" w:rsidRDefault="00C0549B" w:rsidP="00C0549B">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8A2537" w:rsidRPr="000A79EF" w14:paraId="698B9941" w14:textId="77777777" w:rsidTr="00D546CF">
        <w:trPr>
          <w:trHeight w:val="170"/>
        </w:trPr>
        <w:tc>
          <w:tcPr>
            <w:tcW w:w="773" w:type="dxa"/>
            <w:tcBorders>
              <w:top w:val="single" w:sz="4" w:space="0" w:color="auto"/>
              <w:bottom w:val="single" w:sz="4" w:space="0" w:color="auto"/>
            </w:tcBorders>
            <w:shd w:val="clear" w:color="auto" w:fill="auto"/>
            <w:noWrap/>
            <w:vAlign w:val="center"/>
          </w:tcPr>
          <w:p w14:paraId="1E85B368"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eastAsia="Times New Roman" w:cstheme="minorHAnsi"/>
                <w:b/>
                <w:bCs/>
                <w:i/>
                <w:iCs/>
                <w:color w:val="BFBFBF" w:themeColor="background1" w:themeShade="BF"/>
                <w:sz w:val="14"/>
                <w:szCs w:val="14"/>
                <w:lang w:eastAsia="hr-HR"/>
              </w:rPr>
              <w:t>1</w:t>
            </w:r>
          </w:p>
        </w:tc>
        <w:tc>
          <w:tcPr>
            <w:tcW w:w="3050" w:type="dxa"/>
            <w:tcBorders>
              <w:top w:val="single" w:sz="4" w:space="0" w:color="auto"/>
              <w:bottom w:val="single" w:sz="4" w:space="0" w:color="auto"/>
            </w:tcBorders>
            <w:shd w:val="clear" w:color="auto" w:fill="auto"/>
            <w:noWrap/>
            <w:vAlign w:val="center"/>
          </w:tcPr>
          <w:p w14:paraId="0A405D26"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eastAsia="Times New Roman" w:cstheme="minorHAnsi"/>
                <w:b/>
                <w:bCs/>
                <w:i/>
                <w:iCs/>
                <w:color w:val="BFBFBF" w:themeColor="background1" w:themeShade="BF"/>
                <w:sz w:val="14"/>
                <w:szCs w:val="14"/>
                <w:lang w:eastAsia="hr-HR"/>
              </w:rPr>
              <w:t>2</w:t>
            </w:r>
          </w:p>
        </w:tc>
        <w:tc>
          <w:tcPr>
            <w:tcW w:w="1247" w:type="dxa"/>
            <w:tcBorders>
              <w:top w:val="single" w:sz="4" w:space="0" w:color="auto"/>
              <w:bottom w:val="single" w:sz="4" w:space="0" w:color="auto"/>
            </w:tcBorders>
            <w:shd w:val="clear" w:color="auto" w:fill="auto"/>
            <w:noWrap/>
            <w:vAlign w:val="center"/>
          </w:tcPr>
          <w:p w14:paraId="62422F67"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ascii="Calibri" w:eastAsia="Times New Roman" w:hAnsi="Calibri" w:cs="Calibri"/>
                <w:b/>
                <w:bCs/>
                <w:i/>
                <w:iCs/>
                <w:color w:val="BFBFBF" w:themeColor="background1" w:themeShade="BF"/>
                <w:sz w:val="14"/>
                <w:szCs w:val="14"/>
                <w:lang w:eastAsia="hr-HR"/>
              </w:rPr>
              <w:t>3</w:t>
            </w:r>
          </w:p>
        </w:tc>
        <w:tc>
          <w:tcPr>
            <w:tcW w:w="1247" w:type="dxa"/>
            <w:tcBorders>
              <w:top w:val="single" w:sz="4" w:space="0" w:color="auto"/>
              <w:bottom w:val="single" w:sz="4" w:space="0" w:color="auto"/>
            </w:tcBorders>
            <w:shd w:val="clear" w:color="auto" w:fill="auto"/>
            <w:noWrap/>
            <w:vAlign w:val="center"/>
          </w:tcPr>
          <w:p w14:paraId="20216FE4"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eastAsia="Times New Roman" w:cstheme="minorHAnsi"/>
                <w:b/>
                <w:bCs/>
                <w:i/>
                <w:iCs/>
                <w:color w:val="BFBFBF" w:themeColor="background1" w:themeShade="BF"/>
                <w:sz w:val="14"/>
                <w:szCs w:val="14"/>
                <w:lang w:eastAsia="hr-HR"/>
              </w:rPr>
              <w:t>4</w:t>
            </w:r>
          </w:p>
        </w:tc>
        <w:tc>
          <w:tcPr>
            <w:tcW w:w="1247" w:type="dxa"/>
            <w:tcBorders>
              <w:top w:val="single" w:sz="4" w:space="0" w:color="auto"/>
              <w:bottom w:val="single" w:sz="4" w:space="0" w:color="auto"/>
            </w:tcBorders>
            <w:shd w:val="clear" w:color="auto" w:fill="auto"/>
            <w:noWrap/>
            <w:vAlign w:val="center"/>
          </w:tcPr>
          <w:p w14:paraId="3DCE3FC4"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ascii="Calibri" w:eastAsia="Times New Roman" w:hAnsi="Calibri" w:cs="Calibri"/>
                <w:b/>
                <w:bCs/>
                <w:i/>
                <w:iCs/>
                <w:color w:val="BFBFBF" w:themeColor="background1" w:themeShade="BF"/>
                <w:sz w:val="14"/>
                <w:szCs w:val="14"/>
                <w:lang w:eastAsia="hr-HR"/>
              </w:rPr>
              <w:t>5</w:t>
            </w:r>
          </w:p>
        </w:tc>
        <w:tc>
          <w:tcPr>
            <w:tcW w:w="737" w:type="dxa"/>
            <w:tcBorders>
              <w:top w:val="single" w:sz="4" w:space="0" w:color="auto"/>
              <w:bottom w:val="single" w:sz="4" w:space="0" w:color="auto"/>
            </w:tcBorders>
            <w:shd w:val="clear" w:color="auto" w:fill="auto"/>
            <w:noWrap/>
            <w:vAlign w:val="center"/>
          </w:tcPr>
          <w:p w14:paraId="2C71160D"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ascii="Calibri" w:eastAsia="Times New Roman" w:hAnsi="Calibri" w:cs="Calibri"/>
                <w:b/>
                <w:bCs/>
                <w:i/>
                <w:iCs/>
                <w:color w:val="BFBFBF" w:themeColor="background1" w:themeShade="BF"/>
                <w:sz w:val="14"/>
                <w:szCs w:val="14"/>
                <w:lang w:eastAsia="hr-HR"/>
              </w:rPr>
              <w:t>6</w:t>
            </w:r>
          </w:p>
        </w:tc>
        <w:tc>
          <w:tcPr>
            <w:tcW w:w="737" w:type="dxa"/>
            <w:tcBorders>
              <w:top w:val="single" w:sz="4" w:space="0" w:color="auto"/>
              <w:bottom w:val="single" w:sz="4" w:space="0" w:color="auto"/>
            </w:tcBorders>
            <w:shd w:val="clear" w:color="auto" w:fill="auto"/>
            <w:noWrap/>
            <w:vAlign w:val="center"/>
          </w:tcPr>
          <w:p w14:paraId="0967AE05" w14:textId="77777777" w:rsidR="008A2537" w:rsidRPr="0028778C" w:rsidRDefault="008A2537" w:rsidP="00692AFD">
            <w:pPr>
              <w:spacing w:after="0" w:line="240" w:lineRule="auto"/>
              <w:jc w:val="center"/>
              <w:rPr>
                <w:rFonts w:eastAsia="Times New Roman" w:cstheme="minorHAnsi"/>
                <w:b/>
                <w:bCs/>
                <w:color w:val="BFBFBF" w:themeColor="background1" w:themeShade="BF"/>
                <w:sz w:val="14"/>
                <w:szCs w:val="14"/>
                <w:lang w:eastAsia="hr-HR"/>
              </w:rPr>
            </w:pPr>
            <w:r w:rsidRPr="0028778C">
              <w:rPr>
                <w:rFonts w:ascii="Calibri" w:eastAsia="Times New Roman" w:hAnsi="Calibri" w:cs="Calibri"/>
                <w:b/>
                <w:bCs/>
                <w:i/>
                <w:iCs/>
                <w:color w:val="BFBFBF" w:themeColor="background1" w:themeShade="BF"/>
                <w:sz w:val="14"/>
                <w:szCs w:val="14"/>
                <w:lang w:eastAsia="hr-HR"/>
              </w:rPr>
              <w:t>7</w:t>
            </w:r>
          </w:p>
        </w:tc>
      </w:tr>
      <w:tr w:rsidR="00C0549B" w:rsidRPr="000A79EF" w14:paraId="38226BDC" w14:textId="77777777" w:rsidTr="00D546CF">
        <w:trPr>
          <w:trHeight w:val="283"/>
        </w:trPr>
        <w:tc>
          <w:tcPr>
            <w:tcW w:w="773" w:type="dxa"/>
            <w:tcBorders>
              <w:top w:val="single" w:sz="4" w:space="0" w:color="auto"/>
            </w:tcBorders>
            <w:shd w:val="clear" w:color="auto" w:fill="auto"/>
            <w:noWrap/>
            <w:vAlign w:val="bottom"/>
            <w:hideMark/>
          </w:tcPr>
          <w:p w14:paraId="2B834F98" w14:textId="5D279418" w:rsidR="00C0549B" w:rsidRPr="00D16F9C" w:rsidRDefault="00C0549B" w:rsidP="00D546CF">
            <w:pPr>
              <w:spacing w:before="120" w:after="0" w:line="240" w:lineRule="auto"/>
              <w:rPr>
                <w:rFonts w:eastAsia="Times New Roman" w:cstheme="minorHAnsi"/>
                <w:sz w:val="18"/>
                <w:szCs w:val="18"/>
                <w:lang w:eastAsia="hr-HR"/>
              </w:rPr>
            </w:pPr>
            <w:r w:rsidRPr="00D16F9C">
              <w:rPr>
                <w:rFonts w:eastAsia="Times New Roman" w:cstheme="minorHAnsi"/>
                <w:sz w:val="18"/>
                <w:szCs w:val="18"/>
                <w:lang w:eastAsia="hr-HR"/>
              </w:rPr>
              <w:t>5.</w:t>
            </w:r>
          </w:p>
        </w:tc>
        <w:tc>
          <w:tcPr>
            <w:tcW w:w="3050" w:type="dxa"/>
            <w:tcBorders>
              <w:top w:val="single" w:sz="4" w:space="0" w:color="auto"/>
            </w:tcBorders>
            <w:shd w:val="clear" w:color="auto" w:fill="auto"/>
            <w:noWrap/>
            <w:vAlign w:val="bottom"/>
            <w:hideMark/>
          </w:tcPr>
          <w:p w14:paraId="67915328" w14:textId="1D776983" w:rsidR="00C0549B" w:rsidRPr="00D16F9C" w:rsidRDefault="00C0549B" w:rsidP="00D546CF">
            <w:pPr>
              <w:spacing w:before="120" w:after="0" w:line="240" w:lineRule="auto"/>
              <w:rPr>
                <w:rFonts w:eastAsia="Times New Roman" w:cstheme="minorHAnsi"/>
                <w:sz w:val="18"/>
                <w:szCs w:val="18"/>
                <w:lang w:eastAsia="hr-HR"/>
              </w:rPr>
            </w:pPr>
            <w:r w:rsidRPr="00D16F9C">
              <w:rPr>
                <w:rFonts w:eastAsia="Times New Roman" w:cstheme="minorHAnsi"/>
                <w:sz w:val="18"/>
                <w:szCs w:val="18"/>
                <w:lang w:eastAsia="hr-HR"/>
              </w:rPr>
              <w:t>Vrijednosn</w:t>
            </w:r>
            <w:r>
              <w:rPr>
                <w:rFonts w:eastAsia="Times New Roman" w:cstheme="minorHAnsi"/>
                <w:sz w:val="18"/>
                <w:szCs w:val="18"/>
                <w:lang w:eastAsia="hr-HR"/>
              </w:rPr>
              <w:t>a</w:t>
            </w:r>
            <w:r w:rsidRPr="00D16F9C">
              <w:rPr>
                <w:rFonts w:eastAsia="Times New Roman" w:cstheme="minorHAnsi"/>
                <w:sz w:val="18"/>
                <w:szCs w:val="18"/>
                <w:lang w:eastAsia="hr-HR"/>
              </w:rPr>
              <w:t xml:space="preserve"> usklađenj</w:t>
            </w:r>
            <w:r>
              <w:rPr>
                <w:rFonts w:eastAsia="Times New Roman" w:cstheme="minorHAnsi"/>
                <w:sz w:val="18"/>
                <w:szCs w:val="18"/>
                <w:lang w:eastAsia="hr-HR"/>
              </w:rPr>
              <w:t>a</w:t>
            </w:r>
          </w:p>
        </w:tc>
        <w:tc>
          <w:tcPr>
            <w:tcW w:w="1247" w:type="dxa"/>
            <w:tcBorders>
              <w:top w:val="single" w:sz="4" w:space="0" w:color="auto"/>
            </w:tcBorders>
            <w:shd w:val="clear" w:color="auto" w:fill="auto"/>
            <w:noWrap/>
            <w:vAlign w:val="bottom"/>
            <w:hideMark/>
          </w:tcPr>
          <w:p w14:paraId="4D3016AC" w14:textId="4FA242D4" w:rsidR="00C0549B" w:rsidRPr="00C0549B" w:rsidRDefault="00C0549B" w:rsidP="00D546CF">
            <w:pPr>
              <w:spacing w:before="120" w:after="0" w:line="240" w:lineRule="auto"/>
              <w:jc w:val="center"/>
              <w:rPr>
                <w:rFonts w:eastAsia="Times New Roman" w:cstheme="minorHAnsi"/>
                <w:sz w:val="18"/>
                <w:szCs w:val="18"/>
                <w:lang w:eastAsia="hr-HR"/>
              </w:rPr>
            </w:pPr>
            <w:r w:rsidRPr="00C0549B">
              <w:rPr>
                <w:rFonts w:ascii="Calibri" w:hAnsi="Calibri" w:cs="Calibri"/>
                <w:sz w:val="18"/>
                <w:szCs w:val="18"/>
              </w:rPr>
              <w:t>39.715</w:t>
            </w:r>
          </w:p>
        </w:tc>
        <w:tc>
          <w:tcPr>
            <w:tcW w:w="1247" w:type="dxa"/>
            <w:tcBorders>
              <w:top w:val="single" w:sz="4" w:space="0" w:color="auto"/>
            </w:tcBorders>
            <w:shd w:val="clear" w:color="auto" w:fill="auto"/>
            <w:noWrap/>
            <w:vAlign w:val="bottom"/>
            <w:hideMark/>
          </w:tcPr>
          <w:p w14:paraId="48E2A8F7" w14:textId="271F7071" w:rsidR="00C0549B" w:rsidRPr="00C0549B" w:rsidRDefault="00C0549B" w:rsidP="00D546CF">
            <w:pPr>
              <w:spacing w:before="120" w:after="0" w:line="240" w:lineRule="auto"/>
              <w:jc w:val="center"/>
              <w:rPr>
                <w:rFonts w:eastAsia="Times New Roman" w:cstheme="minorHAnsi"/>
                <w:sz w:val="18"/>
                <w:szCs w:val="18"/>
                <w:lang w:eastAsia="hr-HR"/>
              </w:rPr>
            </w:pPr>
            <w:r w:rsidRPr="00C0549B">
              <w:rPr>
                <w:rFonts w:ascii="Calibri" w:hAnsi="Calibri" w:cs="Calibri"/>
                <w:sz w:val="18"/>
                <w:szCs w:val="18"/>
              </w:rPr>
              <w:t>0</w:t>
            </w:r>
          </w:p>
        </w:tc>
        <w:tc>
          <w:tcPr>
            <w:tcW w:w="1247" w:type="dxa"/>
            <w:tcBorders>
              <w:top w:val="single" w:sz="4" w:space="0" w:color="auto"/>
            </w:tcBorders>
            <w:shd w:val="clear" w:color="auto" w:fill="auto"/>
            <w:noWrap/>
            <w:vAlign w:val="bottom"/>
            <w:hideMark/>
          </w:tcPr>
          <w:p w14:paraId="3A78D576" w14:textId="5BCAEE9F" w:rsidR="00C0549B" w:rsidRPr="00C0549B" w:rsidRDefault="00C0549B" w:rsidP="00D546CF">
            <w:pPr>
              <w:spacing w:before="120" w:after="0" w:line="240" w:lineRule="auto"/>
              <w:jc w:val="center"/>
              <w:rPr>
                <w:rFonts w:eastAsia="Times New Roman" w:cstheme="minorHAnsi"/>
                <w:sz w:val="18"/>
                <w:szCs w:val="18"/>
                <w:lang w:eastAsia="hr-HR"/>
              </w:rPr>
            </w:pPr>
            <w:r w:rsidRPr="00C0549B">
              <w:rPr>
                <w:rFonts w:ascii="Calibri" w:hAnsi="Calibri" w:cs="Calibri"/>
                <w:sz w:val="18"/>
                <w:szCs w:val="18"/>
              </w:rPr>
              <w:t>0</w:t>
            </w:r>
          </w:p>
        </w:tc>
        <w:tc>
          <w:tcPr>
            <w:tcW w:w="737" w:type="dxa"/>
            <w:tcBorders>
              <w:top w:val="single" w:sz="4" w:space="0" w:color="auto"/>
            </w:tcBorders>
            <w:shd w:val="clear" w:color="auto" w:fill="auto"/>
            <w:noWrap/>
            <w:vAlign w:val="bottom"/>
            <w:hideMark/>
          </w:tcPr>
          <w:p w14:paraId="48A1DF84" w14:textId="63236F18" w:rsidR="00C0549B" w:rsidRPr="00C0549B" w:rsidRDefault="00C0549B" w:rsidP="00D546CF">
            <w:pPr>
              <w:spacing w:before="120" w:after="0" w:line="240" w:lineRule="auto"/>
              <w:jc w:val="center"/>
              <w:rPr>
                <w:rFonts w:eastAsia="Times New Roman" w:cstheme="minorHAnsi"/>
                <w:sz w:val="18"/>
                <w:szCs w:val="18"/>
                <w:lang w:eastAsia="hr-HR"/>
              </w:rPr>
            </w:pPr>
            <w:r w:rsidRPr="00C0549B">
              <w:rPr>
                <w:rFonts w:ascii="Calibri" w:hAnsi="Calibri" w:cs="Calibri"/>
                <w:sz w:val="18"/>
                <w:szCs w:val="18"/>
              </w:rPr>
              <w:t>0%</w:t>
            </w:r>
          </w:p>
        </w:tc>
        <w:tc>
          <w:tcPr>
            <w:tcW w:w="737" w:type="dxa"/>
            <w:tcBorders>
              <w:top w:val="single" w:sz="4" w:space="0" w:color="auto"/>
            </w:tcBorders>
            <w:shd w:val="clear" w:color="auto" w:fill="auto"/>
            <w:noWrap/>
            <w:vAlign w:val="bottom"/>
            <w:hideMark/>
          </w:tcPr>
          <w:p w14:paraId="0508A805" w14:textId="32CF84FC" w:rsidR="00C0549B" w:rsidRPr="00C0549B" w:rsidRDefault="00C0549B" w:rsidP="00D546CF">
            <w:pPr>
              <w:spacing w:before="120" w:after="0" w:line="240" w:lineRule="auto"/>
              <w:jc w:val="center"/>
              <w:rPr>
                <w:rFonts w:eastAsia="Times New Roman" w:cstheme="minorHAnsi"/>
                <w:sz w:val="18"/>
                <w:szCs w:val="18"/>
                <w:lang w:eastAsia="hr-HR"/>
              </w:rPr>
            </w:pPr>
            <w:r w:rsidRPr="00C0549B">
              <w:rPr>
                <w:rFonts w:ascii="Calibri" w:hAnsi="Calibri" w:cs="Calibri"/>
                <w:sz w:val="18"/>
                <w:szCs w:val="18"/>
              </w:rPr>
              <w:t>0%</w:t>
            </w:r>
          </w:p>
        </w:tc>
      </w:tr>
    </w:tbl>
    <w:p w14:paraId="47DEA23E" w14:textId="77777777" w:rsidR="008A2537" w:rsidRDefault="008A2537" w:rsidP="0059297F">
      <w:pPr>
        <w:spacing w:line="360" w:lineRule="auto"/>
        <w:jc w:val="both"/>
        <w:rPr>
          <w:color w:val="FF0000"/>
        </w:rPr>
      </w:pPr>
    </w:p>
    <w:p w14:paraId="5D180F6C" w14:textId="5FBC3422" w:rsidR="00C0549B" w:rsidRPr="00C0549B" w:rsidRDefault="00C0549B" w:rsidP="00C0549B">
      <w:pPr>
        <w:pStyle w:val="Heading3"/>
        <w:spacing w:before="240" w:after="240"/>
      </w:pPr>
      <w:bookmarkStart w:id="81" w:name="_Toc200094292"/>
      <w:r w:rsidRPr="00E9501A">
        <w:t>3.2.</w:t>
      </w:r>
      <w:r>
        <w:t>7</w:t>
      </w:r>
      <w:r w:rsidRPr="00E9501A">
        <w:t>.</w:t>
      </w:r>
      <w:r>
        <w:t xml:space="preserve"> Rezerviranja</w:t>
      </w:r>
      <w:bookmarkEnd w:id="81"/>
    </w:p>
    <w:p w14:paraId="30248BA6" w14:textId="62890037" w:rsidR="00DE4E12" w:rsidRPr="00574A9F" w:rsidRDefault="0031709E" w:rsidP="00DE4E12">
      <w:pPr>
        <w:spacing w:line="360" w:lineRule="auto"/>
        <w:jc w:val="both"/>
      </w:pPr>
      <w:r w:rsidRPr="0031709E">
        <w:t>U 2024. godini</w:t>
      </w:r>
      <w:r>
        <w:t xml:space="preserve"> troškovi za </w:t>
      </w:r>
      <w:r w:rsidRPr="0031709E">
        <w:t xml:space="preserve"> rezerviranja nisu ostvaren</w:t>
      </w:r>
      <w:r>
        <w:t xml:space="preserve">i, </w:t>
      </w:r>
      <w:r w:rsidRPr="0031709E">
        <w:t xml:space="preserve"> za razliku od 2023. godine kada su se odnosil</w:t>
      </w:r>
      <w:r>
        <w:t>i</w:t>
      </w:r>
      <w:r w:rsidRPr="0031709E">
        <w:t xml:space="preserve"> na </w:t>
      </w:r>
      <w:r w:rsidR="00DE4E12" w:rsidRPr="00574A9F">
        <w:t>rezerviranja za započete sudske sporove koji se vode protiv Društv</w:t>
      </w:r>
      <w:r w:rsidR="00EF2E03" w:rsidRPr="00574A9F">
        <w:t>a, otpremnine i godišnje odmore</w:t>
      </w:r>
      <w:r w:rsidR="00DE4E12" w:rsidRPr="00574A9F">
        <w:t xml:space="preserve">. </w:t>
      </w:r>
    </w:p>
    <w:p w14:paraId="6D57AE47" w14:textId="53F9795B" w:rsidR="008A2537" w:rsidRPr="008A2537" w:rsidRDefault="008A2537" w:rsidP="008A2537">
      <w:pPr>
        <w:pStyle w:val="Caption"/>
        <w:spacing w:before="240" w:after="240"/>
        <w:rPr>
          <w:rFonts w:asciiTheme="minorHAnsi" w:hAnsiTheme="minorHAnsi" w:cstheme="minorHAnsi"/>
          <w:b w:val="0"/>
          <w:bCs w:val="0"/>
          <w:sz w:val="22"/>
          <w:szCs w:val="22"/>
        </w:rPr>
      </w:pPr>
      <w:bookmarkStart w:id="82" w:name="_Toc200366475"/>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37</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Pr>
          <w:rFonts w:asciiTheme="minorHAnsi" w:hAnsiTheme="minorHAnsi" w:cstheme="minorHAnsi"/>
          <w:b w:val="0"/>
          <w:bCs w:val="0"/>
          <w:sz w:val="22"/>
          <w:szCs w:val="22"/>
        </w:rPr>
        <w:t>Rezerviranja</w:t>
      </w:r>
      <w:bookmarkEnd w:id="82"/>
    </w:p>
    <w:tbl>
      <w:tblPr>
        <w:tblW w:w="91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
        <w:gridCol w:w="3261"/>
        <w:gridCol w:w="1247"/>
        <w:gridCol w:w="1247"/>
        <w:gridCol w:w="1247"/>
        <w:gridCol w:w="737"/>
        <w:gridCol w:w="737"/>
      </w:tblGrid>
      <w:tr w:rsidR="00D546CF" w:rsidRPr="000A79EF" w14:paraId="484C5885" w14:textId="77777777" w:rsidTr="00D546CF">
        <w:trPr>
          <w:trHeight w:val="624"/>
        </w:trPr>
        <w:tc>
          <w:tcPr>
            <w:tcW w:w="624" w:type="dxa"/>
            <w:tcBorders>
              <w:top w:val="single" w:sz="4" w:space="0" w:color="auto"/>
              <w:bottom w:val="single" w:sz="4" w:space="0" w:color="auto"/>
            </w:tcBorders>
            <w:shd w:val="clear" w:color="auto" w:fill="auto"/>
            <w:noWrap/>
            <w:vAlign w:val="center"/>
            <w:hideMark/>
          </w:tcPr>
          <w:p w14:paraId="57C5CB62" w14:textId="69C343DC" w:rsidR="00D546CF" w:rsidRPr="000A79EF" w:rsidRDefault="00D546CF" w:rsidP="00D546CF">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261" w:type="dxa"/>
            <w:tcBorders>
              <w:top w:val="single" w:sz="4" w:space="0" w:color="auto"/>
              <w:bottom w:val="single" w:sz="4" w:space="0" w:color="auto"/>
            </w:tcBorders>
            <w:shd w:val="clear" w:color="auto" w:fill="auto"/>
            <w:noWrap/>
            <w:vAlign w:val="center"/>
            <w:hideMark/>
          </w:tcPr>
          <w:p w14:paraId="5A185687" w14:textId="78D4E469" w:rsidR="00D546CF" w:rsidRPr="000A79EF" w:rsidRDefault="00D546CF" w:rsidP="00D546CF">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72BC5068" w14:textId="2A2D5E42" w:rsidR="00D546CF" w:rsidRPr="000A79EF" w:rsidRDefault="00D546CF" w:rsidP="00D546CF">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3D659E0B" w14:textId="0BF28F1C" w:rsidR="00D546CF" w:rsidRPr="000A79EF" w:rsidRDefault="00D546CF" w:rsidP="00D546CF">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7E6CD400" w14:textId="1601C45D" w:rsidR="00D546CF" w:rsidRPr="000A79EF" w:rsidRDefault="00D546CF" w:rsidP="00D546CF">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7" w:type="dxa"/>
            <w:tcBorders>
              <w:top w:val="single" w:sz="4" w:space="0" w:color="auto"/>
              <w:bottom w:val="single" w:sz="4" w:space="0" w:color="auto"/>
            </w:tcBorders>
            <w:shd w:val="clear" w:color="auto" w:fill="auto"/>
            <w:noWrap/>
            <w:vAlign w:val="center"/>
            <w:hideMark/>
          </w:tcPr>
          <w:p w14:paraId="300DF332" w14:textId="43E74349" w:rsidR="00D546CF" w:rsidRPr="000A79EF" w:rsidRDefault="00D546CF" w:rsidP="00D546CF">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22378DEC" w14:textId="01D759DA" w:rsidR="00D546CF" w:rsidRPr="000A79EF" w:rsidRDefault="00D546CF" w:rsidP="00D546CF">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8A2537" w:rsidRPr="000A79EF" w14:paraId="072C5014" w14:textId="77777777" w:rsidTr="00D546CF">
        <w:trPr>
          <w:trHeight w:val="170"/>
        </w:trPr>
        <w:tc>
          <w:tcPr>
            <w:tcW w:w="624" w:type="dxa"/>
            <w:tcBorders>
              <w:top w:val="single" w:sz="4" w:space="0" w:color="auto"/>
              <w:bottom w:val="single" w:sz="4" w:space="0" w:color="auto"/>
            </w:tcBorders>
            <w:shd w:val="clear" w:color="auto" w:fill="auto"/>
            <w:noWrap/>
            <w:vAlign w:val="center"/>
          </w:tcPr>
          <w:p w14:paraId="33ECD297"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eastAsia="Times New Roman" w:cstheme="minorHAnsi"/>
                <w:b/>
                <w:bCs/>
                <w:i/>
                <w:iCs/>
                <w:color w:val="BFBFBF" w:themeColor="background1" w:themeShade="BF"/>
                <w:sz w:val="16"/>
                <w:szCs w:val="16"/>
                <w:lang w:eastAsia="hr-HR"/>
              </w:rPr>
              <w:t>1</w:t>
            </w:r>
          </w:p>
        </w:tc>
        <w:tc>
          <w:tcPr>
            <w:tcW w:w="3261" w:type="dxa"/>
            <w:tcBorders>
              <w:top w:val="single" w:sz="4" w:space="0" w:color="auto"/>
              <w:bottom w:val="single" w:sz="4" w:space="0" w:color="auto"/>
            </w:tcBorders>
            <w:shd w:val="clear" w:color="auto" w:fill="auto"/>
            <w:noWrap/>
            <w:vAlign w:val="center"/>
          </w:tcPr>
          <w:p w14:paraId="1F57B064"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eastAsia="Times New Roman" w:cstheme="minorHAnsi"/>
                <w:b/>
                <w:bCs/>
                <w:i/>
                <w:iCs/>
                <w:color w:val="BFBFBF" w:themeColor="background1" w:themeShade="BF"/>
                <w:sz w:val="16"/>
                <w:szCs w:val="16"/>
                <w:lang w:eastAsia="hr-HR"/>
              </w:rPr>
              <w:t>2</w:t>
            </w:r>
          </w:p>
        </w:tc>
        <w:tc>
          <w:tcPr>
            <w:tcW w:w="1247" w:type="dxa"/>
            <w:tcBorders>
              <w:top w:val="single" w:sz="4" w:space="0" w:color="auto"/>
              <w:bottom w:val="single" w:sz="4" w:space="0" w:color="auto"/>
            </w:tcBorders>
            <w:shd w:val="clear" w:color="auto" w:fill="auto"/>
            <w:noWrap/>
            <w:vAlign w:val="center"/>
          </w:tcPr>
          <w:p w14:paraId="0216B563"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3</w:t>
            </w:r>
          </w:p>
        </w:tc>
        <w:tc>
          <w:tcPr>
            <w:tcW w:w="1247" w:type="dxa"/>
            <w:tcBorders>
              <w:top w:val="single" w:sz="4" w:space="0" w:color="auto"/>
              <w:bottom w:val="single" w:sz="4" w:space="0" w:color="auto"/>
            </w:tcBorders>
            <w:shd w:val="clear" w:color="auto" w:fill="auto"/>
            <w:noWrap/>
            <w:vAlign w:val="center"/>
          </w:tcPr>
          <w:p w14:paraId="3C394E43"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eastAsia="Times New Roman" w:cstheme="minorHAnsi"/>
                <w:b/>
                <w:bCs/>
                <w:i/>
                <w:iCs/>
                <w:color w:val="BFBFBF" w:themeColor="background1" w:themeShade="BF"/>
                <w:sz w:val="16"/>
                <w:szCs w:val="16"/>
                <w:lang w:eastAsia="hr-HR"/>
              </w:rPr>
              <w:t>4</w:t>
            </w:r>
          </w:p>
        </w:tc>
        <w:tc>
          <w:tcPr>
            <w:tcW w:w="1247" w:type="dxa"/>
            <w:tcBorders>
              <w:top w:val="single" w:sz="4" w:space="0" w:color="auto"/>
              <w:bottom w:val="single" w:sz="4" w:space="0" w:color="auto"/>
            </w:tcBorders>
            <w:shd w:val="clear" w:color="auto" w:fill="auto"/>
            <w:noWrap/>
            <w:vAlign w:val="center"/>
          </w:tcPr>
          <w:p w14:paraId="7D7C3C20"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5</w:t>
            </w:r>
          </w:p>
        </w:tc>
        <w:tc>
          <w:tcPr>
            <w:tcW w:w="737" w:type="dxa"/>
            <w:tcBorders>
              <w:top w:val="single" w:sz="4" w:space="0" w:color="auto"/>
              <w:bottom w:val="single" w:sz="4" w:space="0" w:color="auto"/>
            </w:tcBorders>
            <w:shd w:val="clear" w:color="auto" w:fill="auto"/>
            <w:noWrap/>
            <w:vAlign w:val="center"/>
          </w:tcPr>
          <w:p w14:paraId="221B9C07"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6</w:t>
            </w:r>
          </w:p>
        </w:tc>
        <w:tc>
          <w:tcPr>
            <w:tcW w:w="737" w:type="dxa"/>
            <w:tcBorders>
              <w:top w:val="single" w:sz="4" w:space="0" w:color="auto"/>
              <w:bottom w:val="single" w:sz="4" w:space="0" w:color="auto"/>
            </w:tcBorders>
            <w:shd w:val="clear" w:color="auto" w:fill="auto"/>
            <w:noWrap/>
            <w:vAlign w:val="center"/>
          </w:tcPr>
          <w:p w14:paraId="183D6A86" w14:textId="77777777" w:rsidR="008A2537" w:rsidRPr="004625C0" w:rsidRDefault="008A2537" w:rsidP="00692AFD">
            <w:pPr>
              <w:spacing w:after="0" w:line="240" w:lineRule="auto"/>
              <w:jc w:val="center"/>
              <w:rPr>
                <w:rFonts w:eastAsia="Times New Roman" w:cstheme="minorHAnsi"/>
                <w:b/>
                <w:bCs/>
                <w:color w:val="BFBFBF" w:themeColor="background1" w:themeShade="BF"/>
                <w:sz w:val="20"/>
                <w:szCs w:val="20"/>
                <w:lang w:eastAsia="hr-HR"/>
              </w:rPr>
            </w:pPr>
            <w:r w:rsidRPr="004625C0">
              <w:rPr>
                <w:rFonts w:ascii="Calibri" w:eastAsia="Times New Roman" w:hAnsi="Calibri" w:cs="Calibri"/>
                <w:b/>
                <w:bCs/>
                <w:i/>
                <w:iCs/>
                <w:color w:val="BFBFBF" w:themeColor="background1" w:themeShade="BF"/>
                <w:sz w:val="16"/>
                <w:szCs w:val="16"/>
                <w:lang w:eastAsia="hr-HR"/>
              </w:rPr>
              <w:t>7</w:t>
            </w:r>
          </w:p>
        </w:tc>
      </w:tr>
      <w:tr w:rsidR="00CB3323" w:rsidRPr="000A79EF" w14:paraId="62535B5E" w14:textId="77777777" w:rsidTr="008F1498">
        <w:trPr>
          <w:trHeight w:val="340"/>
        </w:trPr>
        <w:tc>
          <w:tcPr>
            <w:tcW w:w="624" w:type="dxa"/>
            <w:tcBorders>
              <w:top w:val="single" w:sz="4" w:space="0" w:color="auto"/>
            </w:tcBorders>
            <w:shd w:val="clear" w:color="auto" w:fill="auto"/>
            <w:noWrap/>
            <w:vAlign w:val="bottom"/>
            <w:hideMark/>
          </w:tcPr>
          <w:p w14:paraId="4A08C7FC" w14:textId="154985DA"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b/>
                <w:bCs/>
                <w:sz w:val="18"/>
                <w:szCs w:val="18"/>
              </w:rPr>
              <w:t>6</w:t>
            </w:r>
          </w:p>
        </w:tc>
        <w:tc>
          <w:tcPr>
            <w:tcW w:w="3261" w:type="dxa"/>
            <w:tcBorders>
              <w:top w:val="single" w:sz="4" w:space="0" w:color="auto"/>
            </w:tcBorders>
            <w:shd w:val="clear" w:color="auto" w:fill="auto"/>
            <w:noWrap/>
            <w:vAlign w:val="bottom"/>
            <w:hideMark/>
          </w:tcPr>
          <w:p w14:paraId="4DECFBA4" w14:textId="718E337D"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b/>
                <w:bCs/>
                <w:sz w:val="18"/>
                <w:szCs w:val="18"/>
              </w:rPr>
              <w:t>Rezerviranja</w:t>
            </w:r>
          </w:p>
        </w:tc>
        <w:tc>
          <w:tcPr>
            <w:tcW w:w="1247" w:type="dxa"/>
            <w:tcBorders>
              <w:top w:val="single" w:sz="4" w:space="0" w:color="auto"/>
            </w:tcBorders>
            <w:shd w:val="clear" w:color="auto" w:fill="auto"/>
            <w:noWrap/>
            <w:vAlign w:val="center"/>
            <w:hideMark/>
          </w:tcPr>
          <w:p w14:paraId="177EAE67" w14:textId="3908865C" w:rsidR="00CB3323" w:rsidRPr="00CB3323" w:rsidRDefault="00CB3323" w:rsidP="00CB3323">
            <w:pPr>
              <w:spacing w:before="120" w:after="0" w:line="240" w:lineRule="auto"/>
              <w:jc w:val="center"/>
              <w:rPr>
                <w:rFonts w:eastAsia="Times New Roman" w:cstheme="minorHAnsi"/>
                <w:sz w:val="18"/>
                <w:szCs w:val="18"/>
                <w:lang w:eastAsia="hr-HR"/>
              </w:rPr>
            </w:pPr>
            <w:r w:rsidRPr="00CB3323">
              <w:rPr>
                <w:rFonts w:ascii="Calibri" w:hAnsi="Calibri" w:cs="Calibri"/>
                <w:b/>
                <w:bCs/>
                <w:sz w:val="18"/>
                <w:szCs w:val="18"/>
              </w:rPr>
              <w:t>245.506</w:t>
            </w:r>
          </w:p>
        </w:tc>
        <w:tc>
          <w:tcPr>
            <w:tcW w:w="1247" w:type="dxa"/>
            <w:tcBorders>
              <w:top w:val="single" w:sz="4" w:space="0" w:color="auto"/>
            </w:tcBorders>
            <w:shd w:val="clear" w:color="auto" w:fill="auto"/>
            <w:noWrap/>
            <w:vAlign w:val="center"/>
            <w:hideMark/>
          </w:tcPr>
          <w:p w14:paraId="71F56781" w14:textId="7333B8EA" w:rsidR="00CB3323" w:rsidRPr="00CB3323" w:rsidRDefault="00CB3323" w:rsidP="00CB3323">
            <w:pPr>
              <w:spacing w:before="120" w:after="0" w:line="240" w:lineRule="auto"/>
              <w:jc w:val="center"/>
              <w:rPr>
                <w:rFonts w:eastAsia="Times New Roman" w:cstheme="minorHAnsi"/>
                <w:sz w:val="18"/>
                <w:szCs w:val="18"/>
                <w:lang w:eastAsia="hr-HR"/>
              </w:rPr>
            </w:pPr>
            <w:r w:rsidRPr="00CB3323">
              <w:rPr>
                <w:rFonts w:ascii="Calibri" w:hAnsi="Calibri" w:cs="Calibri"/>
                <w:b/>
                <w:bCs/>
                <w:sz w:val="18"/>
                <w:szCs w:val="18"/>
              </w:rPr>
              <w:t>0</w:t>
            </w:r>
          </w:p>
        </w:tc>
        <w:tc>
          <w:tcPr>
            <w:tcW w:w="1247" w:type="dxa"/>
            <w:tcBorders>
              <w:top w:val="single" w:sz="4" w:space="0" w:color="auto"/>
            </w:tcBorders>
            <w:shd w:val="clear" w:color="auto" w:fill="auto"/>
            <w:noWrap/>
            <w:vAlign w:val="center"/>
            <w:hideMark/>
          </w:tcPr>
          <w:p w14:paraId="6E90A1A4" w14:textId="09ACA11F" w:rsidR="00CB3323" w:rsidRPr="00CB3323" w:rsidRDefault="00CB3323" w:rsidP="00CB3323">
            <w:pPr>
              <w:spacing w:before="120" w:after="0" w:line="240" w:lineRule="auto"/>
              <w:jc w:val="center"/>
              <w:rPr>
                <w:rFonts w:eastAsia="Times New Roman" w:cstheme="minorHAnsi"/>
                <w:sz w:val="18"/>
                <w:szCs w:val="18"/>
                <w:lang w:eastAsia="hr-HR"/>
              </w:rPr>
            </w:pPr>
            <w:r w:rsidRPr="00CB3323">
              <w:rPr>
                <w:rFonts w:ascii="Calibri" w:hAnsi="Calibri" w:cs="Calibri"/>
                <w:b/>
                <w:bCs/>
                <w:sz w:val="18"/>
                <w:szCs w:val="18"/>
              </w:rPr>
              <w:t>0</w:t>
            </w:r>
          </w:p>
        </w:tc>
        <w:tc>
          <w:tcPr>
            <w:tcW w:w="737" w:type="dxa"/>
            <w:tcBorders>
              <w:top w:val="single" w:sz="4" w:space="0" w:color="auto"/>
            </w:tcBorders>
            <w:shd w:val="clear" w:color="auto" w:fill="auto"/>
            <w:noWrap/>
            <w:vAlign w:val="center"/>
            <w:hideMark/>
          </w:tcPr>
          <w:p w14:paraId="3D96126E" w14:textId="2F941253" w:rsidR="00CB3323" w:rsidRPr="00CB3323" w:rsidRDefault="00CB3323" w:rsidP="00CB3323">
            <w:pPr>
              <w:spacing w:before="120" w:after="0" w:line="240" w:lineRule="auto"/>
              <w:jc w:val="center"/>
              <w:rPr>
                <w:rFonts w:eastAsia="Times New Roman" w:cstheme="minorHAnsi"/>
                <w:sz w:val="18"/>
                <w:szCs w:val="18"/>
                <w:lang w:eastAsia="hr-HR"/>
              </w:rPr>
            </w:pPr>
            <w:r w:rsidRPr="00CB3323">
              <w:rPr>
                <w:rFonts w:ascii="Calibri" w:hAnsi="Calibri" w:cs="Calibri"/>
                <w:b/>
                <w:bCs/>
                <w:sz w:val="18"/>
                <w:szCs w:val="18"/>
              </w:rPr>
              <w:t>0%</w:t>
            </w:r>
          </w:p>
        </w:tc>
        <w:tc>
          <w:tcPr>
            <w:tcW w:w="737" w:type="dxa"/>
            <w:tcBorders>
              <w:top w:val="single" w:sz="4" w:space="0" w:color="auto"/>
            </w:tcBorders>
            <w:shd w:val="clear" w:color="auto" w:fill="auto"/>
            <w:noWrap/>
            <w:vAlign w:val="center"/>
            <w:hideMark/>
          </w:tcPr>
          <w:p w14:paraId="414DD78F" w14:textId="4A271E19" w:rsidR="00CB3323" w:rsidRPr="00CB3323" w:rsidRDefault="00CB3323" w:rsidP="00CB3323">
            <w:pPr>
              <w:spacing w:before="120" w:after="0" w:line="240" w:lineRule="auto"/>
              <w:jc w:val="center"/>
              <w:rPr>
                <w:rFonts w:eastAsia="Times New Roman" w:cstheme="minorHAnsi"/>
                <w:sz w:val="18"/>
                <w:szCs w:val="18"/>
                <w:lang w:eastAsia="hr-HR"/>
              </w:rPr>
            </w:pPr>
            <w:r w:rsidRPr="00CB3323">
              <w:rPr>
                <w:rFonts w:ascii="Calibri" w:hAnsi="Calibri" w:cs="Calibri"/>
                <w:b/>
                <w:bCs/>
                <w:sz w:val="18"/>
                <w:szCs w:val="18"/>
              </w:rPr>
              <w:t>0%</w:t>
            </w:r>
          </w:p>
        </w:tc>
      </w:tr>
      <w:tr w:rsidR="00CB3323" w:rsidRPr="000A79EF" w14:paraId="595430A3" w14:textId="77777777" w:rsidTr="008F1498">
        <w:trPr>
          <w:trHeight w:val="340"/>
        </w:trPr>
        <w:tc>
          <w:tcPr>
            <w:tcW w:w="624" w:type="dxa"/>
            <w:shd w:val="clear" w:color="auto" w:fill="auto"/>
            <w:noWrap/>
            <w:vAlign w:val="bottom"/>
          </w:tcPr>
          <w:p w14:paraId="0DFFBBBE" w14:textId="35391CB4"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sz w:val="18"/>
                <w:szCs w:val="18"/>
              </w:rPr>
              <w:t>6.1</w:t>
            </w:r>
          </w:p>
        </w:tc>
        <w:tc>
          <w:tcPr>
            <w:tcW w:w="3261" w:type="dxa"/>
            <w:shd w:val="clear" w:color="auto" w:fill="auto"/>
            <w:noWrap/>
            <w:vAlign w:val="bottom"/>
          </w:tcPr>
          <w:p w14:paraId="26D227A4" w14:textId="59DCC982"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sz w:val="18"/>
                <w:szCs w:val="18"/>
              </w:rPr>
              <w:t>Rezerviranja za mirovine</w:t>
            </w:r>
            <w:r>
              <w:rPr>
                <w:rFonts w:ascii="Calibri" w:hAnsi="Calibri" w:cs="Calibri"/>
                <w:sz w:val="18"/>
                <w:szCs w:val="18"/>
              </w:rPr>
              <w:t xml:space="preserve"> i </w:t>
            </w:r>
            <w:r w:rsidRPr="00D16F9C">
              <w:rPr>
                <w:rFonts w:ascii="Calibri" w:hAnsi="Calibri" w:cs="Calibri"/>
                <w:sz w:val="18"/>
                <w:szCs w:val="18"/>
              </w:rPr>
              <w:t xml:space="preserve">otpremnine </w:t>
            </w:r>
          </w:p>
        </w:tc>
        <w:tc>
          <w:tcPr>
            <w:tcW w:w="1247" w:type="dxa"/>
            <w:shd w:val="clear" w:color="auto" w:fill="auto"/>
            <w:noWrap/>
            <w:vAlign w:val="center"/>
          </w:tcPr>
          <w:p w14:paraId="67477A38" w14:textId="63700C39"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16.393</w:t>
            </w:r>
          </w:p>
        </w:tc>
        <w:tc>
          <w:tcPr>
            <w:tcW w:w="1247" w:type="dxa"/>
            <w:shd w:val="clear" w:color="auto" w:fill="auto"/>
            <w:noWrap/>
            <w:vAlign w:val="center"/>
          </w:tcPr>
          <w:p w14:paraId="3C28A6A9" w14:textId="60A8549B"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0</w:t>
            </w:r>
          </w:p>
        </w:tc>
        <w:tc>
          <w:tcPr>
            <w:tcW w:w="1247" w:type="dxa"/>
            <w:shd w:val="clear" w:color="auto" w:fill="auto"/>
            <w:noWrap/>
            <w:vAlign w:val="center"/>
          </w:tcPr>
          <w:p w14:paraId="7E8E85F2" w14:textId="28FD53D9"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0</w:t>
            </w:r>
          </w:p>
        </w:tc>
        <w:tc>
          <w:tcPr>
            <w:tcW w:w="737" w:type="dxa"/>
            <w:shd w:val="clear" w:color="auto" w:fill="auto"/>
            <w:noWrap/>
            <w:vAlign w:val="center"/>
          </w:tcPr>
          <w:p w14:paraId="3CB58BFA" w14:textId="56C0604E" w:rsidR="00CB3323" w:rsidRPr="00CB3323" w:rsidRDefault="00CB3323" w:rsidP="00CB3323">
            <w:pPr>
              <w:spacing w:before="120" w:after="0" w:line="240" w:lineRule="auto"/>
              <w:jc w:val="center"/>
              <w:rPr>
                <w:rFonts w:ascii="Calibri" w:hAnsi="Calibri" w:cs="Calibri"/>
                <w:color w:val="000000"/>
                <w:sz w:val="18"/>
                <w:szCs w:val="18"/>
              </w:rPr>
            </w:pPr>
            <w:r w:rsidRPr="00CB3323">
              <w:rPr>
                <w:rFonts w:ascii="Calibri" w:hAnsi="Calibri" w:cs="Calibri"/>
                <w:b/>
                <w:bCs/>
                <w:sz w:val="18"/>
                <w:szCs w:val="18"/>
              </w:rPr>
              <w:t>0%</w:t>
            </w:r>
          </w:p>
        </w:tc>
        <w:tc>
          <w:tcPr>
            <w:tcW w:w="737" w:type="dxa"/>
            <w:shd w:val="clear" w:color="auto" w:fill="auto"/>
            <w:noWrap/>
            <w:vAlign w:val="center"/>
          </w:tcPr>
          <w:p w14:paraId="1BC7C16D" w14:textId="5CA423AA" w:rsidR="00CB3323" w:rsidRPr="00CB3323" w:rsidRDefault="00CB3323" w:rsidP="00CB3323">
            <w:pPr>
              <w:spacing w:before="120" w:after="0" w:line="240" w:lineRule="auto"/>
              <w:jc w:val="center"/>
              <w:rPr>
                <w:rFonts w:ascii="Calibri" w:hAnsi="Calibri" w:cs="Calibri"/>
                <w:color w:val="000000"/>
                <w:sz w:val="18"/>
                <w:szCs w:val="18"/>
              </w:rPr>
            </w:pPr>
            <w:r w:rsidRPr="00CB3323">
              <w:rPr>
                <w:rFonts w:ascii="Calibri" w:hAnsi="Calibri" w:cs="Calibri"/>
                <w:b/>
                <w:bCs/>
                <w:sz w:val="18"/>
                <w:szCs w:val="18"/>
              </w:rPr>
              <w:t>0%</w:t>
            </w:r>
          </w:p>
        </w:tc>
      </w:tr>
      <w:tr w:rsidR="00CB3323" w:rsidRPr="000A79EF" w14:paraId="262A724B" w14:textId="77777777" w:rsidTr="008F1498">
        <w:trPr>
          <w:trHeight w:val="340"/>
        </w:trPr>
        <w:tc>
          <w:tcPr>
            <w:tcW w:w="624" w:type="dxa"/>
            <w:shd w:val="clear" w:color="auto" w:fill="auto"/>
            <w:noWrap/>
            <w:vAlign w:val="bottom"/>
          </w:tcPr>
          <w:p w14:paraId="046BD0A5" w14:textId="3436866B"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sz w:val="18"/>
                <w:szCs w:val="18"/>
              </w:rPr>
              <w:t>6.2</w:t>
            </w:r>
          </w:p>
        </w:tc>
        <w:tc>
          <w:tcPr>
            <w:tcW w:w="3261" w:type="dxa"/>
            <w:shd w:val="clear" w:color="auto" w:fill="auto"/>
            <w:noWrap/>
            <w:vAlign w:val="bottom"/>
          </w:tcPr>
          <w:p w14:paraId="372FFACC" w14:textId="2ACF7D28"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sz w:val="18"/>
                <w:szCs w:val="18"/>
              </w:rPr>
              <w:t>Rezerviranja za započete sudske sporove</w:t>
            </w:r>
          </w:p>
        </w:tc>
        <w:tc>
          <w:tcPr>
            <w:tcW w:w="1247" w:type="dxa"/>
            <w:shd w:val="clear" w:color="auto" w:fill="auto"/>
            <w:noWrap/>
            <w:vAlign w:val="center"/>
          </w:tcPr>
          <w:p w14:paraId="46B52812" w14:textId="30773CFD"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224.613</w:t>
            </w:r>
          </w:p>
        </w:tc>
        <w:tc>
          <w:tcPr>
            <w:tcW w:w="1247" w:type="dxa"/>
            <w:shd w:val="clear" w:color="auto" w:fill="auto"/>
            <w:noWrap/>
            <w:vAlign w:val="center"/>
          </w:tcPr>
          <w:p w14:paraId="2ECF0AB7" w14:textId="5B434F47"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0</w:t>
            </w:r>
          </w:p>
        </w:tc>
        <w:tc>
          <w:tcPr>
            <w:tcW w:w="1247" w:type="dxa"/>
            <w:shd w:val="clear" w:color="auto" w:fill="auto"/>
            <w:noWrap/>
            <w:vAlign w:val="center"/>
          </w:tcPr>
          <w:p w14:paraId="57DACF98" w14:textId="3CDFC090"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0</w:t>
            </w:r>
          </w:p>
        </w:tc>
        <w:tc>
          <w:tcPr>
            <w:tcW w:w="737" w:type="dxa"/>
            <w:shd w:val="clear" w:color="auto" w:fill="auto"/>
            <w:noWrap/>
            <w:vAlign w:val="center"/>
          </w:tcPr>
          <w:p w14:paraId="005ACE25" w14:textId="4E288D6B" w:rsidR="00CB3323" w:rsidRPr="00CB3323" w:rsidRDefault="00CB3323" w:rsidP="00CB3323">
            <w:pPr>
              <w:spacing w:before="120" w:after="0" w:line="240" w:lineRule="auto"/>
              <w:jc w:val="center"/>
              <w:rPr>
                <w:rFonts w:ascii="Calibri" w:hAnsi="Calibri" w:cs="Calibri"/>
                <w:color w:val="000000"/>
                <w:sz w:val="18"/>
                <w:szCs w:val="18"/>
              </w:rPr>
            </w:pPr>
            <w:r w:rsidRPr="00CB3323">
              <w:rPr>
                <w:rFonts w:ascii="Calibri" w:hAnsi="Calibri" w:cs="Calibri"/>
                <w:b/>
                <w:bCs/>
                <w:sz w:val="18"/>
                <w:szCs w:val="18"/>
              </w:rPr>
              <w:t>0%</w:t>
            </w:r>
          </w:p>
        </w:tc>
        <w:tc>
          <w:tcPr>
            <w:tcW w:w="737" w:type="dxa"/>
            <w:shd w:val="clear" w:color="auto" w:fill="auto"/>
            <w:noWrap/>
            <w:vAlign w:val="center"/>
          </w:tcPr>
          <w:p w14:paraId="36A2FF57" w14:textId="40AE94F1" w:rsidR="00CB3323" w:rsidRPr="00CB3323" w:rsidRDefault="00CB3323" w:rsidP="00CB3323">
            <w:pPr>
              <w:spacing w:before="120" w:after="0" w:line="240" w:lineRule="auto"/>
              <w:jc w:val="center"/>
              <w:rPr>
                <w:rFonts w:ascii="Calibri" w:hAnsi="Calibri" w:cs="Calibri"/>
                <w:color w:val="000000"/>
                <w:sz w:val="18"/>
                <w:szCs w:val="18"/>
              </w:rPr>
            </w:pPr>
            <w:r w:rsidRPr="00CB3323">
              <w:rPr>
                <w:rFonts w:ascii="Calibri" w:hAnsi="Calibri" w:cs="Calibri"/>
                <w:b/>
                <w:bCs/>
                <w:sz w:val="18"/>
                <w:szCs w:val="18"/>
              </w:rPr>
              <w:t>0%</w:t>
            </w:r>
          </w:p>
        </w:tc>
      </w:tr>
      <w:tr w:rsidR="00CB3323" w:rsidRPr="000A79EF" w14:paraId="3C00C771" w14:textId="77777777" w:rsidTr="008F1498">
        <w:trPr>
          <w:trHeight w:val="340"/>
        </w:trPr>
        <w:tc>
          <w:tcPr>
            <w:tcW w:w="624" w:type="dxa"/>
            <w:shd w:val="clear" w:color="auto" w:fill="auto"/>
            <w:noWrap/>
            <w:vAlign w:val="bottom"/>
          </w:tcPr>
          <w:p w14:paraId="1FBBDEBA" w14:textId="3A1221B5"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sz w:val="18"/>
                <w:szCs w:val="18"/>
              </w:rPr>
              <w:t>6.3</w:t>
            </w:r>
          </w:p>
        </w:tc>
        <w:tc>
          <w:tcPr>
            <w:tcW w:w="3261" w:type="dxa"/>
            <w:shd w:val="clear" w:color="auto" w:fill="auto"/>
            <w:noWrap/>
            <w:vAlign w:val="bottom"/>
          </w:tcPr>
          <w:p w14:paraId="055C4EDB" w14:textId="64A3E967" w:rsidR="00CB3323" w:rsidRPr="00D16F9C" w:rsidRDefault="00CB3323" w:rsidP="00CB3323">
            <w:pPr>
              <w:spacing w:before="120" w:after="0" w:line="240" w:lineRule="auto"/>
              <w:rPr>
                <w:rFonts w:eastAsia="Times New Roman" w:cstheme="minorHAnsi"/>
                <w:sz w:val="18"/>
                <w:szCs w:val="18"/>
                <w:lang w:eastAsia="hr-HR"/>
              </w:rPr>
            </w:pPr>
            <w:r w:rsidRPr="00D16F9C">
              <w:rPr>
                <w:rFonts w:ascii="Calibri" w:hAnsi="Calibri" w:cs="Calibri"/>
                <w:sz w:val="18"/>
                <w:szCs w:val="18"/>
              </w:rPr>
              <w:t>Druga rezerviranja (neiskorišteni GO)</w:t>
            </w:r>
          </w:p>
        </w:tc>
        <w:tc>
          <w:tcPr>
            <w:tcW w:w="1247" w:type="dxa"/>
            <w:shd w:val="clear" w:color="auto" w:fill="auto"/>
            <w:noWrap/>
            <w:vAlign w:val="center"/>
          </w:tcPr>
          <w:p w14:paraId="4149CD66" w14:textId="59D73223"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4.500</w:t>
            </w:r>
          </w:p>
        </w:tc>
        <w:tc>
          <w:tcPr>
            <w:tcW w:w="1247" w:type="dxa"/>
            <w:shd w:val="clear" w:color="auto" w:fill="auto"/>
            <w:noWrap/>
            <w:vAlign w:val="center"/>
          </w:tcPr>
          <w:p w14:paraId="4759917B" w14:textId="57F15596"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0</w:t>
            </w:r>
          </w:p>
        </w:tc>
        <w:tc>
          <w:tcPr>
            <w:tcW w:w="1247" w:type="dxa"/>
            <w:shd w:val="clear" w:color="auto" w:fill="auto"/>
            <w:noWrap/>
            <w:vAlign w:val="center"/>
          </w:tcPr>
          <w:p w14:paraId="522EE3D7" w14:textId="5830D4B9" w:rsidR="00CB3323" w:rsidRPr="00CB3323" w:rsidRDefault="00CB3323" w:rsidP="00CB3323">
            <w:pPr>
              <w:spacing w:before="120" w:after="0" w:line="240" w:lineRule="auto"/>
              <w:jc w:val="center"/>
              <w:rPr>
                <w:rFonts w:ascii="Calibri" w:hAnsi="Calibri" w:cs="Calibri"/>
                <w:sz w:val="18"/>
                <w:szCs w:val="18"/>
              </w:rPr>
            </w:pPr>
            <w:r w:rsidRPr="00CB3323">
              <w:rPr>
                <w:rFonts w:ascii="Calibri" w:hAnsi="Calibri" w:cs="Calibri"/>
                <w:sz w:val="18"/>
                <w:szCs w:val="18"/>
              </w:rPr>
              <w:t>0</w:t>
            </w:r>
          </w:p>
        </w:tc>
        <w:tc>
          <w:tcPr>
            <w:tcW w:w="737" w:type="dxa"/>
            <w:shd w:val="clear" w:color="auto" w:fill="auto"/>
            <w:noWrap/>
            <w:vAlign w:val="center"/>
          </w:tcPr>
          <w:p w14:paraId="6BE785DF" w14:textId="771C2626" w:rsidR="00CB3323" w:rsidRPr="00CB3323" w:rsidRDefault="00CB3323" w:rsidP="00CB3323">
            <w:pPr>
              <w:spacing w:before="120" w:after="0" w:line="240" w:lineRule="auto"/>
              <w:jc w:val="center"/>
              <w:rPr>
                <w:rFonts w:ascii="Calibri" w:hAnsi="Calibri" w:cs="Calibri"/>
                <w:color w:val="000000"/>
                <w:sz w:val="18"/>
                <w:szCs w:val="18"/>
              </w:rPr>
            </w:pPr>
            <w:r w:rsidRPr="00CB3323">
              <w:rPr>
                <w:rFonts w:ascii="Calibri" w:hAnsi="Calibri" w:cs="Calibri"/>
                <w:b/>
                <w:bCs/>
                <w:sz w:val="18"/>
                <w:szCs w:val="18"/>
              </w:rPr>
              <w:t>0%</w:t>
            </w:r>
          </w:p>
        </w:tc>
        <w:tc>
          <w:tcPr>
            <w:tcW w:w="737" w:type="dxa"/>
            <w:shd w:val="clear" w:color="auto" w:fill="auto"/>
            <w:noWrap/>
            <w:vAlign w:val="center"/>
          </w:tcPr>
          <w:p w14:paraId="2C07A2E4" w14:textId="5A6C4C83" w:rsidR="00CB3323" w:rsidRPr="00CB3323" w:rsidRDefault="00CB3323" w:rsidP="00CB3323">
            <w:pPr>
              <w:spacing w:before="120" w:after="0" w:line="240" w:lineRule="auto"/>
              <w:jc w:val="center"/>
              <w:rPr>
                <w:rFonts w:ascii="Calibri" w:hAnsi="Calibri" w:cs="Calibri"/>
                <w:color w:val="000000"/>
                <w:sz w:val="18"/>
                <w:szCs w:val="18"/>
              </w:rPr>
            </w:pPr>
            <w:r w:rsidRPr="00CB3323">
              <w:rPr>
                <w:rFonts w:ascii="Calibri" w:hAnsi="Calibri" w:cs="Calibri"/>
                <w:b/>
                <w:bCs/>
                <w:sz w:val="18"/>
                <w:szCs w:val="18"/>
              </w:rPr>
              <w:t>0%</w:t>
            </w:r>
          </w:p>
        </w:tc>
      </w:tr>
    </w:tbl>
    <w:p w14:paraId="009F0F7B" w14:textId="77777777" w:rsidR="008A2537" w:rsidRPr="00F40DE5" w:rsidRDefault="008A2537" w:rsidP="00DE4E12">
      <w:pPr>
        <w:spacing w:line="360" w:lineRule="auto"/>
        <w:jc w:val="both"/>
      </w:pPr>
    </w:p>
    <w:p w14:paraId="51E2AEC7" w14:textId="77777777" w:rsidR="0031709E" w:rsidRDefault="0031709E" w:rsidP="0059297F">
      <w:pPr>
        <w:spacing w:line="360" w:lineRule="auto"/>
        <w:jc w:val="both"/>
        <w:rPr>
          <w:b/>
          <w:bCs/>
          <w:u w:val="single"/>
        </w:rPr>
      </w:pPr>
    </w:p>
    <w:p w14:paraId="4593CF25" w14:textId="424F25C8" w:rsidR="0031709E" w:rsidRPr="0031709E" w:rsidRDefault="0031709E" w:rsidP="0031709E">
      <w:pPr>
        <w:pStyle w:val="Heading3"/>
        <w:spacing w:before="240" w:after="240"/>
      </w:pPr>
      <w:bookmarkStart w:id="83" w:name="_Toc200094293"/>
      <w:r w:rsidRPr="00E9501A">
        <w:lastRenderedPageBreak/>
        <w:t>3.2.</w:t>
      </w:r>
      <w:r>
        <w:t>8</w:t>
      </w:r>
      <w:r w:rsidRPr="00E9501A">
        <w:t>.</w:t>
      </w:r>
      <w:r>
        <w:t xml:space="preserve"> Ostali poslovni rashodi</w:t>
      </w:r>
      <w:bookmarkEnd w:id="83"/>
    </w:p>
    <w:p w14:paraId="31A9DC96" w14:textId="377C00F0" w:rsidR="00F71358" w:rsidRPr="005968D0" w:rsidRDefault="00F71358" w:rsidP="0059297F">
      <w:pPr>
        <w:spacing w:line="360" w:lineRule="auto"/>
        <w:jc w:val="both"/>
      </w:pPr>
      <w:r w:rsidRPr="0031709E">
        <w:rPr>
          <w:b/>
          <w:bCs/>
        </w:rPr>
        <w:t>Ostali poslovni rashodi</w:t>
      </w:r>
      <w:r w:rsidR="00FD1742">
        <w:rPr>
          <w:b/>
          <w:bCs/>
        </w:rPr>
        <w:t xml:space="preserve"> </w:t>
      </w:r>
      <w:r w:rsidR="00FD1742" w:rsidRPr="00FD1742">
        <w:t xml:space="preserve">u </w:t>
      </w:r>
      <w:r w:rsidR="00FD1742">
        <w:t xml:space="preserve">2024. godini iznose 13.799 eura što je za 11% manje u odnosu na 2023. godinu i 38% više u odnosu na rebalans plana. Uključuju otpise imovine (nakon inventure), novčane kazne (prekršajni nalozi) te donacije (nogometni semafor za NK Halubjan). </w:t>
      </w:r>
    </w:p>
    <w:p w14:paraId="2EE807BB" w14:textId="5B8AD5BF" w:rsidR="005968D0" w:rsidRPr="008A2537" w:rsidRDefault="005968D0" w:rsidP="005968D0">
      <w:pPr>
        <w:pStyle w:val="Caption"/>
        <w:spacing w:before="240" w:after="240"/>
        <w:rPr>
          <w:rFonts w:asciiTheme="minorHAnsi" w:hAnsiTheme="minorHAnsi" w:cstheme="minorHAnsi"/>
          <w:b w:val="0"/>
          <w:bCs w:val="0"/>
          <w:sz w:val="22"/>
          <w:szCs w:val="22"/>
        </w:rPr>
      </w:pPr>
      <w:bookmarkStart w:id="84" w:name="_Toc200366476"/>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38</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00A044F9" w:rsidRPr="00A044F9">
        <w:rPr>
          <w:rFonts w:asciiTheme="minorHAnsi" w:hAnsiTheme="minorHAnsi" w:cstheme="minorHAnsi"/>
          <w:b w:val="0"/>
          <w:bCs w:val="0"/>
          <w:sz w:val="22"/>
          <w:szCs w:val="22"/>
        </w:rPr>
        <w:t>Ostali poslovni rashodi</w:t>
      </w:r>
      <w:bookmarkEnd w:id="84"/>
    </w:p>
    <w:tbl>
      <w:tblPr>
        <w:tblW w:w="91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
        <w:gridCol w:w="3231"/>
        <w:gridCol w:w="1247"/>
        <w:gridCol w:w="1247"/>
        <w:gridCol w:w="1247"/>
        <w:gridCol w:w="784"/>
        <w:gridCol w:w="784"/>
      </w:tblGrid>
      <w:tr w:rsidR="000612F4" w:rsidRPr="000A79EF" w14:paraId="0CB826C7" w14:textId="77777777" w:rsidTr="000612F4">
        <w:trPr>
          <w:trHeight w:val="624"/>
        </w:trPr>
        <w:tc>
          <w:tcPr>
            <w:tcW w:w="624" w:type="dxa"/>
            <w:tcBorders>
              <w:top w:val="single" w:sz="4" w:space="0" w:color="auto"/>
              <w:bottom w:val="single" w:sz="4" w:space="0" w:color="auto"/>
            </w:tcBorders>
            <w:shd w:val="clear" w:color="auto" w:fill="auto"/>
            <w:noWrap/>
            <w:vAlign w:val="center"/>
            <w:hideMark/>
          </w:tcPr>
          <w:p w14:paraId="167D6EBF" w14:textId="3D9A5C55" w:rsidR="000612F4" w:rsidRPr="000A79EF" w:rsidRDefault="000612F4" w:rsidP="000612F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231" w:type="dxa"/>
            <w:tcBorders>
              <w:top w:val="single" w:sz="4" w:space="0" w:color="auto"/>
              <w:bottom w:val="single" w:sz="4" w:space="0" w:color="auto"/>
            </w:tcBorders>
            <w:shd w:val="clear" w:color="auto" w:fill="auto"/>
            <w:noWrap/>
            <w:vAlign w:val="center"/>
            <w:hideMark/>
          </w:tcPr>
          <w:p w14:paraId="650E58BF" w14:textId="37D8FE63" w:rsidR="000612F4" w:rsidRPr="000A79EF" w:rsidRDefault="000612F4" w:rsidP="000612F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726F7C8A" w14:textId="480BD220" w:rsidR="000612F4" w:rsidRPr="000A79EF" w:rsidRDefault="000612F4" w:rsidP="000612F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3A099C37" w14:textId="06F8C9AF" w:rsidR="000612F4" w:rsidRPr="000A79EF" w:rsidRDefault="000612F4" w:rsidP="000612F4">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1DBABAFB" w14:textId="5CA5A82F" w:rsidR="000612F4" w:rsidRPr="000A79EF" w:rsidRDefault="000612F4" w:rsidP="000612F4">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84" w:type="dxa"/>
            <w:tcBorders>
              <w:top w:val="single" w:sz="4" w:space="0" w:color="auto"/>
              <w:bottom w:val="single" w:sz="4" w:space="0" w:color="auto"/>
            </w:tcBorders>
            <w:shd w:val="clear" w:color="auto" w:fill="auto"/>
            <w:noWrap/>
            <w:vAlign w:val="center"/>
            <w:hideMark/>
          </w:tcPr>
          <w:p w14:paraId="1FA3F039" w14:textId="16146F17" w:rsidR="000612F4" w:rsidRPr="000A79EF" w:rsidRDefault="000612F4" w:rsidP="000612F4">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84" w:type="dxa"/>
            <w:tcBorders>
              <w:top w:val="single" w:sz="4" w:space="0" w:color="auto"/>
              <w:bottom w:val="single" w:sz="4" w:space="0" w:color="auto"/>
            </w:tcBorders>
            <w:shd w:val="clear" w:color="auto" w:fill="auto"/>
            <w:noWrap/>
            <w:vAlign w:val="center"/>
            <w:hideMark/>
          </w:tcPr>
          <w:p w14:paraId="6F4387A8" w14:textId="1623EB69" w:rsidR="000612F4" w:rsidRPr="000A79EF" w:rsidRDefault="000612F4" w:rsidP="000612F4">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5968D0" w:rsidRPr="000A79EF" w14:paraId="17C6F51D" w14:textId="77777777" w:rsidTr="000612F4">
        <w:trPr>
          <w:trHeight w:val="227"/>
        </w:trPr>
        <w:tc>
          <w:tcPr>
            <w:tcW w:w="624" w:type="dxa"/>
            <w:tcBorders>
              <w:top w:val="single" w:sz="4" w:space="0" w:color="auto"/>
              <w:bottom w:val="single" w:sz="4" w:space="0" w:color="auto"/>
            </w:tcBorders>
            <w:shd w:val="clear" w:color="auto" w:fill="auto"/>
            <w:noWrap/>
            <w:vAlign w:val="center"/>
          </w:tcPr>
          <w:p w14:paraId="0FB465C1"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eastAsia="Times New Roman" w:cstheme="minorHAnsi"/>
                <w:b/>
                <w:bCs/>
                <w:i/>
                <w:iCs/>
                <w:color w:val="BFBFBF" w:themeColor="background1" w:themeShade="BF"/>
                <w:sz w:val="14"/>
                <w:szCs w:val="14"/>
                <w:lang w:eastAsia="hr-HR"/>
              </w:rPr>
              <w:t>1</w:t>
            </w:r>
          </w:p>
        </w:tc>
        <w:tc>
          <w:tcPr>
            <w:tcW w:w="3231" w:type="dxa"/>
            <w:tcBorders>
              <w:top w:val="single" w:sz="4" w:space="0" w:color="auto"/>
              <w:bottom w:val="single" w:sz="4" w:space="0" w:color="auto"/>
            </w:tcBorders>
            <w:shd w:val="clear" w:color="auto" w:fill="auto"/>
            <w:noWrap/>
            <w:vAlign w:val="center"/>
          </w:tcPr>
          <w:p w14:paraId="16B05F34"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eastAsia="Times New Roman" w:cstheme="minorHAnsi"/>
                <w:b/>
                <w:bCs/>
                <w:i/>
                <w:iCs/>
                <w:color w:val="BFBFBF" w:themeColor="background1" w:themeShade="BF"/>
                <w:sz w:val="14"/>
                <w:szCs w:val="14"/>
                <w:lang w:eastAsia="hr-HR"/>
              </w:rPr>
              <w:t>2</w:t>
            </w:r>
          </w:p>
        </w:tc>
        <w:tc>
          <w:tcPr>
            <w:tcW w:w="1247" w:type="dxa"/>
            <w:tcBorders>
              <w:top w:val="single" w:sz="4" w:space="0" w:color="auto"/>
              <w:bottom w:val="single" w:sz="4" w:space="0" w:color="auto"/>
            </w:tcBorders>
            <w:shd w:val="clear" w:color="auto" w:fill="auto"/>
            <w:noWrap/>
            <w:vAlign w:val="center"/>
          </w:tcPr>
          <w:p w14:paraId="07410950"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ascii="Calibri" w:eastAsia="Times New Roman" w:hAnsi="Calibri" w:cs="Calibri"/>
                <w:b/>
                <w:bCs/>
                <w:i/>
                <w:iCs/>
                <w:color w:val="BFBFBF" w:themeColor="background1" w:themeShade="BF"/>
                <w:sz w:val="14"/>
                <w:szCs w:val="14"/>
                <w:lang w:eastAsia="hr-HR"/>
              </w:rPr>
              <w:t>3</w:t>
            </w:r>
          </w:p>
        </w:tc>
        <w:tc>
          <w:tcPr>
            <w:tcW w:w="1247" w:type="dxa"/>
            <w:tcBorders>
              <w:top w:val="single" w:sz="4" w:space="0" w:color="auto"/>
              <w:bottom w:val="single" w:sz="4" w:space="0" w:color="auto"/>
            </w:tcBorders>
            <w:shd w:val="clear" w:color="auto" w:fill="auto"/>
            <w:noWrap/>
            <w:vAlign w:val="center"/>
          </w:tcPr>
          <w:p w14:paraId="650EF71C"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eastAsia="Times New Roman" w:cstheme="minorHAnsi"/>
                <w:b/>
                <w:bCs/>
                <w:i/>
                <w:iCs/>
                <w:color w:val="BFBFBF" w:themeColor="background1" w:themeShade="BF"/>
                <w:sz w:val="14"/>
                <w:szCs w:val="14"/>
                <w:lang w:eastAsia="hr-HR"/>
              </w:rPr>
              <w:t>4</w:t>
            </w:r>
          </w:p>
        </w:tc>
        <w:tc>
          <w:tcPr>
            <w:tcW w:w="1247" w:type="dxa"/>
            <w:tcBorders>
              <w:top w:val="single" w:sz="4" w:space="0" w:color="auto"/>
              <w:bottom w:val="single" w:sz="4" w:space="0" w:color="auto"/>
            </w:tcBorders>
            <w:shd w:val="clear" w:color="auto" w:fill="auto"/>
            <w:noWrap/>
            <w:vAlign w:val="center"/>
          </w:tcPr>
          <w:p w14:paraId="0A2ADE18"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ascii="Calibri" w:eastAsia="Times New Roman" w:hAnsi="Calibri" w:cs="Calibri"/>
                <w:b/>
                <w:bCs/>
                <w:i/>
                <w:iCs/>
                <w:color w:val="BFBFBF" w:themeColor="background1" w:themeShade="BF"/>
                <w:sz w:val="14"/>
                <w:szCs w:val="14"/>
                <w:lang w:eastAsia="hr-HR"/>
              </w:rPr>
              <w:t>5</w:t>
            </w:r>
          </w:p>
        </w:tc>
        <w:tc>
          <w:tcPr>
            <w:tcW w:w="784" w:type="dxa"/>
            <w:tcBorders>
              <w:top w:val="single" w:sz="4" w:space="0" w:color="auto"/>
              <w:bottom w:val="single" w:sz="4" w:space="0" w:color="auto"/>
            </w:tcBorders>
            <w:shd w:val="clear" w:color="auto" w:fill="auto"/>
            <w:noWrap/>
            <w:vAlign w:val="center"/>
          </w:tcPr>
          <w:p w14:paraId="2996E7EE"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ascii="Calibri" w:eastAsia="Times New Roman" w:hAnsi="Calibri" w:cs="Calibri"/>
                <w:b/>
                <w:bCs/>
                <w:i/>
                <w:iCs/>
                <w:color w:val="BFBFBF" w:themeColor="background1" w:themeShade="BF"/>
                <w:sz w:val="14"/>
                <w:szCs w:val="14"/>
                <w:lang w:eastAsia="hr-HR"/>
              </w:rPr>
              <w:t>6</w:t>
            </w:r>
          </w:p>
        </w:tc>
        <w:tc>
          <w:tcPr>
            <w:tcW w:w="784" w:type="dxa"/>
            <w:tcBorders>
              <w:top w:val="single" w:sz="4" w:space="0" w:color="auto"/>
              <w:bottom w:val="single" w:sz="4" w:space="0" w:color="auto"/>
            </w:tcBorders>
            <w:shd w:val="clear" w:color="auto" w:fill="auto"/>
            <w:noWrap/>
            <w:vAlign w:val="center"/>
          </w:tcPr>
          <w:p w14:paraId="1D4C6B8E" w14:textId="77777777" w:rsidR="005968D0" w:rsidRPr="00670C11" w:rsidRDefault="005968D0" w:rsidP="00692AFD">
            <w:pPr>
              <w:spacing w:after="0" w:line="240" w:lineRule="auto"/>
              <w:jc w:val="center"/>
              <w:rPr>
                <w:rFonts w:eastAsia="Times New Roman" w:cstheme="minorHAnsi"/>
                <w:b/>
                <w:bCs/>
                <w:color w:val="BFBFBF" w:themeColor="background1" w:themeShade="BF"/>
                <w:sz w:val="14"/>
                <w:szCs w:val="14"/>
                <w:lang w:eastAsia="hr-HR"/>
              </w:rPr>
            </w:pPr>
            <w:r w:rsidRPr="00670C11">
              <w:rPr>
                <w:rFonts w:ascii="Calibri" w:eastAsia="Times New Roman" w:hAnsi="Calibri" w:cs="Calibri"/>
                <w:b/>
                <w:bCs/>
                <w:i/>
                <w:iCs/>
                <w:color w:val="BFBFBF" w:themeColor="background1" w:themeShade="BF"/>
                <w:sz w:val="14"/>
                <w:szCs w:val="14"/>
                <w:lang w:eastAsia="hr-HR"/>
              </w:rPr>
              <w:t>7</w:t>
            </w:r>
          </w:p>
        </w:tc>
      </w:tr>
      <w:tr w:rsidR="000612F4" w:rsidRPr="000A79EF" w14:paraId="44A77581" w14:textId="77777777" w:rsidTr="000C604C">
        <w:trPr>
          <w:trHeight w:val="340"/>
        </w:trPr>
        <w:tc>
          <w:tcPr>
            <w:tcW w:w="624" w:type="dxa"/>
            <w:tcBorders>
              <w:top w:val="single" w:sz="4" w:space="0" w:color="auto"/>
            </w:tcBorders>
            <w:shd w:val="clear" w:color="auto" w:fill="auto"/>
            <w:noWrap/>
            <w:vAlign w:val="bottom"/>
            <w:hideMark/>
          </w:tcPr>
          <w:p w14:paraId="46B61ACC" w14:textId="4115C36E" w:rsidR="000612F4" w:rsidRPr="009B3A8A" w:rsidRDefault="000612F4" w:rsidP="000C604C">
            <w:pPr>
              <w:spacing w:before="120" w:after="0" w:line="240" w:lineRule="auto"/>
              <w:rPr>
                <w:rFonts w:eastAsia="Times New Roman" w:cstheme="minorHAnsi"/>
                <w:sz w:val="18"/>
                <w:szCs w:val="18"/>
                <w:lang w:eastAsia="hr-HR"/>
              </w:rPr>
            </w:pPr>
            <w:r w:rsidRPr="009B3A8A">
              <w:rPr>
                <w:rFonts w:ascii="Calibri" w:hAnsi="Calibri" w:cs="Calibri"/>
                <w:b/>
                <w:bCs/>
                <w:sz w:val="18"/>
                <w:szCs w:val="18"/>
              </w:rPr>
              <w:t>7.</w:t>
            </w:r>
          </w:p>
        </w:tc>
        <w:tc>
          <w:tcPr>
            <w:tcW w:w="3231" w:type="dxa"/>
            <w:tcBorders>
              <w:top w:val="single" w:sz="4" w:space="0" w:color="auto"/>
            </w:tcBorders>
            <w:shd w:val="clear" w:color="auto" w:fill="auto"/>
            <w:noWrap/>
            <w:vAlign w:val="bottom"/>
            <w:hideMark/>
          </w:tcPr>
          <w:p w14:paraId="532EE5F7" w14:textId="77BDC34C" w:rsidR="000612F4" w:rsidRPr="009B3A8A" w:rsidRDefault="000612F4" w:rsidP="000C604C">
            <w:pPr>
              <w:spacing w:before="120" w:after="0" w:line="240" w:lineRule="auto"/>
              <w:rPr>
                <w:rFonts w:eastAsia="Times New Roman" w:cstheme="minorHAnsi"/>
                <w:sz w:val="18"/>
                <w:szCs w:val="18"/>
                <w:lang w:eastAsia="hr-HR"/>
              </w:rPr>
            </w:pPr>
            <w:r w:rsidRPr="009B3A8A">
              <w:rPr>
                <w:rFonts w:ascii="Calibri" w:hAnsi="Calibri" w:cs="Calibri"/>
                <w:b/>
                <w:bCs/>
                <w:sz w:val="18"/>
                <w:szCs w:val="18"/>
              </w:rPr>
              <w:t>Ostali poslovni rashodi</w:t>
            </w:r>
          </w:p>
        </w:tc>
        <w:tc>
          <w:tcPr>
            <w:tcW w:w="1247" w:type="dxa"/>
            <w:tcBorders>
              <w:top w:val="single" w:sz="4" w:space="0" w:color="auto"/>
            </w:tcBorders>
            <w:shd w:val="clear" w:color="auto" w:fill="auto"/>
            <w:noWrap/>
            <w:vAlign w:val="bottom"/>
            <w:hideMark/>
          </w:tcPr>
          <w:p w14:paraId="4939171C" w14:textId="34858E52" w:rsidR="000612F4" w:rsidRPr="000612F4" w:rsidRDefault="000612F4" w:rsidP="000612F4">
            <w:pPr>
              <w:spacing w:before="120" w:after="0" w:line="240" w:lineRule="auto"/>
              <w:jc w:val="center"/>
              <w:rPr>
                <w:rFonts w:eastAsia="Times New Roman" w:cstheme="minorHAnsi"/>
                <w:b/>
                <w:bCs/>
                <w:sz w:val="18"/>
                <w:szCs w:val="18"/>
                <w:lang w:eastAsia="hr-HR"/>
              </w:rPr>
            </w:pPr>
            <w:r w:rsidRPr="000612F4">
              <w:rPr>
                <w:b/>
                <w:bCs/>
                <w:sz w:val="18"/>
                <w:szCs w:val="18"/>
              </w:rPr>
              <w:t>15.441</w:t>
            </w:r>
          </w:p>
        </w:tc>
        <w:tc>
          <w:tcPr>
            <w:tcW w:w="1247" w:type="dxa"/>
            <w:tcBorders>
              <w:top w:val="single" w:sz="4" w:space="0" w:color="auto"/>
            </w:tcBorders>
            <w:shd w:val="clear" w:color="auto" w:fill="auto"/>
            <w:noWrap/>
            <w:vAlign w:val="bottom"/>
            <w:hideMark/>
          </w:tcPr>
          <w:p w14:paraId="2E3879F8" w14:textId="7387D10F" w:rsidR="000612F4" w:rsidRPr="000612F4" w:rsidRDefault="000612F4" w:rsidP="000612F4">
            <w:pPr>
              <w:spacing w:before="120" w:after="0" w:line="240" w:lineRule="auto"/>
              <w:jc w:val="center"/>
              <w:rPr>
                <w:rFonts w:eastAsia="Times New Roman" w:cstheme="minorHAnsi"/>
                <w:b/>
                <w:bCs/>
                <w:sz w:val="18"/>
                <w:szCs w:val="18"/>
                <w:lang w:eastAsia="hr-HR"/>
              </w:rPr>
            </w:pPr>
            <w:r w:rsidRPr="000612F4">
              <w:rPr>
                <w:b/>
                <w:bCs/>
                <w:sz w:val="18"/>
                <w:szCs w:val="18"/>
              </w:rPr>
              <w:t>10.000</w:t>
            </w:r>
          </w:p>
        </w:tc>
        <w:tc>
          <w:tcPr>
            <w:tcW w:w="1247" w:type="dxa"/>
            <w:tcBorders>
              <w:top w:val="single" w:sz="4" w:space="0" w:color="auto"/>
            </w:tcBorders>
            <w:shd w:val="clear" w:color="auto" w:fill="auto"/>
            <w:noWrap/>
            <w:vAlign w:val="bottom"/>
            <w:hideMark/>
          </w:tcPr>
          <w:p w14:paraId="47ABEF0B" w14:textId="1BC9390E" w:rsidR="000612F4" w:rsidRPr="000612F4" w:rsidRDefault="000612F4" w:rsidP="000612F4">
            <w:pPr>
              <w:spacing w:before="120" w:after="0" w:line="240" w:lineRule="auto"/>
              <w:jc w:val="center"/>
              <w:rPr>
                <w:rFonts w:eastAsia="Times New Roman" w:cstheme="minorHAnsi"/>
                <w:b/>
                <w:bCs/>
                <w:sz w:val="18"/>
                <w:szCs w:val="18"/>
                <w:lang w:eastAsia="hr-HR"/>
              </w:rPr>
            </w:pPr>
            <w:r w:rsidRPr="000612F4">
              <w:rPr>
                <w:b/>
                <w:bCs/>
                <w:sz w:val="18"/>
                <w:szCs w:val="18"/>
              </w:rPr>
              <w:t>13.799</w:t>
            </w:r>
          </w:p>
        </w:tc>
        <w:tc>
          <w:tcPr>
            <w:tcW w:w="784" w:type="dxa"/>
            <w:tcBorders>
              <w:top w:val="single" w:sz="4" w:space="0" w:color="auto"/>
            </w:tcBorders>
            <w:shd w:val="clear" w:color="auto" w:fill="auto"/>
            <w:noWrap/>
            <w:vAlign w:val="bottom"/>
            <w:hideMark/>
          </w:tcPr>
          <w:p w14:paraId="29FE4B92" w14:textId="09A959CE" w:rsidR="000612F4" w:rsidRPr="000612F4" w:rsidRDefault="000612F4" w:rsidP="000612F4">
            <w:pPr>
              <w:spacing w:before="120" w:after="0" w:line="240" w:lineRule="auto"/>
              <w:jc w:val="center"/>
              <w:rPr>
                <w:rFonts w:eastAsia="Times New Roman" w:cstheme="minorHAnsi"/>
                <w:b/>
                <w:bCs/>
                <w:sz w:val="18"/>
                <w:szCs w:val="18"/>
                <w:lang w:eastAsia="hr-HR"/>
              </w:rPr>
            </w:pPr>
            <w:r w:rsidRPr="000612F4">
              <w:rPr>
                <w:b/>
                <w:bCs/>
                <w:sz w:val="18"/>
                <w:szCs w:val="18"/>
              </w:rPr>
              <w:t>89%</w:t>
            </w:r>
          </w:p>
        </w:tc>
        <w:tc>
          <w:tcPr>
            <w:tcW w:w="784" w:type="dxa"/>
            <w:tcBorders>
              <w:top w:val="single" w:sz="4" w:space="0" w:color="auto"/>
            </w:tcBorders>
            <w:shd w:val="clear" w:color="auto" w:fill="auto"/>
            <w:noWrap/>
            <w:vAlign w:val="bottom"/>
            <w:hideMark/>
          </w:tcPr>
          <w:p w14:paraId="1BA5D9F6" w14:textId="775881CE" w:rsidR="000612F4" w:rsidRPr="000612F4" w:rsidRDefault="000612F4" w:rsidP="000612F4">
            <w:pPr>
              <w:spacing w:before="120" w:after="0" w:line="240" w:lineRule="auto"/>
              <w:jc w:val="center"/>
              <w:rPr>
                <w:rFonts w:eastAsia="Times New Roman" w:cstheme="minorHAnsi"/>
                <w:b/>
                <w:bCs/>
                <w:sz w:val="18"/>
                <w:szCs w:val="18"/>
                <w:lang w:eastAsia="hr-HR"/>
              </w:rPr>
            </w:pPr>
            <w:r w:rsidRPr="000612F4">
              <w:rPr>
                <w:b/>
                <w:bCs/>
                <w:sz w:val="18"/>
                <w:szCs w:val="18"/>
              </w:rPr>
              <w:t>138%</w:t>
            </w:r>
          </w:p>
        </w:tc>
      </w:tr>
      <w:tr w:rsidR="000612F4" w:rsidRPr="000A79EF" w14:paraId="4AB93AF0" w14:textId="77777777" w:rsidTr="000C604C">
        <w:trPr>
          <w:trHeight w:val="340"/>
        </w:trPr>
        <w:tc>
          <w:tcPr>
            <w:tcW w:w="624" w:type="dxa"/>
            <w:shd w:val="clear" w:color="auto" w:fill="auto"/>
            <w:noWrap/>
            <w:vAlign w:val="bottom"/>
          </w:tcPr>
          <w:p w14:paraId="4CABA013" w14:textId="5E3DCE3E" w:rsidR="000612F4" w:rsidRPr="009B3A8A" w:rsidRDefault="000612F4" w:rsidP="000C604C">
            <w:pPr>
              <w:spacing w:before="120" w:after="0" w:line="240" w:lineRule="auto"/>
              <w:rPr>
                <w:rFonts w:eastAsia="Times New Roman" w:cstheme="minorHAnsi"/>
                <w:sz w:val="18"/>
                <w:szCs w:val="18"/>
                <w:lang w:eastAsia="hr-HR"/>
              </w:rPr>
            </w:pPr>
            <w:r w:rsidRPr="009B3A8A">
              <w:rPr>
                <w:rFonts w:ascii="Calibri" w:hAnsi="Calibri" w:cs="Calibri"/>
                <w:sz w:val="18"/>
                <w:szCs w:val="18"/>
              </w:rPr>
              <w:t>7.1</w:t>
            </w:r>
          </w:p>
        </w:tc>
        <w:tc>
          <w:tcPr>
            <w:tcW w:w="3231" w:type="dxa"/>
            <w:shd w:val="clear" w:color="auto" w:fill="auto"/>
            <w:noWrap/>
            <w:vAlign w:val="bottom"/>
          </w:tcPr>
          <w:p w14:paraId="6F28E58C" w14:textId="45F15F01" w:rsidR="000612F4" w:rsidRPr="000612F4" w:rsidRDefault="000612F4" w:rsidP="000C604C">
            <w:pPr>
              <w:spacing w:before="120" w:after="0" w:line="240" w:lineRule="auto"/>
              <w:rPr>
                <w:rFonts w:eastAsia="Times New Roman" w:cstheme="minorHAnsi"/>
                <w:sz w:val="18"/>
                <w:szCs w:val="18"/>
                <w:lang w:eastAsia="hr-HR"/>
              </w:rPr>
            </w:pPr>
            <w:r w:rsidRPr="000612F4">
              <w:rPr>
                <w:rFonts w:ascii="Calibri" w:hAnsi="Calibri" w:cs="Calibri"/>
                <w:sz w:val="18"/>
                <w:szCs w:val="18"/>
              </w:rPr>
              <w:t xml:space="preserve">Otpis imovine </w:t>
            </w:r>
          </w:p>
        </w:tc>
        <w:tc>
          <w:tcPr>
            <w:tcW w:w="1247" w:type="dxa"/>
            <w:shd w:val="clear" w:color="auto" w:fill="auto"/>
            <w:noWrap/>
            <w:vAlign w:val="bottom"/>
          </w:tcPr>
          <w:p w14:paraId="0EFB143D" w14:textId="487C35D3"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5.348</w:t>
            </w:r>
          </w:p>
        </w:tc>
        <w:tc>
          <w:tcPr>
            <w:tcW w:w="1247" w:type="dxa"/>
            <w:shd w:val="clear" w:color="auto" w:fill="auto"/>
            <w:noWrap/>
            <w:vAlign w:val="bottom"/>
          </w:tcPr>
          <w:p w14:paraId="51441CAF" w14:textId="3BD2078A"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0</w:t>
            </w:r>
          </w:p>
        </w:tc>
        <w:tc>
          <w:tcPr>
            <w:tcW w:w="1247" w:type="dxa"/>
            <w:shd w:val="clear" w:color="auto" w:fill="auto"/>
            <w:noWrap/>
            <w:vAlign w:val="bottom"/>
          </w:tcPr>
          <w:p w14:paraId="3D0D4C14" w14:textId="31D87C7B"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5.011</w:t>
            </w:r>
          </w:p>
        </w:tc>
        <w:tc>
          <w:tcPr>
            <w:tcW w:w="784" w:type="dxa"/>
            <w:shd w:val="clear" w:color="auto" w:fill="auto"/>
            <w:noWrap/>
            <w:vAlign w:val="bottom"/>
          </w:tcPr>
          <w:p w14:paraId="422C6153" w14:textId="14A50B00" w:rsidR="000612F4" w:rsidRPr="000612F4" w:rsidRDefault="000612F4" w:rsidP="000612F4">
            <w:pPr>
              <w:spacing w:before="120" w:after="0" w:line="240" w:lineRule="auto"/>
              <w:jc w:val="center"/>
              <w:rPr>
                <w:rFonts w:ascii="Calibri" w:hAnsi="Calibri" w:cs="Calibri"/>
                <w:color w:val="000000"/>
                <w:sz w:val="18"/>
                <w:szCs w:val="18"/>
              </w:rPr>
            </w:pPr>
            <w:r w:rsidRPr="000612F4">
              <w:rPr>
                <w:sz w:val="18"/>
                <w:szCs w:val="18"/>
              </w:rPr>
              <w:t>94%</w:t>
            </w:r>
          </w:p>
        </w:tc>
        <w:tc>
          <w:tcPr>
            <w:tcW w:w="784" w:type="dxa"/>
            <w:shd w:val="clear" w:color="auto" w:fill="auto"/>
            <w:noWrap/>
            <w:vAlign w:val="bottom"/>
          </w:tcPr>
          <w:p w14:paraId="3B9E80A0" w14:textId="51DA67E7" w:rsidR="000612F4" w:rsidRPr="000612F4" w:rsidRDefault="000612F4" w:rsidP="000612F4">
            <w:pPr>
              <w:spacing w:before="120" w:after="0" w:line="240" w:lineRule="auto"/>
              <w:jc w:val="center"/>
              <w:rPr>
                <w:rFonts w:ascii="Calibri" w:hAnsi="Calibri" w:cs="Calibri"/>
                <w:color w:val="000000"/>
                <w:sz w:val="18"/>
                <w:szCs w:val="18"/>
              </w:rPr>
            </w:pPr>
            <w:r w:rsidRPr="00353B74">
              <w:rPr>
                <w:sz w:val="18"/>
                <w:szCs w:val="18"/>
              </w:rPr>
              <w:t>0%</w:t>
            </w:r>
          </w:p>
        </w:tc>
      </w:tr>
      <w:tr w:rsidR="000612F4" w:rsidRPr="000A79EF" w14:paraId="22346416" w14:textId="77777777" w:rsidTr="000C604C">
        <w:trPr>
          <w:trHeight w:val="340"/>
        </w:trPr>
        <w:tc>
          <w:tcPr>
            <w:tcW w:w="624" w:type="dxa"/>
            <w:shd w:val="clear" w:color="auto" w:fill="auto"/>
            <w:noWrap/>
            <w:vAlign w:val="bottom"/>
          </w:tcPr>
          <w:p w14:paraId="11180128" w14:textId="2D5F2DAA" w:rsidR="000612F4" w:rsidRPr="009B3A8A" w:rsidRDefault="000612F4" w:rsidP="000C604C">
            <w:pPr>
              <w:spacing w:before="120" w:after="0" w:line="240" w:lineRule="auto"/>
              <w:rPr>
                <w:rFonts w:eastAsia="Times New Roman" w:cstheme="minorHAnsi"/>
                <w:sz w:val="18"/>
                <w:szCs w:val="18"/>
                <w:lang w:eastAsia="hr-HR"/>
              </w:rPr>
            </w:pPr>
            <w:r w:rsidRPr="009B3A8A">
              <w:rPr>
                <w:rFonts w:ascii="Calibri" w:hAnsi="Calibri" w:cs="Calibri"/>
                <w:sz w:val="18"/>
                <w:szCs w:val="18"/>
              </w:rPr>
              <w:t>7.2</w:t>
            </w:r>
          </w:p>
        </w:tc>
        <w:tc>
          <w:tcPr>
            <w:tcW w:w="3231" w:type="dxa"/>
            <w:shd w:val="clear" w:color="auto" w:fill="auto"/>
            <w:noWrap/>
            <w:vAlign w:val="bottom"/>
          </w:tcPr>
          <w:p w14:paraId="60F107AA" w14:textId="5ADBDA6A" w:rsidR="000612F4" w:rsidRPr="000612F4" w:rsidRDefault="000612F4" w:rsidP="000C604C">
            <w:pPr>
              <w:spacing w:before="120" w:after="0" w:line="240" w:lineRule="auto"/>
              <w:rPr>
                <w:rFonts w:eastAsia="Times New Roman" w:cstheme="minorHAnsi"/>
                <w:sz w:val="18"/>
                <w:szCs w:val="18"/>
                <w:lang w:eastAsia="hr-HR"/>
              </w:rPr>
            </w:pPr>
            <w:r w:rsidRPr="000612F4">
              <w:rPr>
                <w:rFonts w:ascii="Calibri" w:hAnsi="Calibri" w:cs="Calibri"/>
                <w:sz w:val="18"/>
                <w:szCs w:val="18"/>
              </w:rPr>
              <w:t>Novčane kazne</w:t>
            </w:r>
          </w:p>
        </w:tc>
        <w:tc>
          <w:tcPr>
            <w:tcW w:w="1247" w:type="dxa"/>
            <w:shd w:val="clear" w:color="auto" w:fill="auto"/>
            <w:noWrap/>
            <w:vAlign w:val="bottom"/>
          </w:tcPr>
          <w:p w14:paraId="19BFDE13" w14:textId="088D4E88"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0</w:t>
            </w:r>
          </w:p>
        </w:tc>
        <w:tc>
          <w:tcPr>
            <w:tcW w:w="1247" w:type="dxa"/>
            <w:shd w:val="clear" w:color="auto" w:fill="auto"/>
            <w:noWrap/>
            <w:vAlign w:val="bottom"/>
          </w:tcPr>
          <w:p w14:paraId="70B74628" w14:textId="1A5A15C9"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0</w:t>
            </w:r>
          </w:p>
        </w:tc>
        <w:tc>
          <w:tcPr>
            <w:tcW w:w="1247" w:type="dxa"/>
            <w:shd w:val="clear" w:color="auto" w:fill="auto"/>
            <w:noWrap/>
            <w:vAlign w:val="bottom"/>
          </w:tcPr>
          <w:p w14:paraId="420B62C5" w14:textId="33EA2BBB"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3.288</w:t>
            </w:r>
          </w:p>
        </w:tc>
        <w:tc>
          <w:tcPr>
            <w:tcW w:w="784" w:type="dxa"/>
            <w:shd w:val="clear" w:color="auto" w:fill="auto"/>
            <w:noWrap/>
            <w:vAlign w:val="bottom"/>
          </w:tcPr>
          <w:p w14:paraId="49D8EB52" w14:textId="0C05C8F5" w:rsidR="000612F4" w:rsidRPr="000612F4" w:rsidRDefault="000612F4" w:rsidP="000612F4">
            <w:pPr>
              <w:spacing w:before="120" w:after="0" w:line="240" w:lineRule="auto"/>
              <w:jc w:val="center"/>
              <w:rPr>
                <w:rFonts w:ascii="Calibri" w:hAnsi="Calibri" w:cs="Calibri"/>
                <w:color w:val="000000"/>
                <w:sz w:val="18"/>
                <w:szCs w:val="18"/>
              </w:rPr>
            </w:pPr>
            <w:r w:rsidRPr="000612F4">
              <w:rPr>
                <w:sz w:val="18"/>
                <w:szCs w:val="18"/>
              </w:rPr>
              <w:t>0%</w:t>
            </w:r>
          </w:p>
        </w:tc>
        <w:tc>
          <w:tcPr>
            <w:tcW w:w="784" w:type="dxa"/>
            <w:shd w:val="clear" w:color="auto" w:fill="auto"/>
            <w:noWrap/>
            <w:vAlign w:val="bottom"/>
          </w:tcPr>
          <w:p w14:paraId="21C874C5" w14:textId="63220EF1" w:rsidR="000612F4" w:rsidRPr="000612F4" w:rsidRDefault="000612F4" w:rsidP="000612F4">
            <w:pPr>
              <w:spacing w:before="120" w:after="0" w:line="240" w:lineRule="auto"/>
              <w:jc w:val="center"/>
              <w:rPr>
                <w:rFonts w:ascii="Calibri" w:hAnsi="Calibri" w:cs="Calibri"/>
                <w:color w:val="000000"/>
                <w:sz w:val="18"/>
                <w:szCs w:val="18"/>
              </w:rPr>
            </w:pPr>
            <w:r w:rsidRPr="00353B74">
              <w:rPr>
                <w:sz w:val="18"/>
                <w:szCs w:val="18"/>
              </w:rPr>
              <w:t>0%</w:t>
            </w:r>
          </w:p>
        </w:tc>
      </w:tr>
      <w:tr w:rsidR="000612F4" w:rsidRPr="000A79EF" w14:paraId="7C294F26" w14:textId="77777777" w:rsidTr="000C604C">
        <w:trPr>
          <w:trHeight w:val="340"/>
        </w:trPr>
        <w:tc>
          <w:tcPr>
            <w:tcW w:w="624" w:type="dxa"/>
            <w:shd w:val="clear" w:color="auto" w:fill="auto"/>
            <w:noWrap/>
            <w:vAlign w:val="bottom"/>
          </w:tcPr>
          <w:p w14:paraId="4D2FAD04" w14:textId="122851A7" w:rsidR="000612F4" w:rsidRPr="009B3A8A" w:rsidRDefault="000612F4" w:rsidP="000C604C">
            <w:pPr>
              <w:spacing w:before="120" w:after="0" w:line="240" w:lineRule="auto"/>
              <w:rPr>
                <w:rFonts w:eastAsia="Times New Roman" w:cstheme="minorHAnsi"/>
                <w:sz w:val="18"/>
                <w:szCs w:val="18"/>
                <w:lang w:eastAsia="hr-HR"/>
              </w:rPr>
            </w:pPr>
            <w:r w:rsidRPr="009B3A8A">
              <w:rPr>
                <w:rFonts w:ascii="Calibri" w:hAnsi="Calibri" w:cs="Calibri"/>
                <w:sz w:val="18"/>
                <w:szCs w:val="18"/>
              </w:rPr>
              <w:t>7.3</w:t>
            </w:r>
          </w:p>
        </w:tc>
        <w:tc>
          <w:tcPr>
            <w:tcW w:w="3231" w:type="dxa"/>
            <w:shd w:val="clear" w:color="auto" w:fill="auto"/>
            <w:noWrap/>
            <w:vAlign w:val="bottom"/>
          </w:tcPr>
          <w:p w14:paraId="390D3E82" w14:textId="08EDD0DF" w:rsidR="000612F4" w:rsidRPr="000612F4" w:rsidRDefault="000612F4" w:rsidP="000C604C">
            <w:pPr>
              <w:spacing w:before="120" w:after="0" w:line="240" w:lineRule="auto"/>
              <w:rPr>
                <w:rFonts w:eastAsia="Times New Roman" w:cstheme="minorHAnsi"/>
                <w:sz w:val="18"/>
                <w:szCs w:val="18"/>
                <w:lang w:eastAsia="hr-HR"/>
              </w:rPr>
            </w:pPr>
            <w:r w:rsidRPr="000612F4">
              <w:rPr>
                <w:rFonts w:ascii="Calibri" w:hAnsi="Calibri" w:cs="Calibri"/>
                <w:color w:val="000000"/>
                <w:sz w:val="18"/>
                <w:szCs w:val="18"/>
              </w:rPr>
              <w:t>Naknadno utvrđeni troškovi</w:t>
            </w:r>
          </w:p>
        </w:tc>
        <w:tc>
          <w:tcPr>
            <w:tcW w:w="1247" w:type="dxa"/>
            <w:shd w:val="clear" w:color="auto" w:fill="auto"/>
            <w:noWrap/>
            <w:vAlign w:val="bottom"/>
          </w:tcPr>
          <w:p w14:paraId="4C23C2B7" w14:textId="0E42F24B"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10.093</w:t>
            </w:r>
          </w:p>
        </w:tc>
        <w:tc>
          <w:tcPr>
            <w:tcW w:w="1247" w:type="dxa"/>
            <w:shd w:val="clear" w:color="auto" w:fill="auto"/>
            <w:noWrap/>
            <w:vAlign w:val="bottom"/>
          </w:tcPr>
          <w:p w14:paraId="12F1B6E2" w14:textId="2E8C6A2F"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10.000</w:t>
            </w:r>
          </w:p>
        </w:tc>
        <w:tc>
          <w:tcPr>
            <w:tcW w:w="1247" w:type="dxa"/>
            <w:shd w:val="clear" w:color="auto" w:fill="auto"/>
            <w:noWrap/>
            <w:vAlign w:val="bottom"/>
          </w:tcPr>
          <w:p w14:paraId="5E01ABC1" w14:textId="300284DB"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0</w:t>
            </w:r>
          </w:p>
        </w:tc>
        <w:tc>
          <w:tcPr>
            <w:tcW w:w="784" w:type="dxa"/>
            <w:shd w:val="clear" w:color="auto" w:fill="auto"/>
            <w:noWrap/>
            <w:vAlign w:val="bottom"/>
          </w:tcPr>
          <w:p w14:paraId="0126F90A" w14:textId="4A0D2E8A" w:rsidR="000612F4" w:rsidRPr="000612F4" w:rsidRDefault="000612F4" w:rsidP="000612F4">
            <w:pPr>
              <w:spacing w:before="120" w:after="0" w:line="240" w:lineRule="auto"/>
              <w:jc w:val="center"/>
              <w:rPr>
                <w:rFonts w:ascii="Calibri" w:hAnsi="Calibri" w:cs="Calibri"/>
                <w:color w:val="000000"/>
                <w:sz w:val="18"/>
                <w:szCs w:val="18"/>
              </w:rPr>
            </w:pPr>
            <w:r w:rsidRPr="000612F4">
              <w:rPr>
                <w:sz w:val="18"/>
                <w:szCs w:val="18"/>
              </w:rPr>
              <w:t>0%</w:t>
            </w:r>
          </w:p>
        </w:tc>
        <w:tc>
          <w:tcPr>
            <w:tcW w:w="784" w:type="dxa"/>
            <w:shd w:val="clear" w:color="auto" w:fill="auto"/>
            <w:noWrap/>
            <w:vAlign w:val="bottom"/>
          </w:tcPr>
          <w:p w14:paraId="4F2C93A7" w14:textId="21744E3C" w:rsidR="000612F4" w:rsidRPr="000612F4" w:rsidRDefault="000612F4" w:rsidP="000612F4">
            <w:pPr>
              <w:spacing w:before="120" w:after="0" w:line="240" w:lineRule="auto"/>
              <w:jc w:val="center"/>
              <w:rPr>
                <w:rFonts w:ascii="Calibri" w:hAnsi="Calibri" w:cs="Calibri"/>
                <w:color w:val="000000"/>
                <w:sz w:val="18"/>
                <w:szCs w:val="18"/>
              </w:rPr>
            </w:pPr>
            <w:r w:rsidRPr="000612F4">
              <w:rPr>
                <w:sz w:val="18"/>
                <w:szCs w:val="18"/>
              </w:rPr>
              <w:t>0%</w:t>
            </w:r>
          </w:p>
        </w:tc>
      </w:tr>
      <w:tr w:rsidR="000612F4" w:rsidRPr="000A79EF" w14:paraId="1B247968" w14:textId="77777777" w:rsidTr="000C604C">
        <w:trPr>
          <w:trHeight w:val="340"/>
        </w:trPr>
        <w:tc>
          <w:tcPr>
            <w:tcW w:w="624" w:type="dxa"/>
            <w:shd w:val="clear" w:color="auto" w:fill="auto"/>
            <w:noWrap/>
            <w:vAlign w:val="bottom"/>
          </w:tcPr>
          <w:p w14:paraId="6B2AC658" w14:textId="712E7764" w:rsidR="000612F4" w:rsidRPr="009B3A8A" w:rsidRDefault="000612F4" w:rsidP="000C604C">
            <w:pPr>
              <w:spacing w:before="120" w:after="0" w:line="240" w:lineRule="auto"/>
              <w:rPr>
                <w:rFonts w:eastAsia="Times New Roman" w:cstheme="minorHAnsi"/>
                <w:sz w:val="18"/>
                <w:szCs w:val="18"/>
                <w:lang w:eastAsia="hr-HR"/>
              </w:rPr>
            </w:pPr>
            <w:r w:rsidRPr="009B3A8A">
              <w:rPr>
                <w:rFonts w:ascii="Calibri" w:hAnsi="Calibri" w:cs="Calibri"/>
                <w:sz w:val="18"/>
                <w:szCs w:val="18"/>
              </w:rPr>
              <w:t>7.4</w:t>
            </w:r>
          </w:p>
        </w:tc>
        <w:tc>
          <w:tcPr>
            <w:tcW w:w="3231" w:type="dxa"/>
            <w:shd w:val="clear" w:color="auto" w:fill="auto"/>
            <w:noWrap/>
            <w:vAlign w:val="bottom"/>
          </w:tcPr>
          <w:p w14:paraId="63081ACC" w14:textId="1B79C21B" w:rsidR="000612F4" w:rsidRPr="000612F4" w:rsidRDefault="000612F4" w:rsidP="000C604C">
            <w:pPr>
              <w:spacing w:before="120" w:after="0" w:line="240" w:lineRule="auto"/>
              <w:rPr>
                <w:rFonts w:ascii="Calibri" w:hAnsi="Calibri" w:cs="Calibri"/>
                <w:sz w:val="18"/>
                <w:szCs w:val="18"/>
              </w:rPr>
            </w:pPr>
            <w:r w:rsidRPr="000612F4">
              <w:rPr>
                <w:rFonts w:ascii="Calibri" w:hAnsi="Calibri" w:cs="Calibri"/>
                <w:sz w:val="18"/>
                <w:szCs w:val="18"/>
              </w:rPr>
              <w:t>Donacije darovi, sponzorstva</w:t>
            </w:r>
          </w:p>
        </w:tc>
        <w:tc>
          <w:tcPr>
            <w:tcW w:w="1247" w:type="dxa"/>
            <w:shd w:val="clear" w:color="auto" w:fill="auto"/>
            <w:noWrap/>
            <w:vAlign w:val="bottom"/>
          </w:tcPr>
          <w:p w14:paraId="48F8F5A0" w14:textId="016D3458"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0</w:t>
            </w:r>
          </w:p>
        </w:tc>
        <w:tc>
          <w:tcPr>
            <w:tcW w:w="1247" w:type="dxa"/>
            <w:shd w:val="clear" w:color="auto" w:fill="auto"/>
            <w:noWrap/>
            <w:vAlign w:val="bottom"/>
          </w:tcPr>
          <w:p w14:paraId="11F3DC16" w14:textId="532B8B2D"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0</w:t>
            </w:r>
          </w:p>
        </w:tc>
        <w:tc>
          <w:tcPr>
            <w:tcW w:w="1247" w:type="dxa"/>
            <w:shd w:val="clear" w:color="auto" w:fill="auto"/>
            <w:noWrap/>
            <w:vAlign w:val="bottom"/>
          </w:tcPr>
          <w:p w14:paraId="534EED1E" w14:textId="024C35B5" w:rsidR="000612F4" w:rsidRPr="000612F4" w:rsidRDefault="000612F4" w:rsidP="000612F4">
            <w:pPr>
              <w:spacing w:before="120" w:after="0" w:line="240" w:lineRule="auto"/>
              <w:jc w:val="center"/>
              <w:rPr>
                <w:rFonts w:ascii="Calibri" w:hAnsi="Calibri" w:cs="Calibri"/>
                <w:sz w:val="18"/>
                <w:szCs w:val="18"/>
              </w:rPr>
            </w:pPr>
            <w:r w:rsidRPr="000612F4">
              <w:rPr>
                <w:sz w:val="18"/>
                <w:szCs w:val="18"/>
              </w:rPr>
              <w:t>5.500</w:t>
            </w:r>
          </w:p>
        </w:tc>
        <w:tc>
          <w:tcPr>
            <w:tcW w:w="784" w:type="dxa"/>
            <w:shd w:val="clear" w:color="auto" w:fill="auto"/>
            <w:noWrap/>
            <w:vAlign w:val="bottom"/>
          </w:tcPr>
          <w:p w14:paraId="15EB696C" w14:textId="6C6FF819" w:rsidR="000612F4" w:rsidRPr="000612F4" w:rsidRDefault="000612F4" w:rsidP="000612F4">
            <w:pPr>
              <w:spacing w:before="120" w:after="0" w:line="240" w:lineRule="auto"/>
              <w:jc w:val="center"/>
              <w:rPr>
                <w:rFonts w:ascii="Calibri" w:hAnsi="Calibri" w:cs="Calibri"/>
                <w:color w:val="000000"/>
                <w:sz w:val="18"/>
                <w:szCs w:val="18"/>
              </w:rPr>
            </w:pPr>
            <w:r w:rsidRPr="002F37C6">
              <w:rPr>
                <w:sz w:val="18"/>
                <w:szCs w:val="18"/>
              </w:rPr>
              <w:t>0%</w:t>
            </w:r>
          </w:p>
        </w:tc>
        <w:tc>
          <w:tcPr>
            <w:tcW w:w="784" w:type="dxa"/>
            <w:shd w:val="clear" w:color="auto" w:fill="auto"/>
            <w:noWrap/>
            <w:vAlign w:val="bottom"/>
          </w:tcPr>
          <w:p w14:paraId="03381FB1" w14:textId="3F69C138" w:rsidR="000612F4" w:rsidRPr="000612F4" w:rsidRDefault="000612F4" w:rsidP="000612F4">
            <w:pPr>
              <w:spacing w:before="120" w:after="0" w:line="240" w:lineRule="auto"/>
              <w:jc w:val="center"/>
              <w:rPr>
                <w:rFonts w:ascii="Calibri" w:hAnsi="Calibri" w:cs="Calibri"/>
                <w:color w:val="000000"/>
                <w:sz w:val="18"/>
                <w:szCs w:val="18"/>
              </w:rPr>
            </w:pPr>
            <w:r w:rsidRPr="002F37C6">
              <w:rPr>
                <w:sz w:val="18"/>
                <w:szCs w:val="18"/>
              </w:rPr>
              <w:t>0%</w:t>
            </w:r>
          </w:p>
        </w:tc>
      </w:tr>
    </w:tbl>
    <w:p w14:paraId="2BB4B0D9" w14:textId="77777777" w:rsidR="005A46F0" w:rsidRDefault="005A46F0" w:rsidP="005A46F0">
      <w:pPr>
        <w:rPr>
          <w:b/>
          <w:bCs/>
          <w:color w:val="FF0000"/>
          <w:u w:val="single"/>
        </w:rPr>
      </w:pPr>
    </w:p>
    <w:p w14:paraId="078BB30E" w14:textId="309006FD" w:rsidR="007C2E37" w:rsidRPr="007C2E37" w:rsidRDefault="007C2E37" w:rsidP="007C2E37">
      <w:pPr>
        <w:pStyle w:val="Heading3"/>
        <w:spacing w:before="240" w:after="240"/>
      </w:pPr>
      <w:bookmarkStart w:id="85" w:name="_Toc200094294"/>
      <w:r w:rsidRPr="00E9501A">
        <w:t>3.2.</w:t>
      </w:r>
      <w:r>
        <w:t>9</w:t>
      </w:r>
      <w:r w:rsidRPr="00E9501A">
        <w:t>.</w:t>
      </w:r>
      <w:r>
        <w:t xml:space="preserve"> Financijski rashodi</w:t>
      </w:r>
      <w:bookmarkEnd w:id="85"/>
    </w:p>
    <w:p w14:paraId="46CB41FC" w14:textId="792CCB19" w:rsidR="00A6593D" w:rsidRPr="005F5626" w:rsidRDefault="00A6593D" w:rsidP="005A46F0">
      <w:pPr>
        <w:spacing w:line="360" w:lineRule="auto"/>
        <w:jc w:val="both"/>
        <w:rPr>
          <w:b/>
          <w:bCs/>
          <w:u w:val="single"/>
        </w:rPr>
      </w:pPr>
      <w:r w:rsidRPr="007C2E37">
        <w:rPr>
          <w:b/>
          <w:bCs/>
        </w:rPr>
        <w:t>Financijski rashodi</w:t>
      </w:r>
      <w:r w:rsidRPr="008D7146">
        <w:t xml:space="preserve"> iznose</w:t>
      </w:r>
      <w:r w:rsidRPr="005F5626">
        <w:t xml:space="preserve"> </w:t>
      </w:r>
      <w:r w:rsidR="00EB1DC3">
        <w:t>1</w:t>
      </w:r>
      <w:r w:rsidR="000C604C">
        <w:t>52.003</w:t>
      </w:r>
      <w:r w:rsidR="00EB1DC3">
        <w:t xml:space="preserve"> eura, </w:t>
      </w:r>
      <w:r w:rsidR="000C604C" w:rsidRPr="000C604C">
        <w:t>što predstavlja povećanje od 8% u odnosu na 2023. godinu, te 26% više u odnosu na rebalans plana</w:t>
      </w:r>
      <w:r w:rsidR="00EB1DC3">
        <w:t>.</w:t>
      </w:r>
      <w:r w:rsidRPr="005F5626">
        <w:t xml:space="preserve"> Odnose se na kamate na kredite, negativne tečajne razlike, zatezne kamate i sl.</w:t>
      </w:r>
    </w:p>
    <w:p w14:paraId="295BF54E" w14:textId="09D73CC4" w:rsidR="00B917D4" w:rsidRPr="00DD0F71" w:rsidRDefault="00B917D4" w:rsidP="00840E6B">
      <w:pPr>
        <w:pStyle w:val="Caption"/>
        <w:spacing w:before="240" w:after="240"/>
        <w:rPr>
          <w:rFonts w:cstheme="minorHAnsi"/>
        </w:rPr>
      </w:pPr>
      <w:bookmarkStart w:id="86" w:name="_Toc200366477"/>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39</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Financijski rashodi</w:t>
      </w:r>
      <w:bookmarkEnd w:id="86"/>
    </w:p>
    <w:tbl>
      <w:tblPr>
        <w:tblW w:w="959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24"/>
        <w:gridCol w:w="3758"/>
        <w:gridCol w:w="1247"/>
        <w:gridCol w:w="1247"/>
        <w:gridCol w:w="1247"/>
        <w:gridCol w:w="737"/>
        <w:gridCol w:w="737"/>
      </w:tblGrid>
      <w:tr w:rsidR="007C2E37" w:rsidRPr="00B931C0" w14:paraId="103E9533" w14:textId="77777777" w:rsidTr="007C2E37">
        <w:trPr>
          <w:trHeight w:val="624"/>
        </w:trPr>
        <w:tc>
          <w:tcPr>
            <w:tcW w:w="624" w:type="dxa"/>
            <w:tcBorders>
              <w:top w:val="single" w:sz="4" w:space="0" w:color="auto"/>
              <w:bottom w:val="single" w:sz="4" w:space="0" w:color="auto"/>
            </w:tcBorders>
            <w:shd w:val="clear" w:color="auto" w:fill="auto"/>
            <w:noWrap/>
            <w:vAlign w:val="center"/>
            <w:hideMark/>
          </w:tcPr>
          <w:p w14:paraId="54CD2984" w14:textId="2974843A" w:rsidR="007C2E37" w:rsidRPr="00B931C0" w:rsidRDefault="007C2E37" w:rsidP="007C2E37">
            <w:pPr>
              <w:spacing w:before="120" w:after="0" w:line="240" w:lineRule="auto"/>
              <w:rPr>
                <w:rFonts w:eastAsia="Times New Roman" w:cstheme="minorHAnsi"/>
                <w:b/>
                <w:bCs/>
                <w:sz w:val="20"/>
                <w:szCs w:val="20"/>
                <w:lang w:eastAsia="hr-HR"/>
              </w:rPr>
            </w:pPr>
            <w:r w:rsidRPr="00264869">
              <w:rPr>
                <w:rFonts w:eastAsia="Times New Roman" w:cstheme="minorHAnsi"/>
                <w:b/>
                <w:bCs/>
                <w:sz w:val="18"/>
                <w:szCs w:val="18"/>
                <w:lang w:eastAsia="hr-HR"/>
              </w:rPr>
              <w:t>R. br.</w:t>
            </w:r>
          </w:p>
        </w:tc>
        <w:tc>
          <w:tcPr>
            <w:tcW w:w="3758" w:type="dxa"/>
            <w:tcBorders>
              <w:top w:val="single" w:sz="4" w:space="0" w:color="auto"/>
              <w:bottom w:val="single" w:sz="4" w:space="0" w:color="auto"/>
            </w:tcBorders>
            <w:shd w:val="clear" w:color="auto" w:fill="auto"/>
            <w:noWrap/>
            <w:vAlign w:val="center"/>
            <w:hideMark/>
          </w:tcPr>
          <w:p w14:paraId="5DBE9F98" w14:textId="2D0AC065" w:rsidR="007C2E37" w:rsidRPr="00B931C0" w:rsidRDefault="007C2E37" w:rsidP="007C2E37">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 xml:space="preserve">O p i s </w:t>
            </w:r>
          </w:p>
        </w:tc>
        <w:tc>
          <w:tcPr>
            <w:tcW w:w="1247" w:type="dxa"/>
            <w:tcBorders>
              <w:top w:val="single" w:sz="4" w:space="0" w:color="auto"/>
              <w:bottom w:val="single" w:sz="4" w:space="0" w:color="auto"/>
            </w:tcBorders>
            <w:shd w:val="clear" w:color="auto" w:fill="auto"/>
            <w:noWrap/>
            <w:vAlign w:val="center"/>
            <w:hideMark/>
          </w:tcPr>
          <w:p w14:paraId="74FD609C" w14:textId="16D6681C" w:rsidR="007C2E37" w:rsidRPr="00B931C0" w:rsidRDefault="007C2E37" w:rsidP="007C2E37">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3</w:t>
            </w:r>
          </w:p>
        </w:tc>
        <w:tc>
          <w:tcPr>
            <w:tcW w:w="1247" w:type="dxa"/>
            <w:tcBorders>
              <w:top w:val="single" w:sz="4" w:space="0" w:color="auto"/>
              <w:bottom w:val="single" w:sz="4" w:space="0" w:color="auto"/>
            </w:tcBorders>
            <w:shd w:val="clear" w:color="auto" w:fill="auto"/>
            <w:noWrap/>
            <w:vAlign w:val="center"/>
            <w:hideMark/>
          </w:tcPr>
          <w:p w14:paraId="37702B12" w14:textId="453281C9" w:rsidR="007C2E37" w:rsidRPr="00B931C0" w:rsidRDefault="007C2E37" w:rsidP="007C2E37">
            <w:pPr>
              <w:spacing w:before="120" w:after="0" w:line="240" w:lineRule="auto"/>
              <w:jc w:val="center"/>
              <w:rPr>
                <w:rFonts w:eastAsia="Times New Roman" w:cstheme="minorHAnsi"/>
                <w:b/>
                <w:bCs/>
                <w:sz w:val="20"/>
                <w:szCs w:val="20"/>
                <w:lang w:eastAsia="hr-HR"/>
              </w:rPr>
            </w:pPr>
            <w:r>
              <w:rPr>
                <w:rFonts w:eastAsia="Times New Roman" w:cstheme="minorHAnsi"/>
                <w:b/>
                <w:bCs/>
                <w:sz w:val="18"/>
                <w:szCs w:val="18"/>
                <w:lang w:eastAsia="hr-HR"/>
              </w:rPr>
              <w:t>R</w:t>
            </w:r>
            <w:r w:rsidRPr="00264869">
              <w:rPr>
                <w:rFonts w:eastAsia="Times New Roman" w:cstheme="minorHAnsi"/>
                <w:b/>
                <w:bCs/>
                <w:sz w:val="18"/>
                <w:szCs w:val="18"/>
                <w:lang w:eastAsia="hr-HR"/>
              </w:rPr>
              <w:t>ebalans plana 202</w:t>
            </w:r>
            <w:r>
              <w:rPr>
                <w:rFonts w:eastAsia="Times New Roman" w:cstheme="minorHAnsi"/>
                <w:b/>
                <w:bCs/>
                <w:sz w:val="18"/>
                <w:szCs w:val="18"/>
                <w:lang w:eastAsia="hr-HR"/>
              </w:rPr>
              <w:t>4</w:t>
            </w:r>
          </w:p>
        </w:tc>
        <w:tc>
          <w:tcPr>
            <w:tcW w:w="1247" w:type="dxa"/>
            <w:tcBorders>
              <w:top w:val="single" w:sz="4" w:space="0" w:color="auto"/>
              <w:bottom w:val="single" w:sz="4" w:space="0" w:color="auto"/>
            </w:tcBorders>
            <w:shd w:val="clear" w:color="auto" w:fill="auto"/>
            <w:noWrap/>
            <w:vAlign w:val="center"/>
            <w:hideMark/>
          </w:tcPr>
          <w:p w14:paraId="653128AE" w14:textId="38897E91" w:rsidR="007C2E37" w:rsidRPr="00B931C0" w:rsidRDefault="007C2E37" w:rsidP="007C2E37">
            <w:pPr>
              <w:spacing w:before="120" w:after="0" w:line="240" w:lineRule="auto"/>
              <w:jc w:val="center"/>
              <w:rPr>
                <w:rFonts w:eastAsia="Times New Roman" w:cstheme="minorHAnsi"/>
                <w:b/>
                <w:bCs/>
                <w:sz w:val="20"/>
                <w:szCs w:val="20"/>
                <w:lang w:eastAsia="hr-HR"/>
              </w:rPr>
            </w:pPr>
            <w:r w:rsidRPr="00264869">
              <w:rPr>
                <w:rFonts w:eastAsia="Times New Roman" w:cstheme="minorHAnsi"/>
                <w:b/>
                <w:bCs/>
                <w:sz w:val="18"/>
                <w:szCs w:val="18"/>
                <w:lang w:eastAsia="hr-HR"/>
              </w:rPr>
              <w:t>Ostvarenje 202</w:t>
            </w:r>
            <w:r>
              <w:rPr>
                <w:rFonts w:eastAsia="Times New Roman" w:cstheme="minorHAnsi"/>
                <w:b/>
                <w:bCs/>
                <w:sz w:val="18"/>
                <w:szCs w:val="18"/>
                <w:lang w:eastAsia="hr-HR"/>
              </w:rPr>
              <w:t>4</w:t>
            </w:r>
          </w:p>
        </w:tc>
        <w:tc>
          <w:tcPr>
            <w:tcW w:w="737" w:type="dxa"/>
            <w:tcBorders>
              <w:top w:val="single" w:sz="4" w:space="0" w:color="auto"/>
              <w:bottom w:val="single" w:sz="4" w:space="0" w:color="auto"/>
            </w:tcBorders>
            <w:shd w:val="clear" w:color="auto" w:fill="auto"/>
            <w:noWrap/>
            <w:vAlign w:val="center"/>
            <w:hideMark/>
          </w:tcPr>
          <w:p w14:paraId="29F27E91" w14:textId="0DF69A19" w:rsidR="007C2E37" w:rsidRPr="00B931C0" w:rsidRDefault="007C2E37" w:rsidP="007C2E37">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index   (5/3)</w:t>
            </w:r>
          </w:p>
        </w:tc>
        <w:tc>
          <w:tcPr>
            <w:tcW w:w="737" w:type="dxa"/>
            <w:tcBorders>
              <w:top w:val="single" w:sz="4" w:space="0" w:color="auto"/>
              <w:bottom w:val="single" w:sz="4" w:space="0" w:color="auto"/>
            </w:tcBorders>
            <w:shd w:val="clear" w:color="auto" w:fill="auto"/>
            <w:noWrap/>
            <w:vAlign w:val="center"/>
            <w:hideMark/>
          </w:tcPr>
          <w:p w14:paraId="56EE54F8" w14:textId="4E7806B0" w:rsidR="007C2E37" w:rsidRPr="00B931C0" w:rsidRDefault="007C2E37" w:rsidP="007C2E37">
            <w:pPr>
              <w:spacing w:before="120" w:after="0" w:line="240" w:lineRule="auto"/>
              <w:jc w:val="center"/>
              <w:rPr>
                <w:rFonts w:eastAsia="Times New Roman" w:cstheme="minorHAnsi"/>
                <w:b/>
                <w:bCs/>
                <w:sz w:val="20"/>
                <w:szCs w:val="20"/>
                <w:lang w:eastAsia="hr-HR"/>
              </w:rPr>
            </w:pPr>
            <w:r w:rsidRPr="00264869">
              <w:rPr>
                <w:rFonts w:eastAsia="Times New Roman" w:cstheme="minorHAnsi"/>
                <w:b/>
                <w:bCs/>
                <w:color w:val="000000"/>
                <w:sz w:val="18"/>
                <w:szCs w:val="18"/>
                <w:lang w:eastAsia="hr-HR"/>
              </w:rPr>
              <w:t>indeks (5/4)</w:t>
            </w:r>
          </w:p>
        </w:tc>
      </w:tr>
      <w:tr w:rsidR="00B931C0" w:rsidRPr="00B931C0" w14:paraId="4F3E5991" w14:textId="77777777" w:rsidTr="007C2E37">
        <w:trPr>
          <w:trHeight w:val="227"/>
        </w:trPr>
        <w:tc>
          <w:tcPr>
            <w:tcW w:w="624" w:type="dxa"/>
            <w:tcBorders>
              <w:top w:val="single" w:sz="4" w:space="0" w:color="auto"/>
              <w:bottom w:val="single" w:sz="4" w:space="0" w:color="auto"/>
            </w:tcBorders>
            <w:shd w:val="clear" w:color="auto" w:fill="auto"/>
            <w:noWrap/>
            <w:vAlign w:val="center"/>
          </w:tcPr>
          <w:p w14:paraId="3D0AFFB8" w14:textId="15ED75F8"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eastAsia="Times New Roman" w:cstheme="minorHAnsi"/>
                <w:b/>
                <w:bCs/>
                <w:i/>
                <w:iCs/>
                <w:color w:val="D9D9D9" w:themeColor="background1" w:themeShade="D9"/>
                <w:sz w:val="14"/>
                <w:szCs w:val="14"/>
                <w:lang w:eastAsia="hr-HR"/>
              </w:rPr>
              <w:t>1</w:t>
            </w:r>
          </w:p>
        </w:tc>
        <w:tc>
          <w:tcPr>
            <w:tcW w:w="3758" w:type="dxa"/>
            <w:tcBorders>
              <w:top w:val="single" w:sz="4" w:space="0" w:color="auto"/>
              <w:bottom w:val="single" w:sz="4" w:space="0" w:color="auto"/>
            </w:tcBorders>
            <w:shd w:val="clear" w:color="auto" w:fill="auto"/>
            <w:noWrap/>
            <w:vAlign w:val="center"/>
          </w:tcPr>
          <w:p w14:paraId="6A00FCE0" w14:textId="51D36636"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eastAsia="Times New Roman" w:cstheme="minorHAnsi"/>
                <w:b/>
                <w:bCs/>
                <w:i/>
                <w:iCs/>
                <w:color w:val="D9D9D9" w:themeColor="background1" w:themeShade="D9"/>
                <w:sz w:val="14"/>
                <w:szCs w:val="14"/>
                <w:lang w:eastAsia="hr-HR"/>
              </w:rPr>
              <w:t>2</w:t>
            </w:r>
          </w:p>
        </w:tc>
        <w:tc>
          <w:tcPr>
            <w:tcW w:w="1247" w:type="dxa"/>
            <w:tcBorders>
              <w:top w:val="single" w:sz="4" w:space="0" w:color="auto"/>
              <w:bottom w:val="single" w:sz="4" w:space="0" w:color="auto"/>
            </w:tcBorders>
            <w:shd w:val="clear" w:color="auto" w:fill="auto"/>
            <w:noWrap/>
            <w:vAlign w:val="center"/>
          </w:tcPr>
          <w:p w14:paraId="42F1FEB5" w14:textId="36050B85"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ascii="Calibri" w:eastAsia="Times New Roman" w:hAnsi="Calibri" w:cs="Calibri"/>
                <w:b/>
                <w:bCs/>
                <w:i/>
                <w:iCs/>
                <w:color w:val="D9D9D9" w:themeColor="background1" w:themeShade="D9"/>
                <w:sz w:val="14"/>
                <w:szCs w:val="14"/>
                <w:lang w:eastAsia="hr-HR"/>
              </w:rPr>
              <w:t>3</w:t>
            </w:r>
          </w:p>
        </w:tc>
        <w:tc>
          <w:tcPr>
            <w:tcW w:w="1247" w:type="dxa"/>
            <w:tcBorders>
              <w:top w:val="single" w:sz="4" w:space="0" w:color="auto"/>
              <w:bottom w:val="single" w:sz="4" w:space="0" w:color="auto"/>
            </w:tcBorders>
            <w:shd w:val="clear" w:color="auto" w:fill="auto"/>
            <w:noWrap/>
            <w:vAlign w:val="center"/>
          </w:tcPr>
          <w:p w14:paraId="58C53DB8" w14:textId="7A97C85A"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eastAsia="Times New Roman" w:cstheme="minorHAnsi"/>
                <w:b/>
                <w:bCs/>
                <w:i/>
                <w:iCs/>
                <w:color w:val="D9D9D9" w:themeColor="background1" w:themeShade="D9"/>
                <w:sz w:val="14"/>
                <w:szCs w:val="14"/>
                <w:lang w:eastAsia="hr-HR"/>
              </w:rPr>
              <w:t>4</w:t>
            </w:r>
          </w:p>
        </w:tc>
        <w:tc>
          <w:tcPr>
            <w:tcW w:w="1247" w:type="dxa"/>
            <w:tcBorders>
              <w:top w:val="single" w:sz="4" w:space="0" w:color="auto"/>
              <w:bottom w:val="single" w:sz="4" w:space="0" w:color="auto"/>
            </w:tcBorders>
            <w:shd w:val="clear" w:color="auto" w:fill="auto"/>
            <w:noWrap/>
            <w:vAlign w:val="center"/>
          </w:tcPr>
          <w:p w14:paraId="21DD9F20" w14:textId="2BEE1923"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ascii="Calibri" w:eastAsia="Times New Roman" w:hAnsi="Calibri" w:cs="Calibri"/>
                <w:b/>
                <w:bCs/>
                <w:i/>
                <w:iCs/>
                <w:color w:val="D9D9D9" w:themeColor="background1" w:themeShade="D9"/>
                <w:sz w:val="14"/>
                <w:szCs w:val="14"/>
                <w:lang w:eastAsia="hr-HR"/>
              </w:rPr>
              <w:t>5</w:t>
            </w:r>
          </w:p>
        </w:tc>
        <w:tc>
          <w:tcPr>
            <w:tcW w:w="737" w:type="dxa"/>
            <w:tcBorders>
              <w:top w:val="single" w:sz="4" w:space="0" w:color="auto"/>
              <w:bottom w:val="single" w:sz="4" w:space="0" w:color="auto"/>
            </w:tcBorders>
            <w:shd w:val="clear" w:color="auto" w:fill="auto"/>
            <w:noWrap/>
            <w:vAlign w:val="center"/>
          </w:tcPr>
          <w:p w14:paraId="4E2E5BF3" w14:textId="684711AE"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ascii="Calibri" w:eastAsia="Times New Roman" w:hAnsi="Calibri" w:cs="Calibri"/>
                <w:b/>
                <w:bCs/>
                <w:i/>
                <w:iCs/>
                <w:color w:val="D9D9D9" w:themeColor="background1" w:themeShade="D9"/>
                <w:sz w:val="14"/>
                <w:szCs w:val="14"/>
                <w:lang w:eastAsia="hr-HR"/>
              </w:rPr>
              <w:t>6</w:t>
            </w:r>
          </w:p>
        </w:tc>
        <w:tc>
          <w:tcPr>
            <w:tcW w:w="737" w:type="dxa"/>
            <w:tcBorders>
              <w:top w:val="single" w:sz="4" w:space="0" w:color="auto"/>
              <w:bottom w:val="single" w:sz="4" w:space="0" w:color="auto"/>
            </w:tcBorders>
            <w:shd w:val="clear" w:color="auto" w:fill="auto"/>
            <w:noWrap/>
            <w:vAlign w:val="center"/>
          </w:tcPr>
          <w:p w14:paraId="638A647F" w14:textId="097E225F" w:rsidR="005A46F0" w:rsidRPr="00B960BD" w:rsidRDefault="005A46F0" w:rsidP="00B960BD">
            <w:pPr>
              <w:spacing w:after="0" w:line="240" w:lineRule="auto"/>
              <w:jc w:val="center"/>
              <w:rPr>
                <w:rFonts w:eastAsia="Times New Roman" w:cstheme="minorHAnsi"/>
                <w:b/>
                <w:bCs/>
                <w:color w:val="D9D9D9" w:themeColor="background1" w:themeShade="D9"/>
                <w:sz w:val="14"/>
                <w:szCs w:val="14"/>
                <w:lang w:eastAsia="hr-HR"/>
              </w:rPr>
            </w:pPr>
            <w:r w:rsidRPr="00B960BD">
              <w:rPr>
                <w:rFonts w:ascii="Calibri" w:eastAsia="Times New Roman" w:hAnsi="Calibri" w:cs="Calibri"/>
                <w:b/>
                <w:bCs/>
                <w:i/>
                <w:iCs/>
                <w:color w:val="D9D9D9" w:themeColor="background1" w:themeShade="D9"/>
                <w:sz w:val="14"/>
                <w:szCs w:val="14"/>
                <w:lang w:eastAsia="hr-HR"/>
              </w:rPr>
              <w:t>7</w:t>
            </w:r>
          </w:p>
        </w:tc>
      </w:tr>
      <w:tr w:rsidR="000C604C" w:rsidRPr="00B931C0" w14:paraId="13FA8759" w14:textId="77777777" w:rsidTr="000C604C">
        <w:trPr>
          <w:trHeight w:val="274"/>
        </w:trPr>
        <w:tc>
          <w:tcPr>
            <w:tcW w:w="624" w:type="dxa"/>
            <w:tcBorders>
              <w:top w:val="single" w:sz="4" w:space="0" w:color="auto"/>
            </w:tcBorders>
            <w:shd w:val="clear" w:color="auto" w:fill="auto"/>
            <w:noWrap/>
            <w:vAlign w:val="bottom"/>
            <w:hideMark/>
          </w:tcPr>
          <w:p w14:paraId="092F8E93" w14:textId="69389EA2" w:rsidR="000C604C" w:rsidRPr="00B960BD" w:rsidRDefault="000C604C" w:rsidP="000C604C">
            <w:pPr>
              <w:spacing w:before="120" w:after="0" w:line="240" w:lineRule="auto"/>
              <w:rPr>
                <w:rFonts w:eastAsia="Times New Roman" w:cstheme="minorHAnsi"/>
                <w:b/>
                <w:bCs/>
                <w:sz w:val="18"/>
                <w:szCs w:val="18"/>
                <w:lang w:eastAsia="hr-HR"/>
              </w:rPr>
            </w:pPr>
            <w:r w:rsidRPr="00B960BD">
              <w:rPr>
                <w:rFonts w:cstheme="minorHAnsi"/>
                <w:b/>
                <w:bCs/>
                <w:sz w:val="18"/>
                <w:szCs w:val="18"/>
              </w:rPr>
              <w:t>II</w:t>
            </w:r>
          </w:p>
        </w:tc>
        <w:tc>
          <w:tcPr>
            <w:tcW w:w="3758" w:type="dxa"/>
            <w:tcBorders>
              <w:top w:val="single" w:sz="4" w:space="0" w:color="auto"/>
            </w:tcBorders>
            <w:shd w:val="clear" w:color="auto" w:fill="auto"/>
            <w:noWrap/>
            <w:vAlign w:val="bottom"/>
            <w:hideMark/>
          </w:tcPr>
          <w:p w14:paraId="007D5D8C" w14:textId="4C324446" w:rsidR="000C604C" w:rsidRPr="00B960BD" w:rsidRDefault="000C604C" w:rsidP="000C604C">
            <w:pPr>
              <w:spacing w:before="120" w:after="0" w:line="240" w:lineRule="auto"/>
              <w:rPr>
                <w:rFonts w:eastAsia="Times New Roman" w:cstheme="minorHAnsi"/>
                <w:b/>
                <w:bCs/>
                <w:sz w:val="18"/>
                <w:szCs w:val="18"/>
                <w:lang w:eastAsia="hr-HR"/>
              </w:rPr>
            </w:pPr>
            <w:r w:rsidRPr="00B960BD">
              <w:rPr>
                <w:rFonts w:cstheme="minorHAnsi"/>
                <w:b/>
                <w:bCs/>
                <w:sz w:val="18"/>
                <w:szCs w:val="18"/>
              </w:rPr>
              <w:t>FINANCIJSKI RASHODI</w:t>
            </w:r>
          </w:p>
        </w:tc>
        <w:tc>
          <w:tcPr>
            <w:tcW w:w="1247" w:type="dxa"/>
            <w:tcBorders>
              <w:top w:val="single" w:sz="4" w:space="0" w:color="auto"/>
            </w:tcBorders>
            <w:shd w:val="clear" w:color="auto" w:fill="auto"/>
            <w:noWrap/>
            <w:vAlign w:val="bottom"/>
            <w:hideMark/>
          </w:tcPr>
          <w:p w14:paraId="647A638D" w14:textId="0E269555" w:rsidR="000C604C" w:rsidRPr="000C604C" w:rsidRDefault="000C604C" w:rsidP="000C604C">
            <w:pPr>
              <w:spacing w:before="120" w:after="0" w:line="240" w:lineRule="auto"/>
              <w:jc w:val="center"/>
              <w:rPr>
                <w:rFonts w:eastAsia="Times New Roman" w:cstheme="minorHAnsi"/>
                <w:b/>
                <w:bCs/>
                <w:sz w:val="18"/>
                <w:szCs w:val="18"/>
                <w:lang w:eastAsia="hr-HR"/>
              </w:rPr>
            </w:pPr>
            <w:r w:rsidRPr="000C604C">
              <w:rPr>
                <w:rFonts w:ascii="Calibri" w:hAnsi="Calibri" w:cs="Calibri"/>
                <w:b/>
                <w:bCs/>
                <w:sz w:val="18"/>
                <w:szCs w:val="18"/>
              </w:rPr>
              <w:t>141.323</w:t>
            </w:r>
          </w:p>
        </w:tc>
        <w:tc>
          <w:tcPr>
            <w:tcW w:w="1247" w:type="dxa"/>
            <w:tcBorders>
              <w:top w:val="single" w:sz="4" w:space="0" w:color="auto"/>
            </w:tcBorders>
            <w:shd w:val="clear" w:color="auto" w:fill="auto"/>
            <w:noWrap/>
            <w:vAlign w:val="bottom"/>
            <w:hideMark/>
          </w:tcPr>
          <w:p w14:paraId="464A120F" w14:textId="7EB1314D" w:rsidR="000C604C" w:rsidRPr="000C604C" w:rsidRDefault="000C604C" w:rsidP="000C604C">
            <w:pPr>
              <w:spacing w:before="120" w:after="0" w:line="240" w:lineRule="auto"/>
              <w:jc w:val="center"/>
              <w:rPr>
                <w:rFonts w:eastAsia="Times New Roman" w:cstheme="minorHAnsi"/>
                <w:b/>
                <w:bCs/>
                <w:sz w:val="18"/>
                <w:szCs w:val="18"/>
                <w:lang w:eastAsia="hr-HR"/>
              </w:rPr>
            </w:pPr>
            <w:r w:rsidRPr="000C604C">
              <w:rPr>
                <w:rFonts w:ascii="Calibri" w:hAnsi="Calibri" w:cs="Calibri"/>
                <w:b/>
                <w:bCs/>
                <w:sz w:val="18"/>
                <w:szCs w:val="18"/>
              </w:rPr>
              <w:t>120.801</w:t>
            </w:r>
          </w:p>
        </w:tc>
        <w:tc>
          <w:tcPr>
            <w:tcW w:w="1247" w:type="dxa"/>
            <w:tcBorders>
              <w:top w:val="single" w:sz="4" w:space="0" w:color="auto"/>
            </w:tcBorders>
            <w:shd w:val="clear" w:color="auto" w:fill="auto"/>
            <w:noWrap/>
            <w:vAlign w:val="bottom"/>
            <w:hideMark/>
          </w:tcPr>
          <w:p w14:paraId="22A395BA" w14:textId="72C5D412" w:rsidR="000C604C" w:rsidRPr="000C604C" w:rsidRDefault="000C604C" w:rsidP="000C604C">
            <w:pPr>
              <w:spacing w:before="120" w:after="0" w:line="240" w:lineRule="auto"/>
              <w:jc w:val="center"/>
              <w:rPr>
                <w:rFonts w:eastAsia="Times New Roman" w:cstheme="minorHAnsi"/>
                <w:b/>
                <w:bCs/>
                <w:sz w:val="18"/>
                <w:szCs w:val="18"/>
                <w:lang w:eastAsia="hr-HR"/>
              </w:rPr>
            </w:pPr>
            <w:r w:rsidRPr="000C604C">
              <w:rPr>
                <w:rFonts w:ascii="Calibri" w:hAnsi="Calibri" w:cs="Calibri"/>
                <w:b/>
                <w:bCs/>
                <w:sz w:val="18"/>
                <w:szCs w:val="18"/>
              </w:rPr>
              <w:t>152.003</w:t>
            </w:r>
          </w:p>
        </w:tc>
        <w:tc>
          <w:tcPr>
            <w:tcW w:w="737" w:type="dxa"/>
            <w:tcBorders>
              <w:top w:val="single" w:sz="4" w:space="0" w:color="auto"/>
            </w:tcBorders>
            <w:shd w:val="clear" w:color="auto" w:fill="auto"/>
            <w:noWrap/>
            <w:vAlign w:val="bottom"/>
            <w:hideMark/>
          </w:tcPr>
          <w:p w14:paraId="78B3D6F6" w14:textId="1B6B2569" w:rsidR="000C604C" w:rsidRPr="000C604C" w:rsidRDefault="000C604C" w:rsidP="000C604C">
            <w:pPr>
              <w:spacing w:before="120" w:after="0" w:line="240" w:lineRule="auto"/>
              <w:jc w:val="center"/>
              <w:rPr>
                <w:rFonts w:eastAsia="Times New Roman" w:cstheme="minorHAnsi"/>
                <w:b/>
                <w:bCs/>
                <w:sz w:val="18"/>
                <w:szCs w:val="18"/>
                <w:lang w:eastAsia="hr-HR"/>
              </w:rPr>
            </w:pPr>
            <w:r w:rsidRPr="000C604C">
              <w:rPr>
                <w:rFonts w:ascii="Calibri" w:hAnsi="Calibri" w:cs="Calibri"/>
                <w:b/>
                <w:bCs/>
                <w:sz w:val="18"/>
                <w:szCs w:val="18"/>
              </w:rPr>
              <w:t>108%</w:t>
            </w:r>
          </w:p>
        </w:tc>
        <w:tc>
          <w:tcPr>
            <w:tcW w:w="737" w:type="dxa"/>
            <w:tcBorders>
              <w:top w:val="single" w:sz="4" w:space="0" w:color="auto"/>
            </w:tcBorders>
            <w:shd w:val="clear" w:color="auto" w:fill="auto"/>
            <w:noWrap/>
            <w:vAlign w:val="bottom"/>
            <w:hideMark/>
          </w:tcPr>
          <w:p w14:paraId="264A85C4" w14:textId="6B8ECC79" w:rsidR="000C604C" w:rsidRPr="000C604C" w:rsidRDefault="000C604C" w:rsidP="000C604C">
            <w:pPr>
              <w:spacing w:before="120" w:after="0" w:line="240" w:lineRule="auto"/>
              <w:jc w:val="center"/>
              <w:rPr>
                <w:rFonts w:eastAsia="Times New Roman" w:cstheme="minorHAnsi"/>
                <w:b/>
                <w:bCs/>
                <w:sz w:val="18"/>
                <w:szCs w:val="18"/>
                <w:lang w:eastAsia="hr-HR"/>
              </w:rPr>
            </w:pPr>
            <w:r w:rsidRPr="000C604C">
              <w:rPr>
                <w:rFonts w:ascii="Calibri" w:hAnsi="Calibri" w:cs="Calibri"/>
                <w:b/>
                <w:bCs/>
                <w:sz w:val="18"/>
                <w:szCs w:val="18"/>
              </w:rPr>
              <w:t>126%</w:t>
            </w:r>
          </w:p>
        </w:tc>
      </w:tr>
      <w:tr w:rsidR="000C604C" w:rsidRPr="00B931C0" w14:paraId="48D78C9F" w14:textId="77777777" w:rsidTr="000C604C">
        <w:trPr>
          <w:trHeight w:val="283"/>
        </w:trPr>
        <w:tc>
          <w:tcPr>
            <w:tcW w:w="624" w:type="dxa"/>
            <w:shd w:val="clear" w:color="auto" w:fill="auto"/>
            <w:noWrap/>
            <w:vAlign w:val="bottom"/>
            <w:hideMark/>
          </w:tcPr>
          <w:p w14:paraId="0D271E54" w14:textId="715E7D5F"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1</w:t>
            </w:r>
          </w:p>
        </w:tc>
        <w:tc>
          <w:tcPr>
            <w:tcW w:w="3758" w:type="dxa"/>
            <w:shd w:val="clear" w:color="auto" w:fill="auto"/>
            <w:noWrap/>
            <w:vAlign w:val="bottom"/>
            <w:hideMark/>
          </w:tcPr>
          <w:p w14:paraId="30C32A73" w14:textId="04D06D70"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Kamate na kredite banaka</w:t>
            </w:r>
          </w:p>
        </w:tc>
        <w:tc>
          <w:tcPr>
            <w:tcW w:w="1247" w:type="dxa"/>
            <w:shd w:val="clear" w:color="auto" w:fill="auto"/>
            <w:noWrap/>
            <w:vAlign w:val="bottom"/>
            <w:hideMark/>
          </w:tcPr>
          <w:p w14:paraId="4A403E84" w14:textId="23E42DCA"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3.395</w:t>
            </w:r>
          </w:p>
        </w:tc>
        <w:tc>
          <w:tcPr>
            <w:tcW w:w="1247" w:type="dxa"/>
            <w:shd w:val="clear" w:color="auto" w:fill="auto"/>
            <w:noWrap/>
            <w:vAlign w:val="bottom"/>
            <w:hideMark/>
          </w:tcPr>
          <w:p w14:paraId="1DAB2566" w14:textId="10EBD73E"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3.700</w:t>
            </w:r>
          </w:p>
        </w:tc>
        <w:tc>
          <w:tcPr>
            <w:tcW w:w="1247" w:type="dxa"/>
            <w:shd w:val="clear" w:color="auto" w:fill="auto"/>
            <w:noWrap/>
            <w:vAlign w:val="bottom"/>
            <w:hideMark/>
          </w:tcPr>
          <w:p w14:paraId="49C66C8E" w14:textId="08AA23E3"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3.700</w:t>
            </w:r>
          </w:p>
        </w:tc>
        <w:tc>
          <w:tcPr>
            <w:tcW w:w="737" w:type="dxa"/>
            <w:shd w:val="clear" w:color="auto" w:fill="auto"/>
            <w:noWrap/>
            <w:vAlign w:val="bottom"/>
            <w:hideMark/>
          </w:tcPr>
          <w:p w14:paraId="5C3F6DC2" w14:textId="7146FF24"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109%</w:t>
            </w:r>
          </w:p>
        </w:tc>
        <w:tc>
          <w:tcPr>
            <w:tcW w:w="737" w:type="dxa"/>
            <w:shd w:val="clear" w:color="auto" w:fill="auto"/>
            <w:noWrap/>
            <w:vAlign w:val="bottom"/>
            <w:hideMark/>
          </w:tcPr>
          <w:p w14:paraId="08629415" w14:textId="476C7EEA"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100%</w:t>
            </w:r>
          </w:p>
        </w:tc>
      </w:tr>
      <w:tr w:rsidR="000C604C" w:rsidRPr="00B931C0" w14:paraId="1DC0DEE3" w14:textId="77777777" w:rsidTr="000C604C">
        <w:trPr>
          <w:trHeight w:val="283"/>
        </w:trPr>
        <w:tc>
          <w:tcPr>
            <w:tcW w:w="624" w:type="dxa"/>
            <w:shd w:val="clear" w:color="auto" w:fill="auto"/>
            <w:noWrap/>
            <w:vAlign w:val="bottom"/>
            <w:hideMark/>
          </w:tcPr>
          <w:p w14:paraId="103A82EF" w14:textId="6CB2E511"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2</w:t>
            </w:r>
          </w:p>
        </w:tc>
        <w:tc>
          <w:tcPr>
            <w:tcW w:w="3758" w:type="dxa"/>
            <w:shd w:val="clear" w:color="auto" w:fill="auto"/>
            <w:noWrap/>
            <w:vAlign w:val="bottom"/>
            <w:hideMark/>
          </w:tcPr>
          <w:p w14:paraId="2FBDD621" w14:textId="0415FAB4"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Kamate (sanacija odlagališta)</w:t>
            </w:r>
          </w:p>
        </w:tc>
        <w:tc>
          <w:tcPr>
            <w:tcW w:w="1247" w:type="dxa"/>
            <w:shd w:val="clear" w:color="auto" w:fill="auto"/>
            <w:noWrap/>
            <w:vAlign w:val="bottom"/>
            <w:hideMark/>
          </w:tcPr>
          <w:p w14:paraId="20CC7885" w14:textId="490A550B"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47.069</w:t>
            </w:r>
          </w:p>
        </w:tc>
        <w:tc>
          <w:tcPr>
            <w:tcW w:w="1247" w:type="dxa"/>
            <w:shd w:val="clear" w:color="auto" w:fill="auto"/>
            <w:noWrap/>
            <w:vAlign w:val="bottom"/>
            <w:hideMark/>
          </w:tcPr>
          <w:p w14:paraId="5F38598F" w14:textId="7DF48335"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18.000</w:t>
            </w:r>
          </w:p>
        </w:tc>
        <w:tc>
          <w:tcPr>
            <w:tcW w:w="1247" w:type="dxa"/>
            <w:shd w:val="clear" w:color="auto" w:fill="auto"/>
            <w:noWrap/>
            <w:vAlign w:val="bottom"/>
            <w:hideMark/>
          </w:tcPr>
          <w:p w14:paraId="0FD0BB96" w14:textId="3593526B"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49.422</w:t>
            </w:r>
          </w:p>
        </w:tc>
        <w:tc>
          <w:tcPr>
            <w:tcW w:w="737" w:type="dxa"/>
            <w:shd w:val="clear" w:color="auto" w:fill="auto"/>
            <w:noWrap/>
            <w:vAlign w:val="bottom"/>
            <w:hideMark/>
          </w:tcPr>
          <w:p w14:paraId="55B92DE7" w14:textId="4133AA9B"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105%</w:t>
            </w:r>
          </w:p>
        </w:tc>
        <w:tc>
          <w:tcPr>
            <w:tcW w:w="737" w:type="dxa"/>
            <w:shd w:val="clear" w:color="auto" w:fill="auto"/>
            <w:noWrap/>
            <w:vAlign w:val="bottom"/>
            <w:hideMark/>
          </w:tcPr>
          <w:p w14:paraId="3C22CA8A" w14:textId="004EE96D"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275%</w:t>
            </w:r>
          </w:p>
        </w:tc>
      </w:tr>
      <w:tr w:rsidR="000C604C" w:rsidRPr="00B931C0" w14:paraId="52A707D0" w14:textId="77777777" w:rsidTr="000C604C">
        <w:trPr>
          <w:trHeight w:val="283"/>
        </w:trPr>
        <w:tc>
          <w:tcPr>
            <w:tcW w:w="624" w:type="dxa"/>
            <w:shd w:val="clear" w:color="auto" w:fill="auto"/>
            <w:noWrap/>
            <w:vAlign w:val="bottom"/>
            <w:hideMark/>
          </w:tcPr>
          <w:p w14:paraId="0B335A46" w14:textId="6762E265"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3</w:t>
            </w:r>
          </w:p>
        </w:tc>
        <w:tc>
          <w:tcPr>
            <w:tcW w:w="3758" w:type="dxa"/>
            <w:shd w:val="clear" w:color="auto" w:fill="auto"/>
            <w:noWrap/>
            <w:vAlign w:val="bottom"/>
            <w:hideMark/>
          </w:tcPr>
          <w:p w14:paraId="4C1ADE8F" w14:textId="6BB79CF5"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Kamate na kredite pravnih osoba EIB</w:t>
            </w:r>
          </w:p>
        </w:tc>
        <w:tc>
          <w:tcPr>
            <w:tcW w:w="1247" w:type="dxa"/>
            <w:shd w:val="clear" w:color="auto" w:fill="auto"/>
            <w:noWrap/>
            <w:vAlign w:val="bottom"/>
            <w:hideMark/>
          </w:tcPr>
          <w:p w14:paraId="3DD8F774" w14:textId="1AF76010"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83.371</w:t>
            </w:r>
          </w:p>
        </w:tc>
        <w:tc>
          <w:tcPr>
            <w:tcW w:w="1247" w:type="dxa"/>
            <w:shd w:val="clear" w:color="auto" w:fill="auto"/>
            <w:noWrap/>
            <w:vAlign w:val="bottom"/>
            <w:hideMark/>
          </w:tcPr>
          <w:p w14:paraId="4799FF5F" w14:textId="1B02A1F4"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83.373</w:t>
            </w:r>
          </w:p>
        </w:tc>
        <w:tc>
          <w:tcPr>
            <w:tcW w:w="1247" w:type="dxa"/>
            <w:shd w:val="clear" w:color="auto" w:fill="auto"/>
            <w:noWrap/>
            <w:vAlign w:val="bottom"/>
            <w:hideMark/>
          </w:tcPr>
          <w:p w14:paraId="79E6BE5E" w14:textId="14AB4328"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83.374</w:t>
            </w:r>
          </w:p>
        </w:tc>
        <w:tc>
          <w:tcPr>
            <w:tcW w:w="737" w:type="dxa"/>
            <w:shd w:val="clear" w:color="auto" w:fill="auto"/>
            <w:noWrap/>
            <w:vAlign w:val="bottom"/>
            <w:hideMark/>
          </w:tcPr>
          <w:p w14:paraId="24221AB4" w14:textId="5DC833B1"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100%</w:t>
            </w:r>
          </w:p>
        </w:tc>
        <w:tc>
          <w:tcPr>
            <w:tcW w:w="737" w:type="dxa"/>
            <w:shd w:val="clear" w:color="auto" w:fill="auto"/>
            <w:noWrap/>
            <w:vAlign w:val="bottom"/>
            <w:hideMark/>
          </w:tcPr>
          <w:p w14:paraId="4B673D49" w14:textId="50797F17"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100%</w:t>
            </w:r>
          </w:p>
        </w:tc>
      </w:tr>
      <w:tr w:rsidR="000C604C" w:rsidRPr="00B931C0" w14:paraId="17D9DD47" w14:textId="77777777" w:rsidTr="000C604C">
        <w:trPr>
          <w:trHeight w:val="283"/>
        </w:trPr>
        <w:tc>
          <w:tcPr>
            <w:tcW w:w="624" w:type="dxa"/>
            <w:shd w:val="clear" w:color="auto" w:fill="auto"/>
            <w:noWrap/>
            <w:vAlign w:val="bottom"/>
            <w:hideMark/>
          </w:tcPr>
          <w:p w14:paraId="6CE39EC9" w14:textId="022F1ABB"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4</w:t>
            </w:r>
          </w:p>
        </w:tc>
        <w:tc>
          <w:tcPr>
            <w:tcW w:w="3758" w:type="dxa"/>
            <w:shd w:val="clear" w:color="auto" w:fill="auto"/>
            <w:noWrap/>
            <w:vAlign w:val="bottom"/>
            <w:hideMark/>
          </w:tcPr>
          <w:p w14:paraId="734F7842" w14:textId="6917DAF8"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 xml:space="preserve">Kamate iz leasing poslova </w:t>
            </w:r>
          </w:p>
        </w:tc>
        <w:tc>
          <w:tcPr>
            <w:tcW w:w="1247" w:type="dxa"/>
            <w:shd w:val="clear" w:color="auto" w:fill="auto"/>
            <w:noWrap/>
            <w:vAlign w:val="bottom"/>
            <w:hideMark/>
          </w:tcPr>
          <w:p w14:paraId="4AC563E7" w14:textId="7F94D5A4"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2.997</w:t>
            </w:r>
          </w:p>
        </w:tc>
        <w:tc>
          <w:tcPr>
            <w:tcW w:w="1247" w:type="dxa"/>
            <w:shd w:val="clear" w:color="auto" w:fill="auto"/>
            <w:noWrap/>
            <w:vAlign w:val="bottom"/>
            <w:hideMark/>
          </w:tcPr>
          <w:p w14:paraId="11966C5D" w14:textId="03ED6C56"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15.529</w:t>
            </w:r>
          </w:p>
        </w:tc>
        <w:tc>
          <w:tcPr>
            <w:tcW w:w="1247" w:type="dxa"/>
            <w:shd w:val="clear" w:color="auto" w:fill="auto"/>
            <w:noWrap/>
            <w:vAlign w:val="bottom"/>
            <w:hideMark/>
          </w:tcPr>
          <w:p w14:paraId="52C7DE49" w14:textId="3475B0A4"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15.372</w:t>
            </w:r>
          </w:p>
        </w:tc>
        <w:tc>
          <w:tcPr>
            <w:tcW w:w="737" w:type="dxa"/>
            <w:shd w:val="clear" w:color="auto" w:fill="auto"/>
            <w:noWrap/>
            <w:vAlign w:val="bottom"/>
            <w:hideMark/>
          </w:tcPr>
          <w:p w14:paraId="58A780B1" w14:textId="6A3A7808"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513%</w:t>
            </w:r>
          </w:p>
        </w:tc>
        <w:tc>
          <w:tcPr>
            <w:tcW w:w="737" w:type="dxa"/>
            <w:shd w:val="clear" w:color="auto" w:fill="auto"/>
            <w:noWrap/>
            <w:vAlign w:val="bottom"/>
            <w:hideMark/>
          </w:tcPr>
          <w:p w14:paraId="2D00EEE7" w14:textId="220188BD"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99%</w:t>
            </w:r>
          </w:p>
        </w:tc>
      </w:tr>
      <w:tr w:rsidR="000C604C" w:rsidRPr="00B931C0" w14:paraId="05517FEA" w14:textId="77777777" w:rsidTr="000C604C">
        <w:trPr>
          <w:trHeight w:val="283"/>
        </w:trPr>
        <w:tc>
          <w:tcPr>
            <w:tcW w:w="624" w:type="dxa"/>
            <w:shd w:val="clear" w:color="auto" w:fill="auto"/>
            <w:noWrap/>
            <w:vAlign w:val="bottom"/>
            <w:hideMark/>
          </w:tcPr>
          <w:p w14:paraId="1C0A999A" w14:textId="604E6EC5"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5</w:t>
            </w:r>
          </w:p>
        </w:tc>
        <w:tc>
          <w:tcPr>
            <w:tcW w:w="3758" w:type="dxa"/>
            <w:shd w:val="clear" w:color="auto" w:fill="auto"/>
            <w:noWrap/>
            <w:vAlign w:val="bottom"/>
            <w:hideMark/>
          </w:tcPr>
          <w:p w14:paraId="5DB3743F" w14:textId="5A42CA01" w:rsidR="000C604C" w:rsidRPr="00B960BD" w:rsidRDefault="000C604C" w:rsidP="000C604C">
            <w:pPr>
              <w:spacing w:before="120" w:after="0" w:line="240" w:lineRule="auto"/>
              <w:rPr>
                <w:rFonts w:eastAsia="Times New Roman" w:cstheme="minorHAnsi"/>
                <w:sz w:val="18"/>
                <w:szCs w:val="18"/>
                <w:lang w:eastAsia="hr-HR"/>
              </w:rPr>
            </w:pPr>
            <w:r w:rsidRPr="00B960BD">
              <w:rPr>
                <w:rFonts w:cstheme="minorHAnsi"/>
                <w:sz w:val="18"/>
                <w:szCs w:val="18"/>
              </w:rPr>
              <w:t>Zatezne kamate</w:t>
            </w:r>
          </w:p>
        </w:tc>
        <w:tc>
          <w:tcPr>
            <w:tcW w:w="1247" w:type="dxa"/>
            <w:shd w:val="clear" w:color="auto" w:fill="auto"/>
            <w:noWrap/>
            <w:vAlign w:val="bottom"/>
            <w:hideMark/>
          </w:tcPr>
          <w:p w14:paraId="487F83C8" w14:textId="5F2247BC"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4.492</w:t>
            </w:r>
          </w:p>
        </w:tc>
        <w:tc>
          <w:tcPr>
            <w:tcW w:w="1247" w:type="dxa"/>
            <w:shd w:val="clear" w:color="auto" w:fill="auto"/>
            <w:noWrap/>
            <w:vAlign w:val="bottom"/>
            <w:hideMark/>
          </w:tcPr>
          <w:p w14:paraId="5EEF62E6" w14:textId="0C3CFA58"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200</w:t>
            </w:r>
          </w:p>
        </w:tc>
        <w:tc>
          <w:tcPr>
            <w:tcW w:w="1247" w:type="dxa"/>
            <w:shd w:val="clear" w:color="auto" w:fill="auto"/>
            <w:noWrap/>
            <w:vAlign w:val="bottom"/>
            <w:hideMark/>
          </w:tcPr>
          <w:p w14:paraId="20B20A31" w14:textId="70F4903B"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134</w:t>
            </w:r>
          </w:p>
        </w:tc>
        <w:tc>
          <w:tcPr>
            <w:tcW w:w="737" w:type="dxa"/>
            <w:shd w:val="clear" w:color="auto" w:fill="auto"/>
            <w:noWrap/>
            <w:vAlign w:val="bottom"/>
            <w:hideMark/>
          </w:tcPr>
          <w:p w14:paraId="693DBE35" w14:textId="5CEC1A33"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3%</w:t>
            </w:r>
          </w:p>
        </w:tc>
        <w:tc>
          <w:tcPr>
            <w:tcW w:w="737" w:type="dxa"/>
            <w:shd w:val="clear" w:color="auto" w:fill="auto"/>
            <w:noWrap/>
            <w:vAlign w:val="bottom"/>
            <w:hideMark/>
          </w:tcPr>
          <w:p w14:paraId="00B6F13E" w14:textId="2B50E417" w:rsidR="000C604C" w:rsidRPr="000C604C" w:rsidRDefault="000C604C" w:rsidP="000C604C">
            <w:pPr>
              <w:spacing w:before="120" w:after="0" w:line="240" w:lineRule="auto"/>
              <w:jc w:val="center"/>
              <w:rPr>
                <w:rFonts w:eastAsia="Times New Roman" w:cstheme="minorHAnsi"/>
                <w:sz w:val="18"/>
                <w:szCs w:val="18"/>
                <w:lang w:eastAsia="hr-HR"/>
              </w:rPr>
            </w:pPr>
            <w:r w:rsidRPr="000C604C">
              <w:rPr>
                <w:rFonts w:ascii="Calibri" w:hAnsi="Calibri" w:cs="Calibri"/>
                <w:sz w:val="18"/>
                <w:szCs w:val="18"/>
              </w:rPr>
              <w:t>67%</w:t>
            </w:r>
          </w:p>
        </w:tc>
      </w:tr>
    </w:tbl>
    <w:p w14:paraId="2429BAB0" w14:textId="71DC6F76" w:rsidR="00A5349F" w:rsidRDefault="00A5349F" w:rsidP="00B03986">
      <w:pPr>
        <w:rPr>
          <w:color w:val="FF0000"/>
        </w:rPr>
      </w:pPr>
    </w:p>
    <w:p w14:paraId="167402D1" w14:textId="77777777" w:rsidR="000C604C" w:rsidRDefault="000C604C">
      <w:r>
        <w:br w:type="page"/>
      </w:r>
    </w:p>
    <w:p w14:paraId="06F39C0F" w14:textId="4AAC1E75" w:rsidR="00B917D4" w:rsidRPr="007F4F07" w:rsidRDefault="00B917D4" w:rsidP="00B917D4">
      <w:pPr>
        <w:spacing w:line="360" w:lineRule="auto"/>
        <w:jc w:val="both"/>
      </w:pPr>
      <w:r w:rsidRPr="007F4F07">
        <w:lastRenderedPageBreak/>
        <w:t>Iz analitički prikazanih troškova ostvarenih u 202</w:t>
      </w:r>
      <w:r w:rsidR="000C604C">
        <w:t>4</w:t>
      </w:r>
      <w:r w:rsidRPr="007F4F07">
        <w:t>. godini u odnosu na ostvarenje u 202</w:t>
      </w:r>
      <w:r w:rsidR="000C604C">
        <w:t>3</w:t>
      </w:r>
      <w:r w:rsidRPr="007F4F07">
        <w:t>. godini može se zaključiti da su financijski rashodi povećani u vidu troškova:</w:t>
      </w:r>
    </w:p>
    <w:p w14:paraId="71CC4082" w14:textId="731763D4" w:rsidR="00815995" w:rsidRDefault="00815995">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kamata na kredite banaka</w:t>
      </w:r>
      <w:r w:rsidR="00941D9D">
        <w:rPr>
          <w:rFonts w:asciiTheme="minorHAnsi" w:hAnsiTheme="minorHAnsi" w:cstheme="minorHAnsi"/>
          <w:sz w:val="22"/>
          <w:szCs w:val="22"/>
        </w:rPr>
        <w:t xml:space="preserve"> (+9%) - </w:t>
      </w:r>
      <w:r>
        <w:rPr>
          <w:rFonts w:asciiTheme="minorHAnsi" w:hAnsiTheme="minorHAnsi" w:cstheme="minorHAnsi"/>
          <w:sz w:val="22"/>
          <w:szCs w:val="22"/>
        </w:rPr>
        <w:t xml:space="preserve"> povećanje iznosa okvirnih kredita</w:t>
      </w:r>
    </w:p>
    <w:p w14:paraId="09E28F42" w14:textId="1F6AF761" w:rsidR="007E3AFA" w:rsidRDefault="00DA2DEA">
      <w:pPr>
        <w:pStyle w:val="ListParagraph"/>
        <w:numPr>
          <w:ilvl w:val="0"/>
          <w:numId w:val="4"/>
        </w:numPr>
        <w:spacing w:line="360" w:lineRule="auto"/>
        <w:jc w:val="both"/>
        <w:rPr>
          <w:rFonts w:asciiTheme="minorHAnsi" w:hAnsiTheme="minorHAnsi" w:cstheme="minorHAnsi"/>
          <w:sz w:val="22"/>
          <w:szCs w:val="22"/>
        </w:rPr>
      </w:pPr>
      <w:r w:rsidRPr="007F4F07">
        <w:rPr>
          <w:rFonts w:asciiTheme="minorHAnsi" w:hAnsiTheme="minorHAnsi" w:cstheme="minorHAnsi"/>
          <w:sz w:val="22"/>
          <w:szCs w:val="22"/>
        </w:rPr>
        <w:t>k</w:t>
      </w:r>
      <w:r w:rsidR="007E3AFA" w:rsidRPr="007F4F07">
        <w:rPr>
          <w:rFonts w:asciiTheme="minorHAnsi" w:hAnsiTheme="minorHAnsi" w:cstheme="minorHAnsi"/>
          <w:sz w:val="22"/>
          <w:szCs w:val="22"/>
        </w:rPr>
        <w:t>amat</w:t>
      </w:r>
      <w:r w:rsidR="007F4F07">
        <w:rPr>
          <w:rFonts w:asciiTheme="minorHAnsi" w:hAnsiTheme="minorHAnsi" w:cstheme="minorHAnsi"/>
          <w:sz w:val="22"/>
          <w:szCs w:val="22"/>
        </w:rPr>
        <w:t>a</w:t>
      </w:r>
      <w:r w:rsidR="00197B46" w:rsidRPr="007F4F07">
        <w:rPr>
          <w:rFonts w:asciiTheme="minorHAnsi" w:hAnsiTheme="minorHAnsi" w:cstheme="minorHAnsi"/>
          <w:sz w:val="22"/>
          <w:szCs w:val="22"/>
        </w:rPr>
        <w:t xml:space="preserve"> za</w:t>
      </w:r>
      <w:r w:rsidR="007E3AFA" w:rsidRPr="007F4F07">
        <w:rPr>
          <w:rFonts w:asciiTheme="minorHAnsi" w:hAnsiTheme="minorHAnsi" w:cstheme="minorHAnsi"/>
          <w:sz w:val="22"/>
          <w:szCs w:val="22"/>
        </w:rPr>
        <w:t xml:space="preserve"> </w:t>
      </w:r>
      <w:r w:rsidR="00197B46" w:rsidRPr="007F4F07">
        <w:rPr>
          <w:rFonts w:asciiTheme="minorHAnsi" w:hAnsiTheme="minorHAnsi" w:cstheme="minorHAnsi"/>
          <w:sz w:val="22"/>
          <w:szCs w:val="22"/>
        </w:rPr>
        <w:t>sanaciju odlagališta</w:t>
      </w:r>
      <w:r w:rsidR="006879A2">
        <w:rPr>
          <w:rFonts w:asciiTheme="minorHAnsi" w:hAnsiTheme="minorHAnsi" w:cstheme="minorHAnsi"/>
          <w:sz w:val="22"/>
          <w:szCs w:val="22"/>
        </w:rPr>
        <w:t xml:space="preserve"> (+5%)</w:t>
      </w:r>
      <w:r w:rsidR="00197B46" w:rsidRPr="007F4F07">
        <w:rPr>
          <w:rFonts w:asciiTheme="minorHAnsi" w:hAnsiTheme="minorHAnsi" w:cstheme="minorHAnsi"/>
          <w:sz w:val="22"/>
          <w:szCs w:val="22"/>
        </w:rPr>
        <w:t xml:space="preserve"> </w:t>
      </w:r>
      <w:r w:rsidR="006879A2">
        <w:rPr>
          <w:rFonts w:asciiTheme="minorHAnsi" w:hAnsiTheme="minorHAnsi" w:cstheme="minorHAnsi"/>
          <w:sz w:val="22"/>
          <w:szCs w:val="22"/>
        </w:rPr>
        <w:t xml:space="preserve">- </w:t>
      </w:r>
      <w:r w:rsidR="00197B46" w:rsidRPr="007F4F07">
        <w:rPr>
          <w:rFonts w:asciiTheme="minorHAnsi" w:hAnsiTheme="minorHAnsi" w:cstheme="minorHAnsi"/>
          <w:sz w:val="22"/>
          <w:szCs w:val="22"/>
        </w:rPr>
        <w:t xml:space="preserve">ukalkulirane kao budući trošak kamata koji će se odnositi na </w:t>
      </w:r>
      <w:r w:rsidR="007E3AFA" w:rsidRPr="007F4F07">
        <w:rPr>
          <w:rFonts w:asciiTheme="minorHAnsi" w:hAnsiTheme="minorHAnsi" w:cstheme="minorHAnsi"/>
          <w:sz w:val="22"/>
          <w:szCs w:val="22"/>
        </w:rPr>
        <w:t xml:space="preserve"> </w:t>
      </w:r>
      <w:r w:rsidRPr="007F4F07">
        <w:rPr>
          <w:rFonts w:asciiTheme="minorHAnsi" w:hAnsiTheme="minorHAnsi" w:cstheme="minorHAnsi"/>
          <w:sz w:val="22"/>
          <w:szCs w:val="22"/>
        </w:rPr>
        <w:t>i</w:t>
      </w:r>
      <w:r w:rsidR="00197B46" w:rsidRPr="007F4F07">
        <w:rPr>
          <w:rFonts w:asciiTheme="minorHAnsi" w:hAnsiTheme="minorHAnsi" w:cstheme="minorHAnsi"/>
          <w:sz w:val="22"/>
          <w:szCs w:val="22"/>
        </w:rPr>
        <w:t>nvesticiju</w:t>
      </w:r>
      <w:r w:rsidRPr="007F4F07">
        <w:rPr>
          <w:rFonts w:asciiTheme="minorHAnsi" w:hAnsiTheme="minorHAnsi" w:cstheme="minorHAnsi"/>
          <w:sz w:val="22"/>
          <w:szCs w:val="22"/>
        </w:rPr>
        <w:t xml:space="preserve"> zatvaranja odlagališnih ploh</w:t>
      </w:r>
      <w:r w:rsidR="006879A2">
        <w:rPr>
          <w:rFonts w:asciiTheme="minorHAnsi" w:hAnsiTheme="minorHAnsi" w:cstheme="minorHAnsi"/>
          <w:sz w:val="22"/>
          <w:szCs w:val="22"/>
        </w:rPr>
        <w:t>a</w:t>
      </w:r>
    </w:p>
    <w:p w14:paraId="521DF34A" w14:textId="70B60063" w:rsidR="00815995" w:rsidRPr="00840E6B" w:rsidRDefault="00941D9D">
      <w:pPr>
        <w:pStyle w:val="ListParagraph"/>
        <w:numPr>
          <w:ilvl w:val="0"/>
          <w:numId w:val="4"/>
        </w:numPr>
        <w:spacing w:line="360" w:lineRule="auto"/>
        <w:jc w:val="both"/>
        <w:rPr>
          <w:rFonts w:asciiTheme="minorHAnsi" w:hAnsiTheme="minorHAnsi" w:cstheme="minorHAnsi"/>
          <w:sz w:val="22"/>
          <w:szCs w:val="22"/>
        </w:rPr>
      </w:pPr>
      <w:r>
        <w:rPr>
          <w:rFonts w:asciiTheme="minorHAnsi" w:hAnsiTheme="minorHAnsi" w:cstheme="minorHAnsi"/>
          <w:sz w:val="22"/>
          <w:szCs w:val="22"/>
        </w:rPr>
        <w:t>kamate iz leasing poslova</w:t>
      </w:r>
      <w:r w:rsidR="006879A2">
        <w:rPr>
          <w:rFonts w:asciiTheme="minorHAnsi" w:hAnsiTheme="minorHAnsi" w:cstheme="minorHAnsi"/>
          <w:sz w:val="22"/>
          <w:szCs w:val="22"/>
        </w:rPr>
        <w:t xml:space="preserve"> (+413%)</w:t>
      </w:r>
      <w:r>
        <w:rPr>
          <w:rFonts w:asciiTheme="minorHAnsi" w:hAnsiTheme="minorHAnsi" w:cstheme="minorHAnsi"/>
          <w:sz w:val="22"/>
          <w:szCs w:val="22"/>
        </w:rPr>
        <w:t xml:space="preserve"> – nabava novih poluprikolica</w:t>
      </w:r>
    </w:p>
    <w:p w14:paraId="6002C68E" w14:textId="77777777" w:rsidR="007F4F07" w:rsidRPr="00840E6B" w:rsidRDefault="007F4F07" w:rsidP="007F4F07">
      <w:pPr>
        <w:pStyle w:val="ListParagraph"/>
        <w:spacing w:line="360" w:lineRule="auto"/>
        <w:ind w:left="1065"/>
        <w:jc w:val="both"/>
        <w:rPr>
          <w:rFonts w:asciiTheme="minorHAnsi" w:hAnsiTheme="minorHAnsi" w:cstheme="minorHAnsi"/>
          <w:sz w:val="22"/>
          <w:szCs w:val="22"/>
        </w:rPr>
      </w:pPr>
    </w:p>
    <w:p w14:paraId="285BBD16" w14:textId="1D9FB6EA" w:rsidR="0022261F" w:rsidRPr="00CD347F" w:rsidRDefault="00815995" w:rsidP="00CD347F">
      <w:pPr>
        <w:spacing w:line="360" w:lineRule="auto"/>
        <w:jc w:val="both"/>
      </w:pPr>
      <w:r w:rsidRPr="00772736">
        <w:t>Troškovi koji su ostali na razini troškova prethodnog razdoblja su troškov</w:t>
      </w:r>
      <w:r>
        <w:t xml:space="preserve">i kamata za </w:t>
      </w:r>
      <w:r w:rsidR="00BF52F3">
        <w:t>zajam</w:t>
      </w:r>
      <w:r w:rsidR="00F16885">
        <w:t xml:space="preserve"> Ministarstva financija za izgradnju Centra</w:t>
      </w:r>
      <w:r w:rsidR="00BF52F3">
        <w:t xml:space="preserve"> (EIB kredit)</w:t>
      </w:r>
      <w:r w:rsidR="002110AC">
        <w:t>.</w:t>
      </w:r>
      <w:r w:rsidR="006879A2">
        <w:t xml:space="preserve"> Istodobno su smanjeni troškovi zateznih kamata jer nije bili </w:t>
      </w:r>
      <w:r w:rsidR="00396013">
        <w:t>značajnijih</w:t>
      </w:r>
      <w:r w:rsidR="006879A2">
        <w:t xml:space="preserve"> kašnjenja u plaćanju.</w:t>
      </w:r>
      <w:r w:rsidR="00A33BA4" w:rsidRPr="00CD347F">
        <w:br w:type="page"/>
      </w:r>
    </w:p>
    <w:p w14:paraId="3971D323" w14:textId="77777777" w:rsidR="006A0FD6" w:rsidRDefault="006A0FD6" w:rsidP="00281FBE">
      <w:pPr>
        <w:pStyle w:val="Heading2"/>
        <w:sectPr w:rsidR="006A0FD6" w:rsidSect="002C1053">
          <w:footerReference w:type="first" r:id="rId19"/>
          <w:pgSz w:w="11906" w:h="16838"/>
          <w:pgMar w:top="1418" w:right="1418" w:bottom="1418" w:left="1418" w:header="709" w:footer="709" w:gutter="0"/>
          <w:cols w:space="708"/>
          <w:titlePg/>
          <w:docGrid w:linePitch="360"/>
        </w:sectPr>
      </w:pPr>
      <w:bookmarkStart w:id="87" w:name="_Hlk104289516"/>
    </w:p>
    <w:p w14:paraId="2241DC06" w14:textId="53A2A14E" w:rsidR="006A0FD6" w:rsidRDefault="00281FBE" w:rsidP="006A0FD6">
      <w:pPr>
        <w:pStyle w:val="Heading2"/>
        <w:spacing w:before="120"/>
      </w:pPr>
      <w:bookmarkStart w:id="88" w:name="_Toc200094295"/>
      <w:r w:rsidRPr="00117C16">
        <w:lastRenderedPageBreak/>
        <w:t>4. INVESTICIJSKA ULAGANJA</w:t>
      </w:r>
      <w:bookmarkEnd w:id="88"/>
    </w:p>
    <w:p w14:paraId="5C88ECBF" w14:textId="77777777" w:rsidR="00DA7941" w:rsidRPr="00DA7941" w:rsidRDefault="00DA7941" w:rsidP="00DA7941"/>
    <w:p w14:paraId="58C573A7" w14:textId="6476466A" w:rsidR="00A33BA4" w:rsidRPr="00117C16" w:rsidRDefault="00281FBE" w:rsidP="00E77088">
      <w:pPr>
        <w:pStyle w:val="Heading3"/>
      </w:pPr>
      <w:bookmarkStart w:id="89" w:name="_Toc200094296"/>
      <w:r w:rsidRPr="00117C16">
        <w:t>4.1. Realizacija plana investicijskih ulaganja</w:t>
      </w:r>
      <w:bookmarkEnd w:id="89"/>
    </w:p>
    <w:p w14:paraId="129CBE59" w14:textId="43F33EC3" w:rsidR="001C68C2" w:rsidRPr="00117C16" w:rsidRDefault="001C68C2" w:rsidP="00840E6B">
      <w:pPr>
        <w:spacing w:before="240" w:after="240"/>
      </w:pPr>
      <w:r w:rsidRPr="00117C16">
        <w:t xml:space="preserve">Investicijska ulaganja usvojena su </w:t>
      </w:r>
      <w:r w:rsidR="002C2FA7" w:rsidRPr="00117C16">
        <w:t>planom</w:t>
      </w:r>
      <w:r w:rsidRPr="00117C16">
        <w:t xml:space="preserve"> </w:t>
      </w:r>
      <w:r w:rsidR="00117C16" w:rsidRPr="00117C16">
        <w:t xml:space="preserve"> odnosno rebalans</w:t>
      </w:r>
      <w:r w:rsidR="00DA7941">
        <w:t>om</w:t>
      </w:r>
      <w:r w:rsidR="00117C16" w:rsidRPr="00117C16">
        <w:t xml:space="preserve"> plana </w:t>
      </w:r>
      <w:r w:rsidRPr="00117C16">
        <w:t>za 20</w:t>
      </w:r>
      <w:r w:rsidR="00745C11" w:rsidRPr="00117C16">
        <w:t>2</w:t>
      </w:r>
      <w:r w:rsidR="00D70138">
        <w:t>4</w:t>
      </w:r>
      <w:r w:rsidRPr="00117C16">
        <w:t xml:space="preserve">. godinu.  </w:t>
      </w:r>
    </w:p>
    <w:p w14:paraId="70B678F7" w14:textId="4365221B" w:rsidR="001C68C2" w:rsidRPr="00117C16" w:rsidRDefault="00CC13E6" w:rsidP="00840E6B">
      <w:pPr>
        <w:pStyle w:val="Caption"/>
        <w:spacing w:before="240" w:after="240"/>
        <w:rPr>
          <w:rFonts w:cstheme="minorHAnsi"/>
        </w:rPr>
      </w:pPr>
      <w:bookmarkStart w:id="90" w:name="_Toc200366478"/>
      <w:r w:rsidRPr="00117C16">
        <w:rPr>
          <w:rFonts w:asciiTheme="minorHAnsi" w:hAnsiTheme="minorHAnsi" w:cstheme="minorHAnsi"/>
          <w:sz w:val="22"/>
          <w:szCs w:val="22"/>
        </w:rPr>
        <w:t xml:space="preserve">Tablica </w:t>
      </w:r>
      <w:r w:rsidRPr="00117C16">
        <w:rPr>
          <w:rFonts w:cstheme="minorHAnsi"/>
          <w:b w:val="0"/>
          <w:bCs w:val="0"/>
        </w:rPr>
        <w:fldChar w:fldCharType="begin"/>
      </w:r>
      <w:r w:rsidRPr="00117C16">
        <w:rPr>
          <w:rFonts w:asciiTheme="minorHAnsi" w:hAnsiTheme="minorHAnsi" w:cstheme="minorHAnsi"/>
          <w:sz w:val="22"/>
          <w:szCs w:val="22"/>
        </w:rPr>
        <w:instrText xml:space="preserve"> SEQ Tablica \* ARABIC </w:instrText>
      </w:r>
      <w:r w:rsidRPr="00117C16">
        <w:rPr>
          <w:rFonts w:cstheme="minorHAnsi"/>
          <w:b w:val="0"/>
          <w:bCs w:val="0"/>
        </w:rPr>
        <w:fldChar w:fldCharType="separate"/>
      </w:r>
      <w:r w:rsidR="00A1075A">
        <w:rPr>
          <w:rFonts w:asciiTheme="minorHAnsi" w:hAnsiTheme="minorHAnsi" w:cstheme="minorHAnsi"/>
          <w:noProof/>
          <w:sz w:val="22"/>
          <w:szCs w:val="22"/>
        </w:rPr>
        <w:t>40</w:t>
      </w:r>
      <w:r w:rsidRPr="00117C16">
        <w:rPr>
          <w:rFonts w:cstheme="minorHAnsi"/>
          <w:b w:val="0"/>
          <w:bCs w:val="0"/>
        </w:rPr>
        <w:fldChar w:fldCharType="end"/>
      </w:r>
      <w:r w:rsidRPr="00117C16">
        <w:rPr>
          <w:rFonts w:asciiTheme="minorHAnsi" w:hAnsiTheme="minorHAnsi" w:cstheme="minorHAnsi"/>
          <w:sz w:val="22"/>
          <w:szCs w:val="22"/>
        </w:rPr>
        <w:t xml:space="preserve">. </w:t>
      </w:r>
      <w:r w:rsidRPr="00117C16">
        <w:rPr>
          <w:rFonts w:asciiTheme="minorHAnsi" w:hAnsiTheme="minorHAnsi" w:cstheme="minorHAnsi"/>
          <w:b w:val="0"/>
          <w:bCs w:val="0"/>
          <w:sz w:val="22"/>
          <w:szCs w:val="22"/>
        </w:rPr>
        <w:t>Investicijska ulaganja</w:t>
      </w:r>
      <w:r w:rsidR="0061169D" w:rsidRPr="00117C16">
        <w:rPr>
          <w:rFonts w:asciiTheme="minorHAnsi" w:hAnsiTheme="minorHAnsi" w:cstheme="minorHAnsi"/>
          <w:b w:val="0"/>
          <w:bCs w:val="0"/>
          <w:sz w:val="22"/>
          <w:szCs w:val="22"/>
        </w:rPr>
        <w:t xml:space="preserve"> 202</w:t>
      </w:r>
      <w:r w:rsidR="00D70138">
        <w:rPr>
          <w:rFonts w:asciiTheme="minorHAnsi" w:hAnsiTheme="minorHAnsi" w:cstheme="minorHAnsi"/>
          <w:b w:val="0"/>
          <w:bCs w:val="0"/>
          <w:sz w:val="22"/>
          <w:szCs w:val="22"/>
        </w:rPr>
        <w:t>4</w:t>
      </w:r>
      <w:r w:rsidR="0061169D" w:rsidRPr="00117C16">
        <w:rPr>
          <w:rFonts w:asciiTheme="minorHAnsi" w:hAnsiTheme="minorHAnsi" w:cstheme="minorHAnsi"/>
          <w:b w:val="0"/>
          <w:bCs w:val="0"/>
          <w:sz w:val="22"/>
          <w:szCs w:val="22"/>
        </w:rPr>
        <w:t>.g</w:t>
      </w:r>
      <w:bookmarkEnd w:id="90"/>
    </w:p>
    <w:tbl>
      <w:tblPr>
        <w:tblW w:w="10623" w:type="dxa"/>
        <w:tblInd w:w="-444" w:type="dxa"/>
        <w:tblLook w:val="04A0" w:firstRow="1" w:lastRow="0" w:firstColumn="1" w:lastColumn="0" w:noHBand="0" w:noVBand="1"/>
      </w:tblPr>
      <w:tblGrid>
        <w:gridCol w:w="658"/>
        <w:gridCol w:w="2665"/>
        <w:gridCol w:w="1011"/>
        <w:gridCol w:w="1027"/>
        <w:gridCol w:w="1261"/>
        <w:gridCol w:w="875"/>
        <w:gridCol w:w="663"/>
        <w:gridCol w:w="1016"/>
        <w:gridCol w:w="1192"/>
        <w:gridCol w:w="255"/>
      </w:tblGrid>
      <w:tr w:rsidR="00BE013F" w:rsidRPr="00BE013F" w14:paraId="39EDD0E2" w14:textId="77777777" w:rsidTr="00F84B6F">
        <w:trPr>
          <w:gridAfter w:val="1"/>
          <w:wAfter w:w="255" w:type="dxa"/>
          <w:trHeight w:val="450"/>
        </w:trPr>
        <w:tc>
          <w:tcPr>
            <w:tcW w:w="658" w:type="dxa"/>
            <w:vMerge w:val="restart"/>
            <w:tcBorders>
              <w:top w:val="single" w:sz="4" w:space="0" w:color="auto"/>
              <w:left w:val="single" w:sz="4" w:space="0" w:color="auto"/>
              <w:bottom w:val="single" w:sz="4" w:space="0" w:color="auto"/>
            </w:tcBorders>
            <w:shd w:val="clear" w:color="auto" w:fill="auto"/>
            <w:noWrap/>
            <w:vAlign w:val="center"/>
            <w:hideMark/>
          </w:tcPr>
          <w:p w14:paraId="2C25E99C"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R.br.</w:t>
            </w:r>
          </w:p>
        </w:tc>
        <w:tc>
          <w:tcPr>
            <w:tcW w:w="2665" w:type="dxa"/>
            <w:vMerge w:val="restart"/>
            <w:tcBorders>
              <w:top w:val="single" w:sz="4" w:space="0" w:color="auto"/>
              <w:bottom w:val="single" w:sz="4" w:space="0" w:color="auto"/>
            </w:tcBorders>
            <w:shd w:val="clear" w:color="auto" w:fill="auto"/>
            <w:noWrap/>
            <w:vAlign w:val="center"/>
            <w:hideMark/>
          </w:tcPr>
          <w:p w14:paraId="457FC2D0"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OPIS</w:t>
            </w:r>
          </w:p>
        </w:tc>
        <w:tc>
          <w:tcPr>
            <w:tcW w:w="1011" w:type="dxa"/>
            <w:vMerge w:val="restart"/>
            <w:tcBorders>
              <w:top w:val="single" w:sz="4" w:space="0" w:color="auto"/>
              <w:bottom w:val="single" w:sz="4" w:space="0" w:color="auto"/>
            </w:tcBorders>
            <w:shd w:val="clear" w:color="auto" w:fill="auto"/>
            <w:vAlign w:val="center"/>
            <w:hideMark/>
          </w:tcPr>
          <w:p w14:paraId="516187CB"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Plan 2024.</w:t>
            </w:r>
          </w:p>
        </w:tc>
        <w:tc>
          <w:tcPr>
            <w:tcW w:w="1027" w:type="dxa"/>
            <w:vMerge w:val="restart"/>
            <w:tcBorders>
              <w:top w:val="single" w:sz="4" w:space="0" w:color="auto"/>
              <w:bottom w:val="single" w:sz="4" w:space="0" w:color="auto"/>
            </w:tcBorders>
            <w:shd w:val="clear" w:color="auto" w:fill="auto"/>
            <w:vAlign w:val="center"/>
            <w:hideMark/>
          </w:tcPr>
          <w:p w14:paraId="25A3559B"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Rebalans plana 2024.</w:t>
            </w:r>
          </w:p>
        </w:tc>
        <w:tc>
          <w:tcPr>
            <w:tcW w:w="1261" w:type="dxa"/>
            <w:vMerge w:val="restart"/>
            <w:tcBorders>
              <w:top w:val="single" w:sz="4" w:space="0" w:color="auto"/>
              <w:bottom w:val="single" w:sz="4" w:space="0" w:color="auto"/>
            </w:tcBorders>
            <w:shd w:val="clear" w:color="auto" w:fill="auto"/>
            <w:vAlign w:val="center"/>
            <w:hideMark/>
          </w:tcPr>
          <w:p w14:paraId="0617F381"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Realizacija 31.12.2024</w:t>
            </w:r>
          </w:p>
        </w:tc>
        <w:tc>
          <w:tcPr>
            <w:tcW w:w="875" w:type="dxa"/>
            <w:vMerge w:val="restart"/>
            <w:tcBorders>
              <w:top w:val="single" w:sz="4" w:space="0" w:color="auto"/>
              <w:bottom w:val="single" w:sz="4" w:space="0" w:color="auto"/>
            </w:tcBorders>
            <w:shd w:val="clear" w:color="auto" w:fill="auto"/>
            <w:vAlign w:val="center"/>
            <w:hideMark/>
          </w:tcPr>
          <w:p w14:paraId="5FE54752"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indeks (5/4)</w:t>
            </w:r>
          </w:p>
        </w:tc>
        <w:tc>
          <w:tcPr>
            <w:tcW w:w="2871" w:type="dxa"/>
            <w:gridSpan w:val="3"/>
            <w:vMerge w:val="restart"/>
            <w:tcBorders>
              <w:top w:val="single" w:sz="4" w:space="0" w:color="auto"/>
              <w:bottom w:val="single" w:sz="4" w:space="0" w:color="auto"/>
              <w:right w:val="single" w:sz="4" w:space="0" w:color="auto"/>
            </w:tcBorders>
            <w:shd w:val="clear" w:color="auto" w:fill="auto"/>
            <w:vAlign w:val="center"/>
            <w:hideMark/>
          </w:tcPr>
          <w:p w14:paraId="79EDFC1D"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 xml:space="preserve"> IZVORI FINANCIRANJA </w:t>
            </w:r>
          </w:p>
        </w:tc>
      </w:tr>
      <w:tr w:rsidR="00BE013F" w:rsidRPr="00BE013F" w14:paraId="399F2F29" w14:textId="77777777" w:rsidTr="00F84B6F">
        <w:trPr>
          <w:trHeight w:val="351"/>
        </w:trPr>
        <w:tc>
          <w:tcPr>
            <w:tcW w:w="658" w:type="dxa"/>
            <w:vMerge/>
            <w:tcBorders>
              <w:top w:val="single" w:sz="4" w:space="0" w:color="auto"/>
              <w:left w:val="single" w:sz="4" w:space="0" w:color="auto"/>
              <w:bottom w:val="single" w:sz="4" w:space="0" w:color="auto"/>
            </w:tcBorders>
            <w:vAlign w:val="center"/>
            <w:hideMark/>
          </w:tcPr>
          <w:p w14:paraId="73733AC0"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2665" w:type="dxa"/>
            <w:vMerge/>
            <w:tcBorders>
              <w:top w:val="single" w:sz="4" w:space="0" w:color="auto"/>
              <w:bottom w:val="single" w:sz="4" w:space="0" w:color="auto"/>
            </w:tcBorders>
            <w:vAlign w:val="center"/>
            <w:hideMark/>
          </w:tcPr>
          <w:p w14:paraId="26A1D0FC"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1011" w:type="dxa"/>
            <w:vMerge/>
            <w:tcBorders>
              <w:top w:val="single" w:sz="4" w:space="0" w:color="auto"/>
              <w:bottom w:val="single" w:sz="4" w:space="0" w:color="auto"/>
            </w:tcBorders>
            <w:vAlign w:val="center"/>
            <w:hideMark/>
          </w:tcPr>
          <w:p w14:paraId="28DB297E"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1027" w:type="dxa"/>
            <w:vMerge/>
            <w:tcBorders>
              <w:top w:val="single" w:sz="4" w:space="0" w:color="auto"/>
              <w:bottom w:val="single" w:sz="4" w:space="0" w:color="auto"/>
            </w:tcBorders>
            <w:vAlign w:val="center"/>
            <w:hideMark/>
          </w:tcPr>
          <w:p w14:paraId="7AD3875C"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1261" w:type="dxa"/>
            <w:vMerge/>
            <w:tcBorders>
              <w:top w:val="single" w:sz="4" w:space="0" w:color="auto"/>
              <w:bottom w:val="single" w:sz="4" w:space="0" w:color="auto"/>
            </w:tcBorders>
            <w:vAlign w:val="center"/>
            <w:hideMark/>
          </w:tcPr>
          <w:p w14:paraId="1FFCC44B"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875" w:type="dxa"/>
            <w:vMerge/>
            <w:tcBorders>
              <w:top w:val="single" w:sz="4" w:space="0" w:color="auto"/>
              <w:bottom w:val="single" w:sz="4" w:space="0" w:color="auto"/>
            </w:tcBorders>
            <w:vAlign w:val="center"/>
            <w:hideMark/>
          </w:tcPr>
          <w:p w14:paraId="3F032C11"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2871" w:type="dxa"/>
            <w:gridSpan w:val="3"/>
            <w:vMerge/>
            <w:tcBorders>
              <w:top w:val="single" w:sz="4" w:space="0" w:color="auto"/>
              <w:bottom w:val="single" w:sz="4" w:space="0" w:color="auto"/>
              <w:right w:val="single" w:sz="4" w:space="0" w:color="auto"/>
            </w:tcBorders>
            <w:vAlign w:val="center"/>
            <w:hideMark/>
          </w:tcPr>
          <w:p w14:paraId="77BE5234" w14:textId="77777777" w:rsidR="00BE013F" w:rsidRPr="00BE013F" w:rsidRDefault="00BE013F" w:rsidP="00BE013F">
            <w:pPr>
              <w:spacing w:after="0" w:line="240" w:lineRule="auto"/>
              <w:rPr>
                <w:rFonts w:ascii="Calibri" w:eastAsia="Times New Roman" w:hAnsi="Calibri" w:cs="Calibri"/>
                <w:b/>
                <w:bCs/>
                <w:sz w:val="18"/>
                <w:szCs w:val="18"/>
                <w:lang w:eastAsia="hr-HR"/>
              </w:rPr>
            </w:pPr>
          </w:p>
        </w:tc>
        <w:tc>
          <w:tcPr>
            <w:tcW w:w="255" w:type="dxa"/>
            <w:tcBorders>
              <w:left w:val="single" w:sz="4" w:space="0" w:color="auto"/>
            </w:tcBorders>
            <w:shd w:val="clear" w:color="auto" w:fill="auto"/>
            <w:noWrap/>
            <w:vAlign w:val="bottom"/>
            <w:hideMark/>
          </w:tcPr>
          <w:p w14:paraId="5B648069" w14:textId="77777777" w:rsidR="00BE013F" w:rsidRPr="00BE013F" w:rsidRDefault="00BE013F" w:rsidP="00BE013F">
            <w:pPr>
              <w:spacing w:after="0" w:line="240" w:lineRule="auto"/>
              <w:jc w:val="center"/>
              <w:rPr>
                <w:rFonts w:ascii="Calibri" w:eastAsia="Times New Roman" w:hAnsi="Calibri" w:cs="Calibri"/>
                <w:b/>
                <w:bCs/>
                <w:sz w:val="18"/>
                <w:szCs w:val="18"/>
                <w:lang w:eastAsia="hr-HR"/>
              </w:rPr>
            </w:pPr>
          </w:p>
        </w:tc>
      </w:tr>
      <w:tr w:rsidR="00BE013F" w:rsidRPr="00BE013F" w14:paraId="1763EBA8" w14:textId="77777777" w:rsidTr="005C74F1">
        <w:trPr>
          <w:trHeight w:val="161"/>
        </w:trPr>
        <w:tc>
          <w:tcPr>
            <w:tcW w:w="658" w:type="dxa"/>
            <w:tcBorders>
              <w:top w:val="single" w:sz="4" w:space="0" w:color="auto"/>
              <w:left w:val="single" w:sz="4" w:space="0" w:color="auto"/>
              <w:bottom w:val="single" w:sz="4" w:space="0" w:color="auto"/>
            </w:tcBorders>
            <w:shd w:val="clear" w:color="auto" w:fill="auto"/>
            <w:noWrap/>
            <w:vAlign w:val="center"/>
            <w:hideMark/>
          </w:tcPr>
          <w:p w14:paraId="2AE10AC4"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1</w:t>
            </w:r>
          </w:p>
        </w:tc>
        <w:tc>
          <w:tcPr>
            <w:tcW w:w="2665" w:type="dxa"/>
            <w:tcBorders>
              <w:top w:val="single" w:sz="4" w:space="0" w:color="auto"/>
              <w:bottom w:val="single" w:sz="4" w:space="0" w:color="auto"/>
            </w:tcBorders>
            <w:shd w:val="clear" w:color="auto" w:fill="auto"/>
            <w:noWrap/>
            <w:vAlign w:val="center"/>
            <w:hideMark/>
          </w:tcPr>
          <w:p w14:paraId="1666D700"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2</w:t>
            </w:r>
          </w:p>
        </w:tc>
        <w:tc>
          <w:tcPr>
            <w:tcW w:w="1011" w:type="dxa"/>
            <w:tcBorders>
              <w:top w:val="single" w:sz="4" w:space="0" w:color="auto"/>
              <w:bottom w:val="single" w:sz="4" w:space="0" w:color="auto"/>
            </w:tcBorders>
            <w:shd w:val="clear" w:color="auto" w:fill="auto"/>
            <w:noWrap/>
            <w:vAlign w:val="center"/>
            <w:hideMark/>
          </w:tcPr>
          <w:p w14:paraId="0252CDA8"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3</w:t>
            </w:r>
          </w:p>
        </w:tc>
        <w:tc>
          <w:tcPr>
            <w:tcW w:w="1027" w:type="dxa"/>
            <w:tcBorders>
              <w:top w:val="single" w:sz="4" w:space="0" w:color="auto"/>
              <w:bottom w:val="single" w:sz="4" w:space="0" w:color="auto"/>
            </w:tcBorders>
            <w:shd w:val="clear" w:color="auto" w:fill="auto"/>
            <w:noWrap/>
            <w:vAlign w:val="center"/>
            <w:hideMark/>
          </w:tcPr>
          <w:p w14:paraId="3DA8516A"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4</w:t>
            </w:r>
          </w:p>
        </w:tc>
        <w:tc>
          <w:tcPr>
            <w:tcW w:w="1261" w:type="dxa"/>
            <w:tcBorders>
              <w:top w:val="single" w:sz="4" w:space="0" w:color="auto"/>
              <w:bottom w:val="single" w:sz="4" w:space="0" w:color="auto"/>
            </w:tcBorders>
            <w:shd w:val="clear" w:color="auto" w:fill="auto"/>
            <w:noWrap/>
            <w:vAlign w:val="center"/>
            <w:hideMark/>
          </w:tcPr>
          <w:p w14:paraId="7D482FDD"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5</w:t>
            </w:r>
          </w:p>
        </w:tc>
        <w:tc>
          <w:tcPr>
            <w:tcW w:w="875" w:type="dxa"/>
            <w:tcBorders>
              <w:top w:val="single" w:sz="4" w:space="0" w:color="auto"/>
              <w:bottom w:val="single" w:sz="4" w:space="0" w:color="auto"/>
            </w:tcBorders>
            <w:shd w:val="clear" w:color="auto" w:fill="auto"/>
            <w:noWrap/>
            <w:vAlign w:val="center"/>
            <w:hideMark/>
          </w:tcPr>
          <w:p w14:paraId="556138C1"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6</w:t>
            </w:r>
          </w:p>
        </w:tc>
        <w:tc>
          <w:tcPr>
            <w:tcW w:w="663" w:type="dxa"/>
            <w:tcBorders>
              <w:top w:val="single" w:sz="4" w:space="0" w:color="auto"/>
              <w:bottom w:val="single" w:sz="4" w:space="0" w:color="auto"/>
            </w:tcBorders>
            <w:shd w:val="clear" w:color="auto" w:fill="auto"/>
            <w:noWrap/>
            <w:vAlign w:val="center"/>
            <w:hideMark/>
          </w:tcPr>
          <w:p w14:paraId="0DCB2D8A"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7</w:t>
            </w:r>
          </w:p>
        </w:tc>
        <w:tc>
          <w:tcPr>
            <w:tcW w:w="1016" w:type="dxa"/>
            <w:tcBorders>
              <w:top w:val="single" w:sz="4" w:space="0" w:color="auto"/>
              <w:bottom w:val="single" w:sz="4" w:space="0" w:color="auto"/>
            </w:tcBorders>
            <w:shd w:val="clear" w:color="auto" w:fill="auto"/>
            <w:noWrap/>
            <w:vAlign w:val="center"/>
            <w:hideMark/>
          </w:tcPr>
          <w:p w14:paraId="469ED06A"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8</w:t>
            </w:r>
          </w:p>
        </w:tc>
        <w:tc>
          <w:tcPr>
            <w:tcW w:w="1192" w:type="dxa"/>
            <w:tcBorders>
              <w:top w:val="single" w:sz="4" w:space="0" w:color="auto"/>
              <w:bottom w:val="single" w:sz="4" w:space="0" w:color="auto"/>
              <w:right w:val="single" w:sz="4" w:space="0" w:color="auto"/>
            </w:tcBorders>
            <w:shd w:val="clear" w:color="auto" w:fill="auto"/>
            <w:vAlign w:val="center"/>
            <w:hideMark/>
          </w:tcPr>
          <w:p w14:paraId="55AE3EB5" w14:textId="77777777" w:rsidR="00BE013F" w:rsidRPr="00BE013F" w:rsidRDefault="00BE013F" w:rsidP="00BE013F">
            <w:pPr>
              <w:spacing w:after="0" w:line="240" w:lineRule="auto"/>
              <w:jc w:val="center"/>
              <w:rPr>
                <w:rFonts w:ascii="Calibri" w:eastAsia="Times New Roman" w:hAnsi="Calibri" w:cs="Calibri"/>
                <w:b/>
                <w:bCs/>
                <w:i/>
                <w:iCs/>
                <w:color w:val="D9D9D9"/>
                <w:sz w:val="12"/>
                <w:szCs w:val="12"/>
                <w:lang w:eastAsia="hr-HR"/>
              </w:rPr>
            </w:pPr>
            <w:r w:rsidRPr="00BE013F">
              <w:rPr>
                <w:rFonts w:ascii="Calibri" w:eastAsia="Times New Roman" w:hAnsi="Calibri" w:cs="Calibri"/>
                <w:b/>
                <w:bCs/>
                <w:i/>
                <w:iCs/>
                <w:color w:val="D9D9D9"/>
                <w:sz w:val="12"/>
                <w:szCs w:val="12"/>
                <w:lang w:eastAsia="hr-HR"/>
              </w:rPr>
              <w:t>9</w:t>
            </w:r>
          </w:p>
        </w:tc>
        <w:tc>
          <w:tcPr>
            <w:tcW w:w="255" w:type="dxa"/>
            <w:tcBorders>
              <w:left w:val="single" w:sz="4" w:space="0" w:color="auto"/>
            </w:tcBorders>
            <w:vAlign w:val="center"/>
            <w:hideMark/>
          </w:tcPr>
          <w:p w14:paraId="18A89B8B"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72CD61DA" w14:textId="77777777" w:rsidTr="00AA5A01">
        <w:trPr>
          <w:trHeight w:val="266"/>
        </w:trPr>
        <w:tc>
          <w:tcPr>
            <w:tcW w:w="658" w:type="dxa"/>
            <w:tcBorders>
              <w:top w:val="single" w:sz="4" w:space="0" w:color="auto"/>
              <w:left w:val="single" w:sz="4" w:space="0" w:color="auto"/>
              <w:bottom w:val="single" w:sz="4" w:space="0" w:color="auto"/>
            </w:tcBorders>
            <w:shd w:val="clear" w:color="auto" w:fill="auto"/>
            <w:noWrap/>
            <w:vAlign w:val="center"/>
            <w:hideMark/>
          </w:tcPr>
          <w:p w14:paraId="6F543C6F"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 </w:t>
            </w:r>
          </w:p>
        </w:tc>
        <w:tc>
          <w:tcPr>
            <w:tcW w:w="2665" w:type="dxa"/>
            <w:tcBorders>
              <w:top w:val="single" w:sz="4" w:space="0" w:color="auto"/>
              <w:bottom w:val="single" w:sz="4" w:space="0" w:color="auto"/>
            </w:tcBorders>
            <w:shd w:val="clear" w:color="auto" w:fill="auto"/>
            <w:noWrap/>
            <w:vAlign w:val="center"/>
            <w:hideMark/>
          </w:tcPr>
          <w:p w14:paraId="0D9F5534"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 </w:t>
            </w:r>
          </w:p>
        </w:tc>
        <w:tc>
          <w:tcPr>
            <w:tcW w:w="1011" w:type="dxa"/>
            <w:tcBorders>
              <w:top w:val="single" w:sz="4" w:space="0" w:color="auto"/>
              <w:bottom w:val="single" w:sz="4" w:space="0" w:color="auto"/>
            </w:tcBorders>
            <w:shd w:val="clear" w:color="auto" w:fill="auto"/>
            <w:noWrap/>
            <w:vAlign w:val="center"/>
            <w:hideMark/>
          </w:tcPr>
          <w:p w14:paraId="34946E81"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 </w:t>
            </w:r>
          </w:p>
        </w:tc>
        <w:tc>
          <w:tcPr>
            <w:tcW w:w="1027" w:type="dxa"/>
            <w:tcBorders>
              <w:top w:val="single" w:sz="4" w:space="0" w:color="auto"/>
              <w:bottom w:val="single" w:sz="4" w:space="0" w:color="auto"/>
            </w:tcBorders>
            <w:shd w:val="clear" w:color="auto" w:fill="auto"/>
            <w:noWrap/>
            <w:vAlign w:val="center"/>
            <w:hideMark/>
          </w:tcPr>
          <w:p w14:paraId="3D6010B2"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 </w:t>
            </w:r>
          </w:p>
        </w:tc>
        <w:tc>
          <w:tcPr>
            <w:tcW w:w="1261" w:type="dxa"/>
            <w:tcBorders>
              <w:top w:val="single" w:sz="4" w:space="0" w:color="auto"/>
              <w:bottom w:val="single" w:sz="4" w:space="0" w:color="auto"/>
            </w:tcBorders>
            <w:shd w:val="clear" w:color="auto" w:fill="auto"/>
            <w:noWrap/>
            <w:vAlign w:val="center"/>
            <w:hideMark/>
          </w:tcPr>
          <w:p w14:paraId="296D6198"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 </w:t>
            </w:r>
          </w:p>
        </w:tc>
        <w:tc>
          <w:tcPr>
            <w:tcW w:w="875" w:type="dxa"/>
            <w:tcBorders>
              <w:top w:val="single" w:sz="4" w:space="0" w:color="auto"/>
              <w:bottom w:val="single" w:sz="4" w:space="0" w:color="auto"/>
            </w:tcBorders>
            <w:shd w:val="clear" w:color="auto" w:fill="auto"/>
            <w:noWrap/>
            <w:vAlign w:val="center"/>
            <w:hideMark/>
          </w:tcPr>
          <w:p w14:paraId="6445D165"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 </w:t>
            </w:r>
          </w:p>
        </w:tc>
        <w:tc>
          <w:tcPr>
            <w:tcW w:w="663" w:type="dxa"/>
            <w:tcBorders>
              <w:top w:val="single" w:sz="4" w:space="0" w:color="auto"/>
              <w:bottom w:val="single" w:sz="4" w:space="0" w:color="auto"/>
            </w:tcBorders>
            <w:shd w:val="clear" w:color="auto" w:fill="auto"/>
            <w:noWrap/>
            <w:vAlign w:val="center"/>
            <w:hideMark/>
          </w:tcPr>
          <w:p w14:paraId="657EECFA"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udio</w:t>
            </w:r>
          </w:p>
        </w:tc>
        <w:tc>
          <w:tcPr>
            <w:tcW w:w="1016" w:type="dxa"/>
            <w:tcBorders>
              <w:top w:val="single" w:sz="4" w:space="0" w:color="auto"/>
              <w:bottom w:val="single" w:sz="4" w:space="0" w:color="auto"/>
            </w:tcBorders>
            <w:shd w:val="clear" w:color="auto" w:fill="auto"/>
            <w:noWrap/>
            <w:vAlign w:val="center"/>
            <w:hideMark/>
          </w:tcPr>
          <w:p w14:paraId="51561221"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iznos</w:t>
            </w:r>
          </w:p>
        </w:tc>
        <w:tc>
          <w:tcPr>
            <w:tcW w:w="1192" w:type="dxa"/>
            <w:tcBorders>
              <w:top w:val="single" w:sz="4" w:space="0" w:color="auto"/>
              <w:bottom w:val="single" w:sz="4" w:space="0" w:color="auto"/>
              <w:right w:val="single" w:sz="4" w:space="0" w:color="auto"/>
            </w:tcBorders>
            <w:shd w:val="clear" w:color="auto" w:fill="auto"/>
            <w:vAlign w:val="center"/>
            <w:hideMark/>
          </w:tcPr>
          <w:p w14:paraId="6E0257A0" w14:textId="77777777" w:rsidR="00BE013F" w:rsidRPr="00BE013F" w:rsidRDefault="00BE013F" w:rsidP="00BE013F">
            <w:pPr>
              <w:spacing w:after="0" w:line="240" w:lineRule="auto"/>
              <w:jc w:val="center"/>
              <w:rPr>
                <w:rFonts w:ascii="Calibri" w:eastAsia="Times New Roman" w:hAnsi="Calibri" w:cs="Calibri"/>
                <w:b/>
                <w:bCs/>
                <w:i/>
                <w:iCs/>
                <w:color w:val="D9D9D9"/>
                <w:sz w:val="18"/>
                <w:szCs w:val="18"/>
                <w:lang w:eastAsia="hr-HR"/>
              </w:rPr>
            </w:pPr>
            <w:r w:rsidRPr="00BE013F">
              <w:rPr>
                <w:rFonts w:ascii="Calibri" w:eastAsia="Times New Roman" w:hAnsi="Calibri" w:cs="Calibri"/>
                <w:b/>
                <w:bCs/>
                <w:i/>
                <w:iCs/>
                <w:color w:val="D9D9D9"/>
                <w:sz w:val="18"/>
                <w:szCs w:val="18"/>
                <w:lang w:eastAsia="hr-HR"/>
              </w:rPr>
              <w:t>izvor financiranja</w:t>
            </w:r>
          </w:p>
        </w:tc>
        <w:tc>
          <w:tcPr>
            <w:tcW w:w="255" w:type="dxa"/>
            <w:tcBorders>
              <w:left w:val="single" w:sz="4" w:space="0" w:color="auto"/>
            </w:tcBorders>
            <w:vAlign w:val="center"/>
            <w:hideMark/>
          </w:tcPr>
          <w:p w14:paraId="6AE87495"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0191104"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4C2FCD6C"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w:t>
            </w:r>
          </w:p>
        </w:tc>
        <w:tc>
          <w:tcPr>
            <w:tcW w:w="2665" w:type="dxa"/>
            <w:tcBorders>
              <w:top w:val="single" w:sz="4" w:space="0" w:color="auto"/>
              <w:bottom w:val="single" w:sz="4" w:space="0" w:color="auto"/>
            </w:tcBorders>
            <w:shd w:val="clear" w:color="auto" w:fill="auto"/>
            <w:vAlign w:val="bottom"/>
            <w:hideMark/>
          </w:tcPr>
          <w:p w14:paraId="60E8915B"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Sustav otplinjavanja plohe 1B</w:t>
            </w:r>
          </w:p>
        </w:tc>
        <w:tc>
          <w:tcPr>
            <w:tcW w:w="1011" w:type="dxa"/>
            <w:tcBorders>
              <w:top w:val="single" w:sz="4" w:space="0" w:color="auto"/>
              <w:bottom w:val="single" w:sz="4" w:space="0" w:color="auto"/>
            </w:tcBorders>
            <w:shd w:val="clear" w:color="auto" w:fill="auto"/>
            <w:noWrap/>
            <w:vAlign w:val="bottom"/>
            <w:hideMark/>
          </w:tcPr>
          <w:p w14:paraId="551D4A3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99.828</w:t>
            </w:r>
          </w:p>
        </w:tc>
        <w:tc>
          <w:tcPr>
            <w:tcW w:w="1027" w:type="dxa"/>
            <w:tcBorders>
              <w:top w:val="single" w:sz="4" w:space="0" w:color="auto"/>
              <w:bottom w:val="single" w:sz="4" w:space="0" w:color="auto"/>
            </w:tcBorders>
            <w:shd w:val="clear" w:color="auto" w:fill="auto"/>
            <w:noWrap/>
            <w:vAlign w:val="bottom"/>
            <w:hideMark/>
          </w:tcPr>
          <w:p w14:paraId="5FB4167C"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108.516</w:t>
            </w:r>
          </w:p>
        </w:tc>
        <w:tc>
          <w:tcPr>
            <w:tcW w:w="1261" w:type="dxa"/>
            <w:tcBorders>
              <w:top w:val="single" w:sz="4" w:space="0" w:color="auto"/>
              <w:bottom w:val="single" w:sz="4" w:space="0" w:color="auto"/>
            </w:tcBorders>
            <w:shd w:val="clear" w:color="auto" w:fill="auto"/>
            <w:noWrap/>
            <w:vAlign w:val="bottom"/>
            <w:hideMark/>
          </w:tcPr>
          <w:p w14:paraId="1ACF8757"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108.516</w:t>
            </w:r>
          </w:p>
        </w:tc>
        <w:tc>
          <w:tcPr>
            <w:tcW w:w="875" w:type="dxa"/>
            <w:tcBorders>
              <w:top w:val="single" w:sz="4" w:space="0" w:color="auto"/>
              <w:bottom w:val="single" w:sz="4" w:space="0" w:color="auto"/>
            </w:tcBorders>
            <w:shd w:val="clear" w:color="auto" w:fill="auto"/>
            <w:noWrap/>
            <w:vAlign w:val="bottom"/>
            <w:hideMark/>
          </w:tcPr>
          <w:p w14:paraId="2687C47D"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100%</w:t>
            </w:r>
          </w:p>
        </w:tc>
        <w:tc>
          <w:tcPr>
            <w:tcW w:w="663" w:type="dxa"/>
            <w:tcBorders>
              <w:top w:val="single" w:sz="4" w:space="0" w:color="auto"/>
              <w:bottom w:val="single" w:sz="4" w:space="0" w:color="auto"/>
            </w:tcBorders>
            <w:shd w:val="clear" w:color="auto" w:fill="auto"/>
            <w:noWrap/>
            <w:vAlign w:val="bottom"/>
            <w:hideMark/>
          </w:tcPr>
          <w:p w14:paraId="4189A582"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589F4B9C"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108.516</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72248246"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7DA6B921"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A409684"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5CAE7AD4"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2</w:t>
            </w:r>
          </w:p>
        </w:tc>
        <w:tc>
          <w:tcPr>
            <w:tcW w:w="2665" w:type="dxa"/>
            <w:tcBorders>
              <w:top w:val="single" w:sz="4" w:space="0" w:color="auto"/>
              <w:bottom w:val="single" w:sz="4" w:space="0" w:color="auto"/>
            </w:tcBorders>
            <w:shd w:val="clear" w:color="auto" w:fill="auto"/>
            <w:vAlign w:val="bottom"/>
            <w:hideMark/>
          </w:tcPr>
          <w:p w14:paraId="2CAAEF95" w14:textId="490D303F"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 xml:space="preserve">Nadzor nad sustavom otplinjavanja </w:t>
            </w:r>
            <w:r>
              <w:rPr>
                <w:rFonts w:ascii="Calibri" w:eastAsia="Times New Roman" w:hAnsi="Calibri" w:cs="Calibri"/>
                <w:sz w:val="18"/>
                <w:szCs w:val="18"/>
                <w:lang w:eastAsia="hr-HR"/>
              </w:rPr>
              <w:t xml:space="preserve">- </w:t>
            </w:r>
            <w:r w:rsidRPr="00BE013F">
              <w:rPr>
                <w:rFonts w:ascii="Calibri" w:eastAsia="Times New Roman" w:hAnsi="Calibri" w:cs="Calibri"/>
                <w:sz w:val="18"/>
                <w:szCs w:val="18"/>
                <w:lang w:eastAsia="hr-HR"/>
              </w:rPr>
              <w:t>ploh</w:t>
            </w:r>
            <w:r>
              <w:rPr>
                <w:rFonts w:ascii="Calibri" w:eastAsia="Times New Roman" w:hAnsi="Calibri" w:cs="Calibri"/>
                <w:sz w:val="18"/>
                <w:szCs w:val="18"/>
                <w:lang w:eastAsia="hr-HR"/>
              </w:rPr>
              <w:t>a</w:t>
            </w:r>
            <w:r w:rsidRPr="00BE013F">
              <w:rPr>
                <w:rFonts w:ascii="Calibri" w:eastAsia="Times New Roman" w:hAnsi="Calibri" w:cs="Calibri"/>
                <w:sz w:val="18"/>
                <w:szCs w:val="18"/>
                <w:lang w:eastAsia="hr-HR"/>
              </w:rPr>
              <w:t xml:space="preserve"> 1B</w:t>
            </w:r>
          </w:p>
        </w:tc>
        <w:tc>
          <w:tcPr>
            <w:tcW w:w="1011" w:type="dxa"/>
            <w:tcBorders>
              <w:top w:val="single" w:sz="4" w:space="0" w:color="auto"/>
              <w:bottom w:val="single" w:sz="4" w:space="0" w:color="auto"/>
            </w:tcBorders>
            <w:shd w:val="clear" w:color="auto" w:fill="auto"/>
            <w:noWrap/>
            <w:vAlign w:val="bottom"/>
            <w:hideMark/>
          </w:tcPr>
          <w:p w14:paraId="34B6031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w:t>
            </w:r>
          </w:p>
        </w:tc>
        <w:tc>
          <w:tcPr>
            <w:tcW w:w="1027" w:type="dxa"/>
            <w:tcBorders>
              <w:top w:val="single" w:sz="4" w:space="0" w:color="auto"/>
              <w:bottom w:val="single" w:sz="4" w:space="0" w:color="auto"/>
            </w:tcBorders>
            <w:shd w:val="clear" w:color="auto" w:fill="auto"/>
            <w:noWrap/>
            <w:vAlign w:val="bottom"/>
            <w:hideMark/>
          </w:tcPr>
          <w:p w14:paraId="45A07825"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6.249</w:t>
            </w:r>
          </w:p>
        </w:tc>
        <w:tc>
          <w:tcPr>
            <w:tcW w:w="1261" w:type="dxa"/>
            <w:tcBorders>
              <w:top w:val="single" w:sz="4" w:space="0" w:color="auto"/>
              <w:bottom w:val="single" w:sz="4" w:space="0" w:color="auto"/>
            </w:tcBorders>
            <w:shd w:val="clear" w:color="auto" w:fill="auto"/>
            <w:noWrap/>
            <w:vAlign w:val="bottom"/>
            <w:hideMark/>
          </w:tcPr>
          <w:p w14:paraId="382DFC88"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6.249</w:t>
            </w:r>
          </w:p>
        </w:tc>
        <w:tc>
          <w:tcPr>
            <w:tcW w:w="875" w:type="dxa"/>
            <w:tcBorders>
              <w:top w:val="single" w:sz="4" w:space="0" w:color="auto"/>
              <w:bottom w:val="single" w:sz="4" w:space="0" w:color="auto"/>
            </w:tcBorders>
            <w:shd w:val="clear" w:color="auto" w:fill="auto"/>
            <w:noWrap/>
            <w:vAlign w:val="bottom"/>
            <w:hideMark/>
          </w:tcPr>
          <w:p w14:paraId="573DC61F"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100%</w:t>
            </w:r>
          </w:p>
        </w:tc>
        <w:tc>
          <w:tcPr>
            <w:tcW w:w="663" w:type="dxa"/>
            <w:tcBorders>
              <w:top w:val="single" w:sz="4" w:space="0" w:color="auto"/>
              <w:bottom w:val="single" w:sz="4" w:space="0" w:color="auto"/>
            </w:tcBorders>
            <w:shd w:val="clear" w:color="auto" w:fill="auto"/>
            <w:noWrap/>
            <w:vAlign w:val="bottom"/>
            <w:hideMark/>
          </w:tcPr>
          <w:p w14:paraId="77E66F7F"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5E504BFA"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6.249</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497FA4F0"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40E77357"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C5F3751"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6ADB0B7C"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3</w:t>
            </w:r>
          </w:p>
        </w:tc>
        <w:tc>
          <w:tcPr>
            <w:tcW w:w="2665" w:type="dxa"/>
            <w:tcBorders>
              <w:top w:val="single" w:sz="4" w:space="0" w:color="auto"/>
              <w:bottom w:val="single" w:sz="4" w:space="0" w:color="auto"/>
            </w:tcBorders>
            <w:shd w:val="clear" w:color="auto" w:fill="auto"/>
            <w:vAlign w:val="bottom"/>
            <w:hideMark/>
          </w:tcPr>
          <w:p w14:paraId="70548376"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Sustav otplinjavanja plohe 1C</w:t>
            </w:r>
          </w:p>
        </w:tc>
        <w:tc>
          <w:tcPr>
            <w:tcW w:w="1011" w:type="dxa"/>
            <w:tcBorders>
              <w:top w:val="single" w:sz="4" w:space="0" w:color="auto"/>
              <w:bottom w:val="single" w:sz="4" w:space="0" w:color="auto"/>
            </w:tcBorders>
            <w:shd w:val="clear" w:color="auto" w:fill="auto"/>
            <w:noWrap/>
            <w:vAlign w:val="bottom"/>
            <w:hideMark/>
          </w:tcPr>
          <w:p w14:paraId="754449F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109.700</w:t>
            </w:r>
          </w:p>
        </w:tc>
        <w:tc>
          <w:tcPr>
            <w:tcW w:w="1027" w:type="dxa"/>
            <w:tcBorders>
              <w:top w:val="single" w:sz="4" w:space="0" w:color="auto"/>
              <w:bottom w:val="single" w:sz="4" w:space="0" w:color="auto"/>
            </w:tcBorders>
            <w:shd w:val="clear" w:color="auto" w:fill="auto"/>
            <w:noWrap/>
            <w:vAlign w:val="bottom"/>
            <w:hideMark/>
          </w:tcPr>
          <w:p w14:paraId="57D66B8F"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230.000</w:t>
            </w:r>
          </w:p>
        </w:tc>
        <w:tc>
          <w:tcPr>
            <w:tcW w:w="1261" w:type="dxa"/>
            <w:tcBorders>
              <w:top w:val="single" w:sz="4" w:space="0" w:color="auto"/>
              <w:bottom w:val="single" w:sz="4" w:space="0" w:color="auto"/>
            </w:tcBorders>
            <w:shd w:val="clear" w:color="auto" w:fill="auto"/>
            <w:noWrap/>
            <w:vAlign w:val="bottom"/>
            <w:hideMark/>
          </w:tcPr>
          <w:p w14:paraId="57E93D44"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216.397</w:t>
            </w:r>
          </w:p>
        </w:tc>
        <w:tc>
          <w:tcPr>
            <w:tcW w:w="875" w:type="dxa"/>
            <w:tcBorders>
              <w:top w:val="single" w:sz="4" w:space="0" w:color="auto"/>
              <w:bottom w:val="single" w:sz="4" w:space="0" w:color="auto"/>
            </w:tcBorders>
            <w:shd w:val="clear" w:color="auto" w:fill="auto"/>
            <w:noWrap/>
            <w:vAlign w:val="bottom"/>
            <w:hideMark/>
          </w:tcPr>
          <w:p w14:paraId="29E03E4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94%</w:t>
            </w:r>
          </w:p>
        </w:tc>
        <w:tc>
          <w:tcPr>
            <w:tcW w:w="663" w:type="dxa"/>
            <w:tcBorders>
              <w:top w:val="single" w:sz="4" w:space="0" w:color="auto"/>
              <w:bottom w:val="single" w:sz="4" w:space="0" w:color="auto"/>
            </w:tcBorders>
            <w:shd w:val="clear" w:color="auto" w:fill="auto"/>
            <w:noWrap/>
            <w:vAlign w:val="bottom"/>
            <w:hideMark/>
          </w:tcPr>
          <w:p w14:paraId="1AC13AAD"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01F4CA61"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216.397</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2704A250" w14:textId="563942BB"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77D39DF2"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6A28235C"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3BD9CF34"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4</w:t>
            </w:r>
          </w:p>
        </w:tc>
        <w:tc>
          <w:tcPr>
            <w:tcW w:w="2665" w:type="dxa"/>
            <w:tcBorders>
              <w:top w:val="single" w:sz="4" w:space="0" w:color="auto"/>
              <w:bottom w:val="single" w:sz="4" w:space="0" w:color="auto"/>
            </w:tcBorders>
            <w:shd w:val="clear" w:color="auto" w:fill="auto"/>
            <w:vAlign w:val="bottom"/>
            <w:hideMark/>
          </w:tcPr>
          <w:p w14:paraId="2DEEE13F" w14:textId="5011A90F"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 xml:space="preserve">Nadzor nad sustavom otplinjavanja </w:t>
            </w:r>
            <w:r>
              <w:rPr>
                <w:rFonts w:ascii="Calibri" w:eastAsia="Times New Roman" w:hAnsi="Calibri" w:cs="Calibri"/>
                <w:sz w:val="18"/>
                <w:szCs w:val="18"/>
                <w:lang w:eastAsia="hr-HR"/>
              </w:rPr>
              <w:t>- ploha</w:t>
            </w:r>
            <w:r w:rsidRPr="00BE013F">
              <w:rPr>
                <w:rFonts w:ascii="Calibri" w:eastAsia="Times New Roman" w:hAnsi="Calibri" w:cs="Calibri"/>
                <w:sz w:val="18"/>
                <w:szCs w:val="18"/>
                <w:lang w:eastAsia="hr-HR"/>
              </w:rPr>
              <w:t xml:space="preserve"> 1C</w:t>
            </w:r>
          </w:p>
        </w:tc>
        <w:tc>
          <w:tcPr>
            <w:tcW w:w="1011" w:type="dxa"/>
            <w:tcBorders>
              <w:top w:val="single" w:sz="4" w:space="0" w:color="auto"/>
              <w:bottom w:val="single" w:sz="4" w:space="0" w:color="auto"/>
            </w:tcBorders>
            <w:shd w:val="clear" w:color="auto" w:fill="auto"/>
            <w:noWrap/>
            <w:vAlign w:val="bottom"/>
            <w:hideMark/>
          </w:tcPr>
          <w:p w14:paraId="4044022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w:t>
            </w:r>
          </w:p>
        </w:tc>
        <w:tc>
          <w:tcPr>
            <w:tcW w:w="1027" w:type="dxa"/>
            <w:tcBorders>
              <w:top w:val="single" w:sz="4" w:space="0" w:color="auto"/>
              <w:bottom w:val="single" w:sz="4" w:space="0" w:color="auto"/>
            </w:tcBorders>
            <w:shd w:val="clear" w:color="auto" w:fill="auto"/>
            <w:noWrap/>
            <w:vAlign w:val="bottom"/>
            <w:hideMark/>
          </w:tcPr>
          <w:p w14:paraId="0C1485D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5.800</w:t>
            </w:r>
          </w:p>
        </w:tc>
        <w:tc>
          <w:tcPr>
            <w:tcW w:w="1261" w:type="dxa"/>
            <w:tcBorders>
              <w:top w:val="single" w:sz="4" w:space="0" w:color="auto"/>
              <w:bottom w:val="single" w:sz="4" w:space="0" w:color="auto"/>
            </w:tcBorders>
            <w:shd w:val="clear" w:color="auto" w:fill="auto"/>
            <w:noWrap/>
            <w:vAlign w:val="bottom"/>
            <w:hideMark/>
          </w:tcPr>
          <w:p w14:paraId="0A5E540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8.050</w:t>
            </w:r>
          </w:p>
        </w:tc>
        <w:tc>
          <w:tcPr>
            <w:tcW w:w="875" w:type="dxa"/>
            <w:tcBorders>
              <w:top w:val="single" w:sz="4" w:space="0" w:color="auto"/>
              <w:bottom w:val="single" w:sz="4" w:space="0" w:color="auto"/>
            </w:tcBorders>
            <w:shd w:val="clear" w:color="auto" w:fill="auto"/>
            <w:noWrap/>
            <w:vAlign w:val="bottom"/>
            <w:hideMark/>
          </w:tcPr>
          <w:p w14:paraId="5FC9833A"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139%</w:t>
            </w:r>
          </w:p>
        </w:tc>
        <w:tc>
          <w:tcPr>
            <w:tcW w:w="663" w:type="dxa"/>
            <w:tcBorders>
              <w:top w:val="single" w:sz="4" w:space="0" w:color="auto"/>
              <w:bottom w:val="single" w:sz="4" w:space="0" w:color="auto"/>
            </w:tcBorders>
            <w:shd w:val="clear" w:color="auto" w:fill="auto"/>
            <w:noWrap/>
            <w:vAlign w:val="bottom"/>
            <w:hideMark/>
          </w:tcPr>
          <w:p w14:paraId="50BC323E"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5EE05D1F"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8.050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60615DFA"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125F395B"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45E39C1E"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20E16F51"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5</w:t>
            </w:r>
          </w:p>
        </w:tc>
        <w:tc>
          <w:tcPr>
            <w:tcW w:w="2665" w:type="dxa"/>
            <w:tcBorders>
              <w:top w:val="single" w:sz="4" w:space="0" w:color="auto"/>
              <w:bottom w:val="single" w:sz="4" w:space="0" w:color="auto"/>
            </w:tcBorders>
            <w:shd w:val="clear" w:color="auto" w:fill="auto"/>
            <w:vAlign w:val="bottom"/>
            <w:hideMark/>
          </w:tcPr>
          <w:p w14:paraId="037849AD"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Projekt izgradnje plohe 2</w:t>
            </w:r>
          </w:p>
        </w:tc>
        <w:tc>
          <w:tcPr>
            <w:tcW w:w="1011" w:type="dxa"/>
            <w:tcBorders>
              <w:top w:val="single" w:sz="4" w:space="0" w:color="auto"/>
              <w:bottom w:val="single" w:sz="4" w:space="0" w:color="auto"/>
            </w:tcBorders>
            <w:shd w:val="clear" w:color="auto" w:fill="auto"/>
            <w:noWrap/>
            <w:vAlign w:val="bottom"/>
            <w:hideMark/>
          </w:tcPr>
          <w:p w14:paraId="38AF1DC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50.000</w:t>
            </w:r>
          </w:p>
        </w:tc>
        <w:tc>
          <w:tcPr>
            <w:tcW w:w="1027" w:type="dxa"/>
            <w:tcBorders>
              <w:top w:val="single" w:sz="4" w:space="0" w:color="auto"/>
              <w:bottom w:val="single" w:sz="4" w:space="0" w:color="auto"/>
            </w:tcBorders>
            <w:shd w:val="clear" w:color="auto" w:fill="auto"/>
            <w:noWrap/>
            <w:vAlign w:val="bottom"/>
            <w:hideMark/>
          </w:tcPr>
          <w:p w14:paraId="31155FE3"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1C0C5B1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210F29BE" w14:textId="29C1A840"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5DC13431"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57FC114B"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7C304DBF"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6423A0FB"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65F7D89A"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47E90A0F"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6</w:t>
            </w:r>
          </w:p>
        </w:tc>
        <w:tc>
          <w:tcPr>
            <w:tcW w:w="2665" w:type="dxa"/>
            <w:tcBorders>
              <w:top w:val="single" w:sz="4" w:space="0" w:color="auto"/>
              <w:bottom w:val="single" w:sz="4" w:space="0" w:color="auto"/>
            </w:tcBorders>
            <w:shd w:val="clear" w:color="auto" w:fill="auto"/>
            <w:vAlign w:val="bottom"/>
            <w:hideMark/>
          </w:tcPr>
          <w:p w14:paraId="5233AF26"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 xml:space="preserve">Plinogenerator  </w:t>
            </w:r>
          </w:p>
        </w:tc>
        <w:tc>
          <w:tcPr>
            <w:tcW w:w="1011" w:type="dxa"/>
            <w:tcBorders>
              <w:top w:val="single" w:sz="4" w:space="0" w:color="auto"/>
              <w:bottom w:val="single" w:sz="4" w:space="0" w:color="auto"/>
            </w:tcBorders>
            <w:shd w:val="clear" w:color="auto" w:fill="auto"/>
            <w:noWrap/>
            <w:vAlign w:val="bottom"/>
            <w:hideMark/>
          </w:tcPr>
          <w:p w14:paraId="23D32C8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445.000</w:t>
            </w:r>
          </w:p>
        </w:tc>
        <w:tc>
          <w:tcPr>
            <w:tcW w:w="1027" w:type="dxa"/>
            <w:tcBorders>
              <w:top w:val="single" w:sz="4" w:space="0" w:color="auto"/>
              <w:bottom w:val="single" w:sz="4" w:space="0" w:color="auto"/>
            </w:tcBorders>
            <w:shd w:val="clear" w:color="auto" w:fill="auto"/>
            <w:noWrap/>
            <w:vAlign w:val="bottom"/>
            <w:hideMark/>
          </w:tcPr>
          <w:p w14:paraId="775F39AF"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1B34F333"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445.000</w:t>
            </w:r>
          </w:p>
        </w:tc>
        <w:tc>
          <w:tcPr>
            <w:tcW w:w="875" w:type="dxa"/>
            <w:tcBorders>
              <w:top w:val="single" w:sz="4" w:space="0" w:color="auto"/>
              <w:bottom w:val="single" w:sz="4" w:space="0" w:color="auto"/>
            </w:tcBorders>
            <w:shd w:val="clear" w:color="auto" w:fill="auto"/>
            <w:noWrap/>
            <w:vAlign w:val="bottom"/>
            <w:hideMark/>
          </w:tcPr>
          <w:p w14:paraId="5962B27C" w14:textId="5E3412D1"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3A661969"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79E9AD3A"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445.000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14A79358"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7BCC4173"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AA5A01" w:rsidRPr="00BE013F" w14:paraId="24BD81BF" w14:textId="77777777" w:rsidTr="00A36215">
        <w:trPr>
          <w:trHeight w:val="333"/>
        </w:trPr>
        <w:tc>
          <w:tcPr>
            <w:tcW w:w="658" w:type="dxa"/>
            <w:vMerge w:val="restart"/>
            <w:tcBorders>
              <w:top w:val="single" w:sz="4" w:space="0" w:color="auto"/>
              <w:left w:val="single" w:sz="4" w:space="0" w:color="auto"/>
              <w:bottom w:val="single" w:sz="4" w:space="0" w:color="auto"/>
            </w:tcBorders>
            <w:shd w:val="clear" w:color="auto" w:fill="auto"/>
            <w:noWrap/>
            <w:vAlign w:val="bottom"/>
            <w:hideMark/>
          </w:tcPr>
          <w:p w14:paraId="703D87A6" w14:textId="77777777" w:rsidR="00AA5A01" w:rsidRPr="00BE013F" w:rsidRDefault="00AA5A01"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7</w:t>
            </w:r>
          </w:p>
        </w:tc>
        <w:tc>
          <w:tcPr>
            <w:tcW w:w="2665" w:type="dxa"/>
            <w:vMerge w:val="restart"/>
            <w:tcBorders>
              <w:top w:val="single" w:sz="4" w:space="0" w:color="auto"/>
              <w:bottom w:val="single" w:sz="4" w:space="0" w:color="auto"/>
            </w:tcBorders>
            <w:shd w:val="clear" w:color="auto" w:fill="auto"/>
            <w:vAlign w:val="bottom"/>
            <w:hideMark/>
          </w:tcPr>
          <w:p w14:paraId="0389E73D" w14:textId="77777777" w:rsidR="00AA5A01" w:rsidRPr="00BE013F" w:rsidRDefault="00AA5A01"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Radovi na postavljanju plinogeneratora i oprema</w:t>
            </w:r>
          </w:p>
        </w:tc>
        <w:tc>
          <w:tcPr>
            <w:tcW w:w="1011" w:type="dxa"/>
            <w:vMerge w:val="restart"/>
            <w:tcBorders>
              <w:top w:val="single" w:sz="4" w:space="0" w:color="auto"/>
              <w:bottom w:val="single" w:sz="4" w:space="0" w:color="auto"/>
            </w:tcBorders>
            <w:shd w:val="clear" w:color="auto" w:fill="auto"/>
            <w:noWrap/>
            <w:vAlign w:val="center"/>
            <w:hideMark/>
          </w:tcPr>
          <w:p w14:paraId="5C78D36B" w14:textId="77777777" w:rsidR="00AA5A01" w:rsidRPr="00BE013F" w:rsidRDefault="00AA5A01" w:rsidP="00AA5A01">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250.000</w:t>
            </w:r>
          </w:p>
        </w:tc>
        <w:tc>
          <w:tcPr>
            <w:tcW w:w="1027" w:type="dxa"/>
            <w:vMerge w:val="restart"/>
            <w:tcBorders>
              <w:top w:val="single" w:sz="4" w:space="0" w:color="auto"/>
              <w:bottom w:val="single" w:sz="4" w:space="0" w:color="auto"/>
            </w:tcBorders>
            <w:shd w:val="clear" w:color="auto" w:fill="auto"/>
            <w:vAlign w:val="center"/>
            <w:hideMark/>
          </w:tcPr>
          <w:p w14:paraId="22539BEB" w14:textId="77777777" w:rsidR="00AA5A01" w:rsidRPr="00BE013F" w:rsidRDefault="00AA5A01" w:rsidP="00A36215">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vMerge w:val="restart"/>
            <w:tcBorders>
              <w:top w:val="single" w:sz="4" w:space="0" w:color="auto"/>
            </w:tcBorders>
            <w:shd w:val="clear" w:color="auto" w:fill="auto"/>
            <w:vAlign w:val="center"/>
            <w:hideMark/>
          </w:tcPr>
          <w:p w14:paraId="7C915D5C" w14:textId="1E2D477D" w:rsidR="00AA5A01" w:rsidRPr="00BE013F" w:rsidRDefault="00AA5A01" w:rsidP="00AA5A01">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p>
        </w:tc>
        <w:tc>
          <w:tcPr>
            <w:tcW w:w="875" w:type="dxa"/>
            <w:vMerge w:val="restart"/>
            <w:tcBorders>
              <w:top w:val="single" w:sz="4" w:space="0" w:color="auto"/>
              <w:bottom w:val="single" w:sz="4" w:space="0" w:color="auto"/>
            </w:tcBorders>
            <w:shd w:val="clear" w:color="auto" w:fill="auto"/>
            <w:noWrap/>
            <w:vAlign w:val="center"/>
            <w:hideMark/>
          </w:tcPr>
          <w:p w14:paraId="6FB78E33" w14:textId="0EC2C74D" w:rsidR="00AA5A01" w:rsidRPr="00BE013F" w:rsidRDefault="00AA5A01" w:rsidP="00AA5A01">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6FD73D6D" w14:textId="77777777" w:rsidR="00AA5A01" w:rsidRPr="00BE013F" w:rsidRDefault="00AA5A01"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60%</w:t>
            </w:r>
          </w:p>
        </w:tc>
        <w:tc>
          <w:tcPr>
            <w:tcW w:w="1016" w:type="dxa"/>
            <w:tcBorders>
              <w:top w:val="single" w:sz="4" w:space="0" w:color="auto"/>
              <w:bottom w:val="single" w:sz="4" w:space="0" w:color="auto"/>
            </w:tcBorders>
            <w:shd w:val="clear" w:color="auto" w:fill="auto"/>
            <w:noWrap/>
            <w:vAlign w:val="bottom"/>
            <w:hideMark/>
          </w:tcPr>
          <w:p w14:paraId="2F5C6507" w14:textId="77777777" w:rsidR="00AA5A01" w:rsidRPr="00BE013F" w:rsidRDefault="00AA5A01"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069C7CB6" w14:textId="222C8E53" w:rsidR="00AA5A01" w:rsidRPr="00BE013F" w:rsidRDefault="00AA5A01"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3C690A50" w14:textId="77777777" w:rsidR="00AA5A01" w:rsidRPr="00BE013F" w:rsidRDefault="00AA5A01" w:rsidP="00BE013F">
            <w:pPr>
              <w:spacing w:after="0" w:line="240" w:lineRule="auto"/>
              <w:rPr>
                <w:rFonts w:ascii="Times New Roman" w:eastAsia="Times New Roman" w:hAnsi="Times New Roman" w:cs="Times New Roman"/>
                <w:sz w:val="18"/>
                <w:szCs w:val="18"/>
                <w:lang w:eastAsia="hr-HR"/>
              </w:rPr>
            </w:pPr>
          </w:p>
        </w:tc>
      </w:tr>
      <w:tr w:rsidR="00AA5A01" w:rsidRPr="00BE013F" w14:paraId="7006FD3F" w14:textId="77777777" w:rsidTr="00AA5A01">
        <w:trPr>
          <w:trHeight w:val="333"/>
        </w:trPr>
        <w:tc>
          <w:tcPr>
            <w:tcW w:w="658" w:type="dxa"/>
            <w:vMerge/>
            <w:tcBorders>
              <w:top w:val="single" w:sz="4" w:space="0" w:color="auto"/>
              <w:left w:val="single" w:sz="4" w:space="0" w:color="auto"/>
              <w:bottom w:val="single" w:sz="4" w:space="0" w:color="auto"/>
            </w:tcBorders>
            <w:vAlign w:val="bottom"/>
            <w:hideMark/>
          </w:tcPr>
          <w:p w14:paraId="15273855" w14:textId="77777777" w:rsidR="00AA5A01" w:rsidRPr="00BE013F" w:rsidRDefault="00AA5A01" w:rsidP="00F84B6F">
            <w:pPr>
              <w:spacing w:after="0" w:line="240" w:lineRule="auto"/>
              <w:rPr>
                <w:rFonts w:ascii="Calibri" w:eastAsia="Times New Roman" w:hAnsi="Calibri" w:cs="Calibri"/>
                <w:color w:val="000000"/>
                <w:sz w:val="18"/>
                <w:szCs w:val="18"/>
                <w:lang w:eastAsia="hr-HR"/>
              </w:rPr>
            </w:pPr>
          </w:p>
        </w:tc>
        <w:tc>
          <w:tcPr>
            <w:tcW w:w="2665" w:type="dxa"/>
            <w:vMerge/>
            <w:tcBorders>
              <w:top w:val="single" w:sz="4" w:space="0" w:color="auto"/>
              <w:bottom w:val="single" w:sz="4" w:space="0" w:color="auto"/>
            </w:tcBorders>
            <w:vAlign w:val="bottom"/>
            <w:hideMark/>
          </w:tcPr>
          <w:p w14:paraId="1CA8D458" w14:textId="77777777" w:rsidR="00AA5A01" w:rsidRPr="00BE013F" w:rsidRDefault="00AA5A01" w:rsidP="00F84B6F">
            <w:pPr>
              <w:spacing w:after="0" w:line="240" w:lineRule="auto"/>
              <w:rPr>
                <w:rFonts w:ascii="Calibri" w:eastAsia="Times New Roman" w:hAnsi="Calibri" w:cs="Calibri"/>
                <w:sz w:val="18"/>
                <w:szCs w:val="18"/>
                <w:lang w:eastAsia="hr-HR"/>
              </w:rPr>
            </w:pPr>
          </w:p>
        </w:tc>
        <w:tc>
          <w:tcPr>
            <w:tcW w:w="1011" w:type="dxa"/>
            <w:vMerge/>
            <w:tcBorders>
              <w:top w:val="single" w:sz="4" w:space="0" w:color="auto"/>
              <w:bottom w:val="single" w:sz="4" w:space="0" w:color="auto"/>
            </w:tcBorders>
            <w:vAlign w:val="bottom"/>
            <w:hideMark/>
          </w:tcPr>
          <w:p w14:paraId="13E7080B" w14:textId="77777777" w:rsidR="00AA5A01" w:rsidRPr="00BE013F" w:rsidRDefault="00AA5A01" w:rsidP="00F84B6F">
            <w:pPr>
              <w:spacing w:after="0" w:line="240" w:lineRule="auto"/>
              <w:jc w:val="center"/>
              <w:rPr>
                <w:rFonts w:ascii="Calibri" w:eastAsia="Times New Roman" w:hAnsi="Calibri" w:cs="Calibri"/>
                <w:sz w:val="18"/>
                <w:szCs w:val="18"/>
                <w:lang w:eastAsia="hr-HR"/>
              </w:rPr>
            </w:pPr>
          </w:p>
        </w:tc>
        <w:tc>
          <w:tcPr>
            <w:tcW w:w="1027" w:type="dxa"/>
            <w:vMerge/>
            <w:tcBorders>
              <w:top w:val="single" w:sz="4" w:space="0" w:color="auto"/>
              <w:bottom w:val="single" w:sz="4" w:space="0" w:color="auto"/>
            </w:tcBorders>
            <w:vAlign w:val="center"/>
            <w:hideMark/>
          </w:tcPr>
          <w:p w14:paraId="212C39D5" w14:textId="77777777" w:rsidR="00AA5A01" w:rsidRPr="00BE013F" w:rsidRDefault="00AA5A01" w:rsidP="00AA5A01">
            <w:pPr>
              <w:spacing w:after="0" w:line="240" w:lineRule="auto"/>
              <w:rPr>
                <w:rFonts w:ascii="Calibri" w:eastAsia="Times New Roman" w:hAnsi="Calibri" w:cs="Calibri"/>
                <w:sz w:val="18"/>
                <w:szCs w:val="18"/>
                <w:lang w:eastAsia="hr-HR"/>
              </w:rPr>
            </w:pPr>
          </w:p>
        </w:tc>
        <w:tc>
          <w:tcPr>
            <w:tcW w:w="1261" w:type="dxa"/>
            <w:vMerge/>
            <w:tcBorders>
              <w:bottom w:val="single" w:sz="4" w:space="0" w:color="auto"/>
            </w:tcBorders>
            <w:shd w:val="clear" w:color="auto" w:fill="auto"/>
            <w:vAlign w:val="center"/>
            <w:hideMark/>
          </w:tcPr>
          <w:p w14:paraId="38B35DD2" w14:textId="0107AABA" w:rsidR="00AA5A01" w:rsidRPr="00BE013F" w:rsidRDefault="00AA5A01" w:rsidP="00AA5A01">
            <w:pPr>
              <w:spacing w:after="0" w:line="240" w:lineRule="auto"/>
              <w:jc w:val="center"/>
              <w:rPr>
                <w:rFonts w:ascii="Calibri" w:eastAsia="Times New Roman" w:hAnsi="Calibri" w:cs="Calibri"/>
                <w:sz w:val="18"/>
                <w:szCs w:val="18"/>
                <w:lang w:eastAsia="hr-HR"/>
              </w:rPr>
            </w:pPr>
          </w:p>
        </w:tc>
        <w:tc>
          <w:tcPr>
            <w:tcW w:w="875" w:type="dxa"/>
            <w:vMerge/>
            <w:tcBorders>
              <w:top w:val="single" w:sz="4" w:space="0" w:color="auto"/>
              <w:bottom w:val="single" w:sz="4" w:space="0" w:color="auto"/>
            </w:tcBorders>
            <w:vAlign w:val="bottom"/>
            <w:hideMark/>
          </w:tcPr>
          <w:p w14:paraId="54231907" w14:textId="77777777" w:rsidR="00AA5A01" w:rsidRPr="00BE013F" w:rsidRDefault="00AA5A01" w:rsidP="00F84B6F">
            <w:pPr>
              <w:spacing w:after="0" w:line="240" w:lineRule="auto"/>
              <w:jc w:val="center"/>
              <w:rPr>
                <w:rFonts w:ascii="Calibri" w:eastAsia="Times New Roman" w:hAnsi="Calibri" w:cs="Calibri"/>
                <w:sz w:val="18"/>
                <w:szCs w:val="18"/>
                <w:lang w:eastAsia="hr-HR"/>
              </w:rPr>
            </w:pPr>
          </w:p>
        </w:tc>
        <w:tc>
          <w:tcPr>
            <w:tcW w:w="663" w:type="dxa"/>
            <w:tcBorders>
              <w:top w:val="single" w:sz="4" w:space="0" w:color="auto"/>
              <w:bottom w:val="single" w:sz="4" w:space="0" w:color="auto"/>
            </w:tcBorders>
            <w:shd w:val="clear" w:color="auto" w:fill="auto"/>
            <w:noWrap/>
            <w:vAlign w:val="bottom"/>
            <w:hideMark/>
          </w:tcPr>
          <w:p w14:paraId="61841648" w14:textId="77777777" w:rsidR="00AA5A01" w:rsidRPr="00BE013F" w:rsidRDefault="00AA5A01"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40%</w:t>
            </w:r>
          </w:p>
        </w:tc>
        <w:tc>
          <w:tcPr>
            <w:tcW w:w="1016" w:type="dxa"/>
            <w:tcBorders>
              <w:top w:val="single" w:sz="4" w:space="0" w:color="auto"/>
              <w:bottom w:val="single" w:sz="4" w:space="0" w:color="auto"/>
            </w:tcBorders>
            <w:shd w:val="clear" w:color="auto" w:fill="auto"/>
            <w:noWrap/>
            <w:vAlign w:val="bottom"/>
            <w:hideMark/>
          </w:tcPr>
          <w:p w14:paraId="2357A1D9" w14:textId="77777777" w:rsidR="00AA5A01" w:rsidRPr="00BE013F" w:rsidRDefault="00AA5A01"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73E8C590" w14:textId="77777777" w:rsidR="00AA5A01" w:rsidRPr="00BE013F" w:rsidRDefault="00AA5A01"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FZOEU</w:t>
            </w:r>
          </w:p>
        </w:tc>
        <w:tc>
          <w:tcPr>
            <w:tcW w:w="255" w:type="dxa"/>
            <w:tcBorders>
              <w:left w:val="single" w:sz="4" w:space="0" w:color="auto"/>
            </w:tcBorders>
            <w:vAlign w:val="center"/>
            <w:hideMark/>
          </w:tcPr>
          <w:p w14:paraId="43F02D4F" w14:textId="77777777" w:rsidR="00AA5A01" w:rsidRPr="00BE013F" w:rsidRDefault="00AA5A01" w:rsidP="00BE013F">
            <w:pPr>
              <w:spacing w:after="0" w:line="240" w:lineRule="auto"/>
              <w:rPr>
                <w:rFonts w:ascii="Times New Roman" w:eastAsia="Times New Roman" w:hAnsi="Times New Roman" w:cs="Times New Roman"/>
                <w:sz w:val="18"/>
                <w:szCs w:val="18"/>
                <w:lang w:eastAsia="hr-HR"/>
              </w:rPr>
            </w:pPr>
          </w:p>
        </w:tc>
      </w:tr>
      <w:tr w:rsidR="00BE013F" w:rsidRPr="00BE013F" w14:paraId="33EEF3B2"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572E5A03"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8</w:t>
            </w:r>
          </w:p>
        </w:tc>
        <w:tc>
          <w:tcPr>
            <w:tcW w:w="2665" w:type="dxa"/>
            <w:tcBorders>
              <w:top w:val="single" w:sz="4" w:space="0" w:color="auto"/>
              <w:bottom w:val="single" w:sz="4" w:space="0" w:color="auto"/>
            </w:tcBorders>
            <w:shd w:val="clear" w:color="auto" w:fill="auto"/>
            <w:vAlign w:val="bottom"/>
            <w:hideMark/>
          </w:tcPr>
          <w:p w14:paraId="2840164F"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Nadzor i zaštita za Plinogenerator</w:t>
            </w:r>
          </w:p>
        </w:tc>
        <w:tc>
          <w:tcPr>
            <w:tcW w:w="1011" w:type="dxa"/>
            <w:tcBorders>
              <w:top w:val="single" w:sz="4" w:space="0" w:color="auto"/>
              <w:bottom w:val="single" w:sz="4" w:space="0" w:color="auto"/>
            </w:tcBorders>
            <w:shd w:val="clear" w:color="auto" w:fill="auto"/>
            <w:noWrap/>
            <w:vAlign w:val="bottom"/>
            <w:hideMark/>
          </w:tcPr>
          <w:p w14:paraId="3DA499C9"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26.545</w:t>
            </w:r>
          </w:p>
        </w:tc>
        <w:tc>
          <w:tcPr>
            <w:tcW w:w="1027" w:type="dxa"/>
            <w:tcBorders>
              <w:top w:val="single" w:sz="4" w:space="0" w:color="auto"/>
              <w:bottom w:val="single" w:sz="4" w:space="0" w:color="auto"/>
            </w:tcBorders>
            <w:shd w:val="clear" w:color="auto" w:fill="auto"/>
            <w:noWrap/>
            <w:vAlign w:val="bottom"/>
            <w:hideMark/>
          </w:tcPr>
          <w:p w14:paraId="6EAC79A0"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69C2E58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74EBAC20" w14:textId="6164939C"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10374A27"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34247DD4"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76FC08AD"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3DE5CCCF"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2ADBC17C" w14:textId="77777777" w:rsidTr="00AA5A01">
        <w:trPr>
          <w:trHeight w:val="321"/>
        </w:trPr>
        <w:tc>
          <w:tcPr>
            <w:tcW w:w="658" w:type="dxa"/>
            <w:tcBorders>
              <w:top w:val="single" w:sz="4" w:space="0" w:color="auto"/>
              <w:left w:val="single" w:sz="4" w:space="0" w:color="auto"/>
              <w:bottom w:val="single" w:sz="4" w:space="0" w:color="auto"/>
            </w:tcBorders>
            <w:shd w:val="clear" w:color="auto" w:fill="auto"/>
            <w:noWrap/>
            <w:vAlign w:val="bottom"/>
            <w:hideMark/>
          </w:tcPr>
          <w:p w14:paraId="7107CCFA"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9</w:t>
            </w:r>
          </w:p>
        </w:tc>
        <w:tc>
          <w:tcPr>
            <w:tcW w:w="2665" w:type="dxa"/>
            <w:tcBorders>
              <w:top w:val="single" w:sz="4" w:space="0" w:color="auto"/>
              <w:bottom w:val="single" w:sz="4" w:space="0" w:color="auto"/>
            </w:tcBorders>
            <w:shd w:val="clear" w:color="auto" w:fill="auto"/>
            <w:vAlign w:val="bottom"/>
            <w:hideMark/>
          </w:tcPr>
          <w:p w14:paraId="534F8071"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Nabava Roto sita</w:t>
            </w:r>
          </w:p>
        </w:tc>
        <w:tc>
          <w:tcPr>
            <w:tcW w:w="1011" w:type="dxa"/>
            <w:tcBorders>
              <w:top w:val="single" w:sz="4" w:space="0" w:color="auto"/>
              <w:bottom w:val="single" w:sz="4" w:space="0" w:color="auto"/>
            </w:tcBorders>
            <w:shd w:val="clear" w:color="auto" w:fill="auto"/>
            <w:noWrap/>
            <w:vAlign w:val="bottom"/>
            <w:hideMark/>
          </w:tcPr>
          <w:p w14:paraId="2BFF3F00"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1.391.594</w:t>
            </w:r>
          </w:p>
        </w:tc>
        <w:tc>
          <w:tcPr>
            <w:tcW w:w="1027" w:type="dxa"/>
            <w:tcBorders>
              <w:top w:val="single" w:sz="4" w:space="0" w:color="auto"/>
              <w:bottom w:val="single" w:sz="4" w:space="0" w:color="auto"/>
            </w:tcBorders>
            <w:shd w:val="clear" w:color="auto" w:fill="auto"/>
            <w:noWrap/>
            <w:vAlign w:val="bottom"/>
            <w:hideMark/>
          </w:tcPr>
          <w:p w14:paraId="7A20B59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53E2825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33AE6D5D" w14:textId="6A7FC22D"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45A66000"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1ABDCA53"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7E07A252"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05EB31A2"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1375151" w14:textId="77777777" w:rsidTr="00AA5A01">
        <w:trPr>
          <w:trHeight w:val="321"/>
        </w:trPr>
        <w:tc>
          <w:tcPr>
            <w:tcW w:w="658" w:type="dxa"/>
            <w:tcBorders>
              <w:top w:val="single" w:sz="4" w:space="0" w:color="auto"/>
              <w:left w:val="single" w:sz="4" w:space="0" w:color="auto"/>
              <w:bottom w:val="single" w:sz="4" w:space="0" w:color="auto"/>
            </w:tcBorders>
            <w:shd w:val="clear" w:color="auto" w:fill="auto"/>
            <w:noWrap/>
            <w:vAlign w:val="bottom"/>
            <w:hideMark/>
          </w:tcPr>
          <w:p w14:paraId="4B9A7D46"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10</w:t>
            </w:r>
          </w:p>
        </w:tc>
        <w:tc>
          <w:tcPr>
            <w:tcW w:w="2665" w:type="dxa"/>
            <w:tcBorders>
              <w:top w:val="single" w:sz="4" w:space="0" w:color="auto"/>
              <w:bottom w:val="single" w:sz="4" w:space="0" w:color="auto"/>
            </w:tcBorders>
            <w:shd w:val="clear" w:color="auto" w:fill="auto"/>
            <w:vAlign w:val="bottom"/>
            <w:hideMark/>
          </w:tcPr>
          <w:p w14:paraId="00C4CE5C"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Vibro sito + skretnica</w:t>
            </w:r>
          </w:p>
        </w:tc>
        <w:tc>
          <w:tcPr>
            <w:tcW w:w="1011" w:type="dxa"/>
            <w:tcBorders>
              <w:top w:val="single" w:sz="4" w:space="0" w:color="auto"/>
              <w:bottom w:val="single" w:sz="4" w:space="0" w:color="auto"/>
            </w:tcBorders>
            <w:shd w:val="clear" w:color="auto" w:fill="auto"/>
            <w:noWrap/>
            <w:vAlign w:val="bottom"/>
            <w:hideMark/>
          </w:tcPr>
          <w:p w14:paraId="192D506D"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1.451.476</w:t>
            </w:r>
          </w:p>
        </w:tc>
        <w:tc>
          <w:tcPr>
            <w:tcW w:w="1027" w:type="dxa"/>
            <w:tcBorders>
              <w:top w:val="single" w:sz="4" w:space="0" w:color="auto"/>
              <w:bottom w:val="single" w:sz="4" w:space="0" w:color="auto"/>
            </w:tcBorders>
            <w:shd w:val="clear" w:color="auto" w:fill="auto"/>
            <w:noWrap/>
            <w:vAlign w:val="bottom"/>
            <w:hideMark/>
          </w:tcPr>
          <w:p w14:paraId="7A73377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3124D69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6D486F96" w14:textId="424937E0"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0EEDB173"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4FBD483E"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2B894698"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4C66076A"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32D2047B"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423741CE"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11</w:t>
            </w:r>
          </w:p>
        </w:tc>
        <w:tc>
          <w:tcPr>
            <w:tcW w:w="2665" w:type="dxa"/>
            <w:tcBorders>
              <w:top w:val="single" w:sz="4" w:space="0" w:color="auto"/>
              <w:bottom w:val="single" w:sz="4" w:space="0" w:color="auto"/>
            </w:tcBorders>
            <w:shd w:val="clear" w:color="auto" w:fill="auto"/>
            <w:vAlign w:val="bottom"/>
            <w:hideMark/>
          </w:tcPr>
          <w:p w14:paraId="5CE44A36" w14:textId="368558D5"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server računala i virtualizacij</w:t>
            </w:r>
            <w:r>
              <w:rPr>
                <w:rFonts w:ascii="Calibri" w:eastAsia="Times New Roman" w:hAnsi="Calibri" w:cs="Calibri"/>
                <w:sz w:val="18"/>
                <w:szCs w:val="18"/>
                <w:lang w:eastAsia="hr-HR"/>
              </w:rPr>
              <w:t>a</w:t>
            </w:r>
            <w:r w:rsidRPr="00BE013F">
              <w:rPr>
                <w:rFonts w:ascii="Calibri" w:eastAsia="Times New Roman" w:hAnsi="Calibri" w:cs="Calibri"/>
                <w:sz w:val="18"/>
                <w:szCs w:val="18"/>
                <w:lang w:eastAsia="hr-HR"/>
              </w:rPr>
              <w:t xml:space="preserve"> Scada računala</w:t>
            </w:r>
          </w:p>
        </w:tc>
        <w:tc>
          <w:tcPr>
            <w:tcW w:w="1011" w:type="dxa"/>
            <w:tcBorders>
              <w:top w:val="single" w:sz="4" w:space="0" w:color="auto"/>
              <w:bottom w:val="single" w:sz="4" w:space="0" w:color="auto"/>
            </w:tcBorders>
            <w:shd w:val="clear" w:color="auto" w:fill="auto"/>
            <w:noWrap/>
            <w:vAlign w:val="bottom"/>
            <w:hideMark/>
          </w:tcPr>
          <w:p w14:paraId="3CFFDEC5" w14:textId="0D505A4D" w:rsidR="00AA5A01" w:rsidRPr="00BE013F" w:rsidRDefault="00AA5A01" w:rsidP="00AA5A01">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20.000</w:t>
            </w:r>
          </w:p>
        </w:tc>
        <w:tc>
          <w:tcPr>
            <w:tcW w:w="1027" w:type="dxa"/>
            <w:tcBorders>
              <w:top w:val="single" w:sz="4" w:space="0" w:color="auto"/>
              <w:bottom w:val="single" w:sz="4" w:space="0" w:color="auto"/>
            </w:tcBorders>
            <w:shd w:val="clear" w:color="auto" w:fill="auto"/>
            <w:noWrap/>
            <w:vAlign w:val="bottom"/>
            <w:hideMark/>
          </w:tcPr>
          <w:p w14:paraId="3F120DA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25.000</w:t>
            </w:r>
          </w:p>
        </w:tc>
        <w:tc>
          <w:tcPr>
            <w:tcW w:w="1261" w:type="dxa"/>
            <w:tcBorders>
              <w:top w:val="single" w:sz="4" w:space="0" w:color="auto"/>
              <w:bottom w:val="single" w:sz="4" w:space="0" w:color="auto"/>
            </w:tcBorders>
            <w:shd w:val="clear" w:color="auto" w:fill="auto"/>
            <w:noWrap/>
            <w:vAlign w:val="bottom"/>
            <w:hideMark/>
          </w:tcPr>
          <w:p w14:paraId="32A26A3A"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1BD2138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663" w:type="dxa"/>
            <w:tcBorders>
              <w:top w:val="single" w:sz="4" w:space="0" w:color="auto"/>
              <w:bottom w:val="single" w:sz="4" w:space="0" w:color="auto"/>
            </w:tcBorders>
            <w:shd w:val="clear" w:color="auto" w:fill="auto"/>
            <w:noWrap/>
            <w:vAlign w:val="bottom"/>
            <w:hideMark/>
          </w:tcPr>
          <w:p w14:paraId="65430CEF"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58541B31"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2DA415FF"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0AECA065"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2B5756D0"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3E02A898"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12</w:t>
            </w:r>
          </w:p>
        </w:tc>
        <w:tc>
          <w:tcPr>
            <w:tcW w:w="2665" w:type="dxa"/>
            <w:tcBorders>
              <w:top w:val="single" w:sz="4" w:space="0" w:color="auto"/>
              <w:bottom w:val="single" w:sz="4" w:space="0" w:color="auto"/>
            </w:tcBorders>
            <w:shd w:val="clear" w:color="auto" w:fill="auto"/>
            <w:vAlign w:val="bottom"/>
            <w:hideMark/>
          </w:tcPr>
          <w:p w14:paraId="070A94C2"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Računalna oprema</w:t>
            </w:r>
          </w:p>
        </w:tc>
        <w:tc>
          <w:tcPr>
            <w:tcW w:w="1011" w:type="dxa"/>
            <w:tcBorders>
              <w:top w:val="single" w:sz="4" w:space="0" w:color="auto"/>
              <w:bottom w:val="single" w:sz="4" w:space="0" w:color="auto"/>
            </w:tcBorders>
            <w:shd w:val="clear" w:color="auto" w:fill="auto"/>
            <w:noWrap/>
            <w:vAlign w:val="bottom"/>
            <w:hideMark/>
          </w:tcPr>
          <w:p w14:paraId="3BF9792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w:t>
            </w:r>
          </w:p>
        </w:tc>
        <w:tc>
          <w:tcPr>
            <w:tcW w:w="1027" w:type="dxa"/>
            <w:tcBorders>
              <w:top w:val="single" w:sz="4" w:space="0" w:color="auto"/>
              <w:bottom w:val="single" w:sz="4" w:space="0" w:color="auto"/>
            </w:tcBorders>
            <w:shd w:val="clear" w:color="auto" w:fill="auto"/>
            <w:noWrap/>
            <w:vAlign w:val="bottom"/>
            <w:hideMark/>
          </w:tcPr>
          <w:p w14:paraId="6CAA4447"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15.000</w:t>
            </w:r>
          </w:p>
        </w:tc>
        <w:tc>
          <w:tcPr>
            <w:tcW w:w="1261" w:type="dxa"/>
            <w:tcBorders>
              <w:top w:val="single" w:sz="4" w:space="0" w:color="auto"/>
              <w:bottom w:val="single" w:sz="4" w:space="0" w:color="auto"/>
            </w:tcBorders>
            <w:shd w:val="clear" w:color="auto" w:fill="auto"/>
            <w:noWrap/>
            <w:vAlign w:val="bottom"/>
            <w:hideMark/>
          </w:tcPr>
          <w:p w14:paraId="5B0A59F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14.171</w:t>
            </w:r>
          </w:p>
        </w:tc>
        <w:tc>
          <w:tcPr>
            <w:tcW w:w="875" w:type="dxa"/>
            <w:tcBorders>
              <w:top w:val="single" w:sz="4" w:space="0" w:color="auto"/>
              <w:bottom w:val="single" w:sz="4" w:space="0" w:color="auto"/>
            </w:tcBorders>
            <w:shd w:val="clear" w:color="auto" w:fill="auto"/>
            <w:noWrap/>
            <w:vAlign w:val="bottom"/>
            <w:hideMark/>
          </w:tcPr>
          <w:p w14:paraId="3729600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94%</w:t>
            </w:r>
          </w:p>
        </w:tc>
        <w:tc>
          <w:tcPr>
            <w:tcW w:w="663" w:type="dxa"/>
            <w:tcBorders>
              <w:top w:val="single" w:sz="4" w:space="0" w:color="auto"/>
              <w:bottom w:val="single" w:sz="4" w:space="0" w:color="auto"/>
            </w:tcBorders>
            <w:shd w:val="clear" w:color="auto" w:fill="auto"/>
            <w:noWrap/>
            <w:vAlign w:val="bottom"/>
            <w:hideMark/>
          </w:tcPr>
          <w:p w14:paraId="4955881E"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7153BABE"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14.171</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342FEEAE"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2DE4532B"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8262A35"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50AA3A42"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13</w:t>
            </w:r>
          </w:p>
        </w:tc>
        <w:tc>
          <w:tcPr>
            <w:tcW w:w="2665" w:type="dxa"/>
            <w:tcBorders>
              <w:top w:val="single" w:sz="4" w:space="0" w:color="auto"/>
              <w:bottom w:val="single" w:sz="4" w:space="0" w:color="auto"/>
            </w:tcBorders>
            <w:shd w:val="clear" w:color="auto" w:fill="auto"/>
            <w:vAlign w:val="bottom"/>
            <w:hideMark/>
          </w:tcPr>
          <w:p w14:paraId="2D89E7DE"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poluprikolica (4 komada) iz 2023</w:t>
            </w:r>
          </w:p>
        </w:tc>
        <w:tc>
          <w:tcPr>
            <w:tcW w:w="1011" w:type="dxa"/>
            <w:tcBorders>
              <w:top w:val="single" w:sz="4" w:space="0" w:color="auto"/>
              <w:bottom w:val="single" w:sz="4" w:space="0" w:color="auto"/>
            </w:tcBorders>
            <w:shd w:val="clear" w:color="auto" w:fill="auto"/>
            <w:noWrap/>
            <w:vAlign w:val="bottom"/>
            <w:hideMark/>
          </w:tcPr>
          <w:p w14:paraId="1E910D1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487.000</w:t>
            </w:r>
          </w:p>
        </w:tc>
        <w:tc>
          <w:tcPr>
            <w:tcW w:w="1027" w:type="dxa"/>
            <w:tcBorders>
              <w:top w:val="single" w:sz="4" w:space="0" w:color="auto"/>
              <w:bottom w:val="single" w:sz="4" w:space="0" w:color="auto"/>
            </w:tcBorders>
            <w:shd w:val="clear" w:color="auto" w:fill="auto"/>
            <w:noWrap/>
            <w:vAlign w:val="bottom"/>
            <w:hideMark/>
          </w:tcPr>
          <w:p w14:paraId="3DAFCBE0"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396.800</w:t>
            </w:r>
          </w:p>
        </w:tc>
        <w:tc>
          <w:tcPr>
            <w:tcW w:w="1261" w:type="dxa"/>
            <w:tcBorders>
              <w:top w:val="single" w:sz="4" w:space="0" w:color="auto"/>
              <w:bottom w:val="single" w:sz="4" w:space="0" w:color="auto"/>
            </w:tcBorders>
            <w:shd w:val="clear" w:color="auto" w:fill="auto"/>
            <w:noWrap/>
            <w:vAlign w:val="bottom"/>
            <w:hideMark/>
          </w:tcPr>
          <w:p w14:paraId="1C2D23C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396.800</w:t>
            </w:r>
          </w:p>
        </w:tc>
        <w:tc>
          <w:tcPr>
            <w:tcW w:w="875" w:type="dxa"/>
            <w:tcBorders>
              <w:top w:val="single" w:sz="4" w:space="0" w:color="auto"/>
              <w:bottom w:val="single" w:sz="4" w:space="0" w:color="auto"/>
            </w:tcBorders>
            <w:shd w:val="clear" w:color="auto" w:fill="auto"/>
            <w:noWrap/>
            <w:vAlign w:val="bottom"/>
            <w:hideMark/>
          </w:tcPr>
          <w:p w14:paraId="0AC21CC7"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100%</w:t>
            </w:r>
          </w:p>
        </w:tc>
        <w:tc>
          <w:tcPr>
            <w:tcW w:w="663" w:type="dxa"/>
            <w:tcBorders>
              <w:top w:val="single" w:sz="4" w:space="0" w:color="auto"/>
              <w:bottom w:val="single" w:sz="4" w:space="0" w:color="auto"/>
            </w:tcBorders>
            <w:shd w:val="clear" w:color="auto" w:fill="auto"/>
            <w:noWrap/>
            <w:vAlign w:val="bottom"/>
            <w:hideMark/>
          </w:tcPr>
          <w:p w14:paraId="53D6BA76"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6FBC153C"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396.800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1D878CDE"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7433F40A"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69EB3053"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3B2DEF6C"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14</w:t>
            </w:r>
          </w:p>
        </w:tc>
        <w:tc>
          <w:tcPr>
            <w:tcW w:w="2665" w:type="dxa"/>
            <w:tcBorders>
              <w:top w:val="single" w:sz="4" w:space="0" w:color="auto"/>
              <w:bottom w:val="single" w:sz="4" w:space="0" w:color="auto"/>
            </w:tcBorders>
            <w:shd w:val="clear" w:color="auto" w:fill="auto"/>
            <w:vAlign w:val="bottom"/>
            <w:hideMark/>
          </w:tcPr>
          <w:p w14:paraId="6C46D69A"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poluprikolica (4 komada) iz 2024</w:t>
            </w:r>
          </w:p>
        </w:tc>
        <w:tc>
          <w:tcPr>
            <w:tcW w:w="1011" w:type="dxa"/>
            <w:tcBorders>
              <w:top w:val="single" w:sz="4" w:space="0" w:color="auto"/>
              <w:bottom w:val="single" w:sz="4" w:space="0" w:color="auto"/>
            </w:tcBorders>
            <w:shd w:val="clear" w:color="auto" w:fill="auto"/>
            <w:noWrap/>
            <w:vAlign w:val="bottom"/>
            <w:hideMark/>
          </w:tcPr>
          <w:p w14:paraId="74A3C003"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487.000</w:t>
            </w:r>
          </w:p>
        </w:tc>
        <w:tc>
          <w:tcPr>
            <w:tcW w:w="1027" w:type="dxa"/>
            <w:tcBorders>
              <w:top w:val="single" w:sz="4" w:space="0" w:color="auto"/>
              <w:bottom w:val="single" w:sz="4" w:space="0" w:color="auto"/>
            </w:tcBorders>
            <w:shd w:val="clear" w:color="auto" w:fill="auto"/>
            <w:noWrap/>
            <w:vAlign w:val="bottom"/>
            <w:hideMark/>
          </w:tcPr>
          <w:p w14:paraId="490A2CD9"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2667611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67057F08" w14:textId="0DF16C10"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58E74C84"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3C6F5266"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15B8E2DB"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70E3B031"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40DF31E3"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7EA9C8F9"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15</w:t>
            </w:r>
          </w:p>
        </w:tc>
        <w:tc>
          <w:tcPr>
            <w:tcW w:w="2665" w:type="dxa"/>
            <w:tcBorders>
              <w:top w:val="single" w:sz="4" w:space="0" w:color="auto"/>
              <w:bottom w:val="single" w:sz="4" w:space="0" w:color="auto"/>
            </w:tcBorders>
            <w:shd w:val="clear" w:color="auto" w:fill="auto"/>
            <w:vAlign w:val="bottom"/>
            <w:hideMark/>
          </w:tcPr>
          <w:p w14:paraId="528FFD14"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škaraste platforme</w:t>
            </w:r>
          </w:p>
        </w:tc>
        <w:tc>
          <w:tcPr>
            <w:tcW w:w="1011" w:type="dxa"/>
            <w:tcBorders>
              <w:top w:val="single" w:sz="4" w:space="0" w:color="auto"/>
              <w:bottom w:val="single" w:sz="4" w:space="0" w:color="auto"/>
            </w:tcBorders>
            <w:shd w:val="clear" w:color="auto" w:fill="auto"/>
            <w:noWrap/>
            <w:vAlign w:val="bottom"/>
            <w:hideMark/>
          </w:tcPr>
          <w:p w14:paraId="78ECD595"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35.000</w:t>
            </w:r>
          </w:p>
        </w:tc>
        <w:tc>
          <w:tcPr>
            <w:tcW w:w="1027" w:type="dxa"/>
            <w:tcBorders>
              <w:top w:val="single" w:sz="4" w:space="0" w:color="auto"/>
              <w:bottom w:val="single" w:sz="4" w:space="0" w:color="auto"/>
            </w:tcBorders>
            <w:shd w:val="clear" w:color="auto" w:fill="auto"/>
            <w:noWrap/>
            <w:vAlign w:val="bottom"/>
            <w:hideMark/>
          </w:tcPr>
          <w:p w14:paraId="30CAB5D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6BAF6EC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443A5297" w14:textId="01CB5392"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0C7F339D"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06EBCFD3"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1F909790"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091334DA"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1F405325"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4D89AF20"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16</w:t>
            </w:r>
          </w:p>
        </w:tc>
        <w:tc>
          <w:tcPr>
            <w:tcW w:w="2665" w:type="dxa"/>
            <w:tcBorders>
              <w:top w:val="single" w:sz="4" w:space="0" w:color="auto"/>
              <w:bottom w:val="single" w:sz="4" w:space="0" w:color="auto"/>
            </w:tcBorders>
            <w:shd w:val="clear" w:color="auto" w:fill="auto"/>
            <w:vAlign w:val="bottom"/>
            <w:hideMark/>
          </w:tcPr>
          <w:p w14:paraId="36103A6A"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Mobilni reflektori za odlagalište</w:t>
            </w:r>
          </w:p>
        </w:tc>
        <w:tc>
          <w:tcPr>
            <w:tcW w:w="1011" w:type="dxa"/>
            <w:tcBorders>
              <w:top w:val="single" w:sz="4" w:space="0" w:color="auto"/>
              <w:bottom w:val="single" w:sz="4" w:space="0" w:color="auto"/>
            </w:tcBorders>
            <w:shd w:val="clear" w:color="auto" w:fill="auto"/>
            <w:noWrap/>
            <w:vAlign w:val="bottom"/>
            <w:hideMark/>
          </w:tcPr>
          <w:p w14:paraId="279DBB8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34.000</w:t>
            </w:r>
          </w:p>
        </w:tc>
        <w:tc>
          <w:tcPr>
            <w:tcW w:w="1027" w:type="dxa"/>
            <w:tcBorders>
              <w:top w:val="single" w:sz="4" w:space="0" w:color="auto"/>
              <w:bottom w:val="single" w:sz="4" w:space="0" w:color="auto"/>
            </w:tcBorders>
            <w:shd w:val="clear" w:color="auto" w:fill="auto"/>
            <w:noWrap/>
            <w:vAlign w:val="bottom"/>
            <w:hideMark/>
          </w:tcPr>
          <w:p w14:paraId="69307E7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18.000</w:t>
            </w:r>
          </w:p>
        </w:tc>
        <w:tc>
          <w:tcPr>
            <w:tcW w:w="1261" w:type="dxa"/>
            <w:tcBorders>
              <w:top w:val="single" w:sz="4" w:space="0" w:color="auto"/>
              <w:bottom w:val="single" w:sz="4" w:space="0" w:color="auto"/>
            </w:tcBorders>
            <w:shd w:val="clear" w:color="auto" w:fill="auto"/>
            <w:noWrap/>
            <w:vAlign w:val="bottom"/>
            <w:hideMark/>
          </w:tcPr>
          <w:p w14:paraId="04707333"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6900287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663" w:type="dxa"/>
            <w:tcBorders>
              <w:top w:val="single" w:sz="4" w:space="0" w:color="auto"/>
              <w:bottom w:val="single" w:sz="4" w:space="0" w:color="auto"/>
            </w:tcBorders>
            <w:shd w:val="clear" w:color="auto" w:fill="auto"/>
            <w:noWrap/>
            <w:vAlign w:val="bottom"/>
            <w:hideMark/>
          </w:tcPr>
          <w:p w14:paraId="461C6ABD"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4B37BFE2"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34C9182B"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21B10603"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410D301A"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01C272CF"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17</w:t>
            </w:r>
          </w:p>
        </w:tc>
        <w:tc>
          <w:tcPr>
            <w:tcW w:w="2665" w:type="dxa"/>
            <w:tcBorders>
              <w:top w:val="single" w:sz="4" w:space="0" w:color="auto"/>
              <w:bottom w:val="single" w:sz="4" w:space="0" w:color="auto"/>
            </w:tcBorders>
            <w:shd w:val="clear" w:color="auto" w:fill="auto"/>
            <w:vAlign w:val="bottom"/>
            <w:hideMark/>
          </w:tcPr>
          <w:p w14:paraId="1BBB23CD"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Hooklift vozila</w:t>
            </w:r>
          </w:p>
        </w:tc>
        <w:tc>
          <w:tcPr>
            <w:tcW w:w="1011" w:type="dxa"/>
            <w:tcBorders>
              <w:top w:val="single" w:sz="4" w:space="0" w:color="auto"/>
              <w:bottom w:val="single" w:sz="4" w:space="0" w:color="auto"/>
            </w:tcBorders>
            <w:shd w:val="clear" w:color="auto" w:fill="auto"/>
            <w:noWrap/>
            <w:vAlign w:val="bottom"/>
            <w:hideMark/>
          </w:tcPr>
          <w:p w14:paraId="75593694"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215.500</w:t>
            </w:r>
          </w:p>
        </w:tc>
        <w:tc>
          <w:tcPr>
            <w:tcW w:w="1027" w:type="dxa"/>
            <w:tcBorders>
              <w:top w:val="single" w:sz="4" w:space="0" w:color="auto"/>
              <w:bottom w:val="single" w:sz="4" w:space="0" w:color="auto"/>
            </w:tcBorders>
            <w:shd w:val="clear" w:color="auto" w:fill="auto"/>
            <w:noWrap/>
            <w:vAlign w:val="bottom"/>
            <w:hideMark/>
          </w:tcPr>
          <w:p w14:paraId="7A8FCB1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796E3C64"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150FB3DA" w14:textId="7051AC87"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16737EDA"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67D61DB3"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1C3E5830"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1EC9DC17"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5F573A50"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31FB35CE"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18</w:t>
            </w:r>
          </w:p>
        </w:tc>
        <w:tc>
          <w:tcPr>
            <w:tcW w:w="2665" w:type="dxa"/>
            <w:tcBorders>
              <w:top w:val="single" w:sz="4" w:space="0" w:color="auto"/>
              <w:bottom w:val="single" w:sz="4" w:space="0" w:color="auto"/>
            </w:tcBorders>
            <w:shd w:val="clear" w:color="auto" w:fill="auto"/>
            <w:vAlign w:val="bottom"/>
            <w:hideMark/>
          </w:tcPr>
          <w:p w14:paraId="0D4BE9F2"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Utovarivač na gusjenicama</w:t>
            </w:r>
          </w:p>
        </w:tc>
        <w:tc>
          <w:tcPr>
            <w:tcW w:w="1011" w:type="dxa"/>
            <w:tcBorders>
              <w:top w:val="single" w:sz="4" w:space="0" w:color="auto"/>
              <w:bottom w:val="single" w:sz="4" w:space="0" w:color="auto"/>
            </w:tcBorders>
            <w:shd w:val="clear" w:color="auto" w:fill="auto"/>
            <w:noWrap/>
            <w:vAlign w:val="bottom"/>
            <w:hideMark/>
          </w:tcPr>
          <w:p w14:paraId="345A8EA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027" w:type="dxa"/>
            <w:tcBorders>
              <w:top w:val="single" w:sz="4" w:space="0" w:color="auto"/>
              <w:bottom w:val="single" w:sz="4" w:space="0" w:color="auto"/>
            </w:tcBorders>
            <w:shd w:val="clear" w:color="auto" w:fill="auto"/>
            <w:noWrap/>
            <w:vAlign w:val="bottom"/>
            <w:hideMark/>
          </w:tcPr>
          <w:p w14:paraId="112071A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400.000</w:t>
            </w:r>
          </w:p>
        </w:tc>
        <w:tc>
          <w:tcPr>
            <w:tcW w:w="1261" w:type="dxa"/>
            <w:tcBorders>
              <w:top w:val="single" w:sz="4" w:space="0" w:color="auto"/>
              <w:bottom w:val="single" w:sz="4" w:space="0" w:color="auto"/>
            </w:tcBorders>
            <w:shd w:val="clear" w:color="auto" w:fill="auto"/>
            <w:noWrap/>
            <w:vAlign w:val="bottom"/>
            <w:hideMark/>
          </w:tcPr>
          <w:p w14:paraId="24B57966"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875" w:type="dxa"/>
            <w:tcBorders>
              <w:top w:val="single" w:sz="4" w:space="0" w:color="auto"/>
              <w:bottom w:val="single" w:sz="4" w:space="0" w:color="auto"/>
            </w:tcBorders>
            <w:shd w:val="clear" w:color="auto" w:fill="auto"/>
            <w:noWrap/>
            <w:vAlign w:val="bottom"/>
            <w:hideMark/>
          </w:tcPr>
          <w:p w14:paraId="60FF147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663" w:type="dxa"/>
            <w:tcBorders>
              <w:top w:val="single" w:sz="4" w:space="0" w:color="auto"/>
              <w:bottom w:val="single" w:sz="4" w:space="0" w:color="auto"/>
            </w:tcBorders>
            <w:shd w:val="clear" w:color="auto" w:fill="auto"/>
            <w:noWrap/>
            <w:vAlign w:val="bottom"/>
            <w:hideMark/>
          </w:tcPr>
          <w:p w14:paraId="34C043D0"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4EF659B4"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0</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5BDC31BF" w14:textId="419DF47A" w:rsidR="00BE013F" w:rsidRPr="00BE013F" w:rsidRDefault="004B40F0"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296D40AF"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4B3D395E"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3064E681"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19</w:t>
            </w:r>
          </w:p>
        </w:tc>
        <w:tc>
          <w:tcPr>
            <w:tcW w:w="2665" w:type="dxa"/>
            <w:tcBorders>
              <w:top w:val="single" w:sz="4" w:space="0" w:color="auto"/>
              <w:bottom w:val="single" w:sz="4" w:space="0" w:color="auto"/>
            </w:tcBorders>
            <w:shd w:val="clear" w:color="auto" w:fill="auto"/>
            <w:vAlign w:val="bottom"/>
            <w:hideMark/>
          </w:tcPr>
          <w:p w14:paraId="29EBBBBB"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viličara</w:t>
            </w:r>
          </w:p>
        </w:tc>
        <w:tc>
          <w:tcPr>
            <w:tcW w:w="1011" w:type="dxa"/>
            <w:tcBorders>
              <w:top w:val="single" w:sz="4" w:space="0" w:color="auto"/>
              <w:bottom w:val="single" w:sz="4" w:space="0" w:color="auto"/>
            </w:tcBorders>
            <w:shd w:val="clear" w:color="auto" w:fill="auto"/>
            <w:noWrap/>
            <w:vAlign w:val="bottom"/>
            <w:hideMark/>
          </w:tcPr>
          <w:p w14:paraId="538DB8B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027" w:type="dxa"/>
            <w:tcBorders>
              <w:top w:val="single" w:sz="4" w:space="0" w:color="auto"/>
              <w:bottom w:val="single" w:sz="4" w:space="0" w:color="auto"/>
            </w:tcBorders>
            <w:shd w:val="clear" w:color="auto" w:fill="auto"/>
            <w:noWrap/>
            <w:vAlign w:val="bottom"/>
            <w:hideMark/>
          </w:tcPr>
          <w:p w14:paraId="7EF5399F"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89.758</w:t>
            </w:r>
          </w:p>
        </w:tc>
        <w:tc>
          <w:tcPr>
            <w:tcW w:w="1261" w:type="dxa"/>
            <w:tcBorders>
              <w:top w:val="single" w:sz="4" w:space="0" w:color="auto"/>
              <w:bottom w:val="single" w:sz="4" w:space="0" w:color="auto"/>
            </w:tcBorders>
            <w:shd w:val="clear" w:color="auto" w:fill="auto"/>
            <w:noWrap/>
            <w:vAlign w:val="bottom"/>
            <w:hideMark/>
          </w:tcPr>
          <w:p w14:paraId="20B0787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89.758</w:t>
            </w:r>
          </w:p>
        </w:tc>
        <w:tc>
          <w:tcPr>
            <w:tcW w:w="875" w:type="dxa"/>
            <w:tcBorders>
              <w:top w:val="single" w:sz="4" w:space="0" w:color="auto"/>
              <w:bottom w:val="single" w:sz="4" w:space="0" w:color="auto"/>
            </w:tcBorders>
            <w:shd w:val="clear" w:color="auto" w:fill="auto"/>
            <w:noWrap/>
            <w:vAlign w:val="bottom"/>
            <w:hideMark/>
          </w:tcPr>
          <w:p w14:paraId="2D0AD9E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100%</w:t>
            </w:r>
          </w:p>
        </w:tc>
        <w:tc>
          <w:tcPr>
            <w:tcW w:w="663" w:type="dxa"/>
            <w:tcBorders>
              <w:top w:val="single" w:sz="4" w:space="0" w:color="auto"/>
              <w:bottom w:val="single" w:sz="4" w:space="0" w:color="auto"/>
            </w:tcBorders>
            <w:shd w:val="clear" w:color="auto" w:fill="auto"/>
            <w:noWrap/>
            <w:vAlign w:val="bottom"/>
            <w:hideMark/>
          </w:tcPr>
          <w:p w14:paraId="145751BC"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74E75DB4"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89.758</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6B02BC5F" w14:textId="63B8C555" w:rsidR="00BE013F" w:rsidRPr="00BE013F" w:rsidRDefault="004B40F0"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63017D9F"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7B44088F"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06CEA79D"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20</w:t>
            </w:r>
          </w:p>
        </w:tc>
        <w:tc>
          <w:tcPr>
            <w:tcW w:w="2665" w:type="dxa"/>
            <w:tcBorders>
              <w:top w:val="single" w:sz="4" w:space="0" w:color="auto"/>
              <w:bottom w:val="single" w:sz="4" w:space="0" w:color="auto"/>
            </w:tcBorders>
            <w:shd w:val="clear" w:color="auto" w:fill="auto"/>
            <w:vAlign w:val="bottom"/>
            <w:hideMark/>
          </w:tcPr>
          <w:p w14:paraId="4100EB0E"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Uredski inventar</w:t>
            </w:r>
          </w:p>
        </w:tc>
        <w:tc>
          <w:tcPr>
            <w:tcW w:w="1011" w:type="dxa"/>
            <w:tcBorders>
              <w:top w:val="single" w:sz="4" w:space="0" w:color="auto"/>
              <w:bottom w:val="single" w:sz="4" w:space="0" w:color="auto"/>
            </w:tcBorders>
            <w:shd w:val="clear" w:color="auto" w:fill="auto"/>
            <w:noWrap/>
            <w:vAlign w:val="bottom"/>
            <w:hideMark/>
          </w:tcPr>
          <w:p w14:paraId="5B465AB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w:t>
            </w:r>
          </w:p>
        </w:tc>
        <w:tc>
          <w:tcPr>
            <w:tcW w:w="1027" w:type="dxa"/>
            <w:tcBorders>
              <w:top w:val="single" w:sz="4" w:space="0" w:color="auto"/>
              <w:bottom w:val="single" w:sz="4" w:space="0" w:color="auto"/>
            </w:tcBorders>
            <w:shd w:val="clear" w:color="auto" w:fill="auto"/>
            <w:noWrap/>
            <w:vAlign w:val="bottom"/>
            <w:hideMark/>
          </w:tcPr>
          <w:p w14:paraId="351213A4"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w:t>
            </w:r>
          </w:p>
        </w:tc>
        <w:tc>
          <w:tcPr>
            <w:tcW w:w="1261" w:type="dxa"/>
            <w:tcBorders>
              <w:top w:val="single" w:sz="4" w:space="0" w:color="auto"/>
              <w:bottom w:val="single" w:sz="4" w:space="0" w:color="auto"/>
            </w:tcBorders>
            <w:shd w:val="clear" w:color="auto" w:fill="auto"/>
            <w:noWrap/>
            <w:vAlign w:val="bottom"/>
            <w:hideMark/>
          </w:tcPr>
          <w:p w14:paraId="11883E2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14.668</w:t>
            </w:r>
          </w:p>
        </w:tc>
        <w:tc>
          <w:tcPr>
            <w:tcW w:w="875" w:type="dxa"/>
            <w:tcBorders>
              <w:top w:val="single" w:sz="4" w:space="0" w:color="auto"/>
              <w:bottom w:val="single" w:sz="4" w:space="0" w:color="auto"/>
            </w:tcBorders>
            <w:shd w:val="clear" w:color="auto" w:fill="auto"/>
            <w:noWrap/>
            <w:vAlign w:val="bottom"/>
            <w:hideMark/>
          </w:tcPr>
          <w:p w14:paraId="32C5A4F4"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293%</w:t>
            </w:r>
          </w:p>
        </w:tc>
        <w:tc>
          <w:tcPr>
            <w:tcW w:w="663" w:type="dxa"/>
            <w:tcBorders>
              <w:top w:val="single" w:sz="4" w:space="0" w:color="auto"/>
              <w:bottom w:val="single" w:sz="4" w:space="0" w:color="auto"/>
            </w:tcBorders>
            <w:shd w:val="clear" w:color="auto" w:fill="auto"/>
            <w:noWrap/>
            <w:vAlign w:val="bottom"/>
            <w:hideMark/>
          </w:tcPr>
          <w:p w14:paraId="6355FA5B"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74726D77"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14.668</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64DE6A76"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43A71100"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1F4F6633"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7C0954CD"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21</w:t>
            </w:r>
          </w:p>
        </w:tc>
        <w:tc>
          <w:tcPr>
            <w:tcW w:w="2665" w:type="dxa"/>
            <w:tcBorders>
              <w:top w:val="single" w:sz="4" w:space="0" w:color="auto"/>
              <w:bottom w:val="single" w:sz="4" w:space="0" w:color="auto"/>
            </w:tcBorders>
            <w:shd w:val="clear" w:color="auto" w:fill="auto"/>
            <w:vAlign w:val="bottom"/>
            <w:hideMark/>
          </w:tcPr>
          <w:p w14:paraId="0D072A3F" w14:textId="08801C2D"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Rekonstrukcija krovnih panela</w:t>
            </w:r>
          </w:p>
        </w:tc>
        <w:tc>
          <w:tcPr>
            <w:tcW w:w="1011" w:type="dxa"/>
            <w:tcBorders>
              <w:top w:val="single" w:sz="4" w:space="0" w:color="auto"/>
              <w:bottom w:val="single" w:sz="4" w:space="0" w:color="auto"/>
            </w:tcBorders>
            <w:shd w:val="clear" w:color="auto" w:fill="auto"/>
            <w:noWrap/>
            <w:vAlign w:val="bottom"/>
            <w:hideMark/>
          </w:tcPr>
          <w:p w14:paraId="66EC6A68"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027" w:type="dxa"/>
            <w:tcBorders>
              <w:top w:val="single" w:sz="4" w:space="0" w:color="auto"/>
              <w:bottom w:val="single" w:sz="4" w:space="0" w:color="auto"/>
            </w:tcBorders>
            <w:shd w:val="clear" w:color="auto" w:fill="auto"/>
            <w:noWrap/>
            <w:vAlign w:val="bottom"/>
            <w:hideMark/>
          </w:tcPr>
          <w:p w14:paraId="16BB087A"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0</w:t>
            </w:r>
          </w:p>
        </w:tc>
        <w:tc>
          <w:tcPr>
            <w:tcW w:w="1261" w:type="dxa"/>
            <w:tcBorders>
              <w:top w:val="single" w:sz="4" w:space="0" w:color="auto"/>
              <w:bottom w:val="single" w:sz="4" w:space="0" w:color="auto"/>
            </w:tcBorders>
            <w:shd w:val="clear" w:color="auto" w:fill="auto"/>
            <w:noWrap/>
            <w:vAlign w:val="bottom"/>
            <w:hideMark/>
          </w:tcPr>
          <w:p w14:paraId="2040EAF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88.011</w:t>
            </w:r>
          </w:p>
        </w:tc>
        <w:tc>
          <w:tcPr>
            <w:tcW w:w="875" w:type="dxa"/>
            <w:tcBorders>
              <w:top w:val="single" w:sz="4" w:space="0" w:color="auto"/>
              <w:bottom w:val="single" w:sz="4" w:space="0" w:color="auto"/>
            </w:tcBorders>
            <w:shd w:val="clear" w:color="auto" w:fill="auto"/>
            <w:noWrap/>
            <w:vAlign w:val="bottom"/>
            <w:hideMark/>
          </w:tcPr>
          <w:p w14:paraId="7583CE5D" w14:textId="0854A27F" w:rsidR="00BE013F" w:rsidRPr="00BE013F" w:rsidRDefault="00F84B6F" w:rsidP="00F84B6F">
            <w:pPr>
              <w:spacing w:after="0" w:line="240" w:lineRule="auto"/>
              <w:jc w:val="center"/>
              <w:rPr>
                <w:rFonts w:ascii="Calibri" w:eastAsia="Times New Roman" w:hAnsi="Calibri" w:cs="Calibri"/>
                <w:sz w:val="18"/>
                <w:szCs w:val="18"/>
                <w:lang w:eastAsia="hr-HR"/>
              </w:rPr>
            </w:pPr>
            <w:r>
              <w:rPr>
                <w:rFonts w:ascii="Calibri" w:eastAsia="Times New Roman" w:hAnsi="Calibri" w:cs="Calibri"/>
                <w:sz w:val="18"/>
                <w:szCs w:val="18"/>
                <w:lang w:eastAsia="hr-HR"/>
              </w:rPr>
              <w:t>0</w:t>
            </w:r>
            <w:r w:rsidRPr="00BE013F">
              <w:rPr>
                <w:rFonts w:ascii="Calibri" w:eastAsia="Times New Roman" w:hAnsi="Calibri" w:cs="Calibri"/>
                <w:sz w:val="18"/>
                <w:szCs w:val="18"/>
                <w:lang w:eastAsia="hr-HR"/>
              </w:rPr>
              <w:t>%</w:t>
            </w:r>
          </w:p>
        </w:tc>
        <w:tc>
          <w:tcPr>
            <w:tcW w:w="663" w:type="dxa"/>
            <w:tcBorders>
              <w:top w:val="single" w:sz="4" w:space="0" w:color="auto"/>
              <w:bottom w:val="single" w:sz="4" w:space="0" w:color="auto"/>
            </w:tcBorders>
            <w:shd w:val="clear" w:color="auto" w:fill="auto"/>
            <w:noWrap/>
            <w:vAlign w:val="bottom"/>
            <w:hideMark/>
          </w:tcPr>
          <w:p w14:paraId="5C90B98C"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200%</w:t>
            </w:r>
          </w:p>
        </w:tc>
        <w:tc>
          <w:tcPr>
            <w:tcW w:w="1016" w:type="dxa"/>
            <w:tcBorders>
              <w:top w:val="single" w:sz="4" w:space="0" w:color="auto"/>
              <w:bottom w:val="single" w:sz="4" w:space="0" w:color="auto"/>
            </w:tcBorders>
            <w:shd w:val="clear" w:color="auto" w:fill="auto"/>
            <w:noWrap/>
            <w:vAlign w:val="bottom"/>
            <w:hideMark/>
          </w:tcPr>
          <w:p w14:paraId="372B2220"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88.011</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0CC8FF8B" w14:textId="427745FD" w:rsidR="00BE013F" w:rsidRPr="00BE013F" w:rsidRDefault="004B40F0"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160029C7"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79119F06"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44108121"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22</w:t>
            </w:r>
          </w:p>
        </w:tc>
        <w:tc>
          <w:tcPr>
            <w:tcW w:w="2665" w:type="dxa"/>
            <w:tcBorders>
              <w:top w:val="single" w:sz="4" w:space="0" w:color="auto"/>
              <w:bottom w:val="single" w:sz="4" w:space="0" w:color="auto"/>
            </w:tcBorders>
            <w:shd w:val="clear" w:color="auto" w:fill="auto"/>
            <w:noWrap/>
            <w:vAlign w:val="bottom"/>
            <w:hideMark/>
          </w:tcPr>
          <w:p w14:paraId="48369738" w14:textId="77777777"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Ostala ulaganja u imovinu</w:t>
            </w:r>
          </w:p>
        </w:tc>
        <w:tc>
          <w:tcPr>
            <w:tcW w:w="1011" w:type="dxa"/>
            <w:tcBorders>
              <w:top w:val="single" w:sz="4" w:space="0" w:color="auto"/>
              <w:bottom w:val="single" w:sz="4" w:space="0" w:color="auto"/>
            </w:tcBorders>
            <w:shd w:val="clear" w:color="auto" w:fill="auto"/>
            <w:noWrap/>
            <w:vAlign w:val="bottom"/>
            <w:hideMark/>
          </w:tcPr>
          <w:p w14:paraId="71541D14"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50.000</w:t>
            </w:r>
          </w:p>
        </w:tc>
        <w:tc>
          <w:tcPr>
            <w:tcW w:w="1027" w:type="dxa"/>
            <w:tcBorders>
              <w:top w:val="single" w:sz="4" w:space="0" w:color="auto"/>
              <w:bottom w:val="single" w:sz="4" w:space="0" w:color="auto"/>
            </w:tcBorders>
            <w:shd w:val="clear" w:color="auto" w:fill="auto"/>
            <w:noWrap/>
            <w:vAlign w:val="bottom"/>
            <w:hideMark/>
          </w:tcPr>
          <w:p w14:paraId="42EC6B05"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90.000</w:t>
            </w:r>
          </w:p>
        </w:tc>
        <w:tc>
          <w:tcPr>
            <w:tcW w:w="1261" w:type="dxa"/>
            <w:tcBorders>
              <w:top w:val="single" w:sz="4" w:space="0" w:color="auto"/>
              <w:bottom w:val="single" w:sz="4" w:space="0" w:color="auto"/>
            </w:tcBorders>
            <w:shd w:val="clear" w:color="auto" w:fill="auto"/>
            <w:noWrap/>
            <w:vAlign w:val="bottom"/>
            <w:hideMark/>
          </w:tcPr>
          <w:p w14:paraId="02D2883F"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135.094</w:t>
            </w:r>
          </w:p>
        </w:tc>
        <w:tc>
          <w:tcPr>
            <w:tcW w:w="875" w:type="dxa"/>
            <w:tcBorders>
              <w:top w:val="single" w:sz="4" w:space="0" w:color="auto"/>
              <w:bottom w:val="single" w:sz="4" w:space="0" w:color="auto"/>
            </w:tcBorders>
            <w:shd w:val="clear" w:color="auto" w:fill="auto"/>
            <w:noWrap/>
            <w:vAlign w:val="bottom"/>
            <w:hideMark/>
          </w:tcPr>
          <w:p w14:paraId="61C17BCD"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150%</w:t>
            </w:r>
          </w:p>
        </w:tc>
        <w:tc>
          <w:tcPr>
            <w:tcW w:w="663" w:type="dxa"/>
            <w:tcBorders>
              <w:top w:val="single" w:sz="4" w:space="0" w:color="auto"/>
              <w:bottom w:val="single" w:sz="4" w:space="0" w:color="auto"/>
            </w:tcBorders>
            <w:shd w:val="clear" w:color="auto" w:fill="auto"/>
            <w:noWrap/>
            <w:vAlign w:val="bottom"/>
            <w:hideMark/>
          </w:tcPr>
          <w:p w14:paraId="56B75A0A"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5306180F"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135.094</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2BD5DCE7"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46886182"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5D6A8D0F"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340EB17A"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23</w:t>
            </w:r>
          </w:p>
        </w:tc>
        <w:tc>
          <w:tcPr>
            <w:tcW w:w="2665" w:type="dxa"/>
            <w:tcBorders>
              <w:top w:val="single" w:sz="4" w:space="0" w:color="auto"/>
              <w:bottom w:val="single" w:sz="4" w:space="0" w:color="auto"/>
            </w:tcBorders>
            <w:shd w:val="clear" w:color="auto" w:fill="auto"/>
            <w:noWrap/>
            <w:vAlign w:val="bottom"/>
            <w:hideMark/>
          </w:tcPr>
          <w:p w14:paraId="32BB5862" w14:textId="3F344133"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Nabava  sobnog automobila</w:t>
            </w:r>
          </w:p>
        </w:tc>
        <w:tc>
          <w:tcPr>
            <w:tcW w:w="1011" w:type="dxa"/>
            <w:tcBorders>
              <w:top w:val="single" w:sz="4" w:space="0" w:color="auto"/>
              <w:bottom w:val="single" w:sz="4" w:space="0" w:color="auto"/>
            </w:tcBorders>
            <w:shd w:val="clear" w:color="auto" w:fill="auto"/>
            <w:noWrap/>
            <w:vAlign w:val="bottom"/>
            <w:hideMark/>
          </w:tcPr>
          <w:p w14:paraId="583A70E1"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26.000</w:t>
            </w:r>
          </w:p>
        </w:tc>
        <w:tc>
          <w:tcPr>
            <w:tcW w:w="1027" w:type="dxa"/>
            <w:tcBorders>
              <w:top w:val="single" w:sz="4" w:space="0" w:color="auto"/>
              <w:bottom w:val="single" w:sz="4" w:space="0" w:color="auto"/>
            </w:tcBorders>
            <w:shd w:val="clear" w:color="auto" w:fill="auto"/>
            <w:noWrap/>
            <w:vAlign w:val="bottom"/>
            <w:hideMark/>
          </w:tcPr>
          <w:p w14:paraId="55095A4D"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30.658</w:t>
            </w:r>
          </w:p>
        </w:tc>
        <w:tc>
          <w:tcPr>
            <w:tcW w:w="1261" w:type="dxa"/>
            <w:tcBorders>
              <w:top w:val="single" w:sz="4" w:space="0" w:color="auto"/>
              <w:bottom w:val="single" w:sz="4" w:space="0" w:color="auto"/>
            </w:tcBorders>
            <w:shd w:val="clear" w:color="auto" w:fill="auto"/>
            <w:noWrap/>
            <w:vAlign w:val="bottom"/>
            <w:hideMark/>
          </w:tcPr>
          <w:p w14:paraId="62DA31C2"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30.658</w:t>
            </w:r>
          </w:p>
        </w:tc>
        <w:tc>
          <w:tcPr>
            <w:tcW w:w="875" w:type="dxa"/>
            <w:tcBorders>
              <w:top w:val="single" w:sz="4" w:space="0" w:color="auto"/>
              <w:bottom w:val="single" w:sz="4" w:space="0" w:color="auto"/>
            </w:tcBorders>
            <w:shd w:val="clear" w:color="auto" w:fill="auto"/>
            <w:noWrap/>
            <w:vAlign w:val="bottom"/>
            <w:hideMark/>
          </w:tcPr>
          <w:p w14:paraId="67B3CDFE"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100%</w:t>
            </w:r>
          </w:p>
        </w:tc>
        <w:tc>
          <w:tcPr>
            <w:tcW w:w="663" w:type="dxa"/>
            <w:tcBorders>
              <w:top w:val="single" w:sz="4" w:space="0" w:color="auto"/>
              <w:bottom w:val="single" w:sz="4" w:space="0" w:color="auto"/>
            </w:tcBorders>
            <w:shd w:val="clear" w:color="auto" w:fill="auto"/>
            <w:noWrap/>
            <w:vAlign w:val="bottom"/>
            <w:hideMark/>
          </w:tcPr>
          <w:p w14:paraId="77F28667"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2E1B044C"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30.658</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5D809A38"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29A9428B"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E8CB1DF"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5BB26BFD" w14:textId="77777777" w:rsidR="00BE013F" w:rsidRPr="00BE013F" w:rsidRDefault="00BE013F" w:rsidP="00F84B6F">
            <w:pPr>
              <w:spacing w:after="0" w:line="240" w:lineRule="auto"/>
              <w:rPr>
                <w:rFonts w:ascii="Calibri" w:eastAsia="Times New Roman" w:hAnsi="Calibri" w:cs="Calibri"/>
                <w:color w:val="000000"/>
                <w:sz w:val="18"/>
                <w:szCs w:val="18"/>
                <w:lang w:eastAsia="hr-HR"/>
              </w:rPr>
            </w:pPr>
            <w:r w:rsidRPr="00BE013F">
              <w:rPr>
                <w:rFonts w:ascii="Calibri" w:eastAsia="Times New Roman" w:hAnsi="Calibri" w:cs="Calibri"/>
                <w:color w:val="000000"/>
                <w:sz w:val="18"/>
                <w:szCs w:val="18"/>
                <w:lang w:eastAsia="hr-HR"/>
              </w:rPr>
              <w:t>24</w:t>
            </w:r>
          </w:p>
        </w:tc>
        <w:tc>
          <w:tcPr>
            <w:tcW w:w="2665" w:type="dxa"/>
            <w:tcBorders>
              <w:top w:val="single" w:sz="4" w:space="0" w:color="auto"/>
              <w:bottom w:val="single" w:sz="4" w:space="0" w:color="auto"/>
            </w:tcBorders>
            <w:shd w:val="clear" w:color="auto" w:fill="auto"/>
            <w:noWrap/>
            <w:vAlign w:val="bottom"/>
            <w:hideMark/>
          </w:tcPr>
          <w:p w14:paraId="66E5A632" w14:textId="7E929686" w:rsidR="00BE013F" w:rsidRPr="00BE013F" w:rsidRDefault="00BE013F" w:rsidP="00F84B6F">
            <w:pPr>
              <w:spacing w:after="0" w:line="240" w:lineRule="auto"/>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Nadogradnja videonadzora</w:t>
            </w:r>
          </w:p>
        </w:tc>
        <w:tc>
          <w:tcPr>
            <w:tcW w:w="1011" w:type="dxa"/>
            <w:tcBorders>
              <w:top w:val="single" w:sz="4" w:space="0" w:color="auto"/>
              <w:bottom w:val="single" w:sz="4" w:space="0" w:color="auto"/>
            </w:tcBorders>
            <w:shd w:val="clear" w:color="auto" w:fill="auto"/>
            <w:noWrap/>
            <w:vAlign w:val="bottom"/>
            <w:hideMark/>
          </w:tcPr>
          <w:p w14:paraId="1325AB7A"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68.000</w:t>
            </w:r>
          </w:p>
        </w:tc>
        <w:tc>
          <w:tcPr>
            <w:tcW w:w="1027" w:type="dxa"/>
            <w:tcBorders>
              <w:top w:val="single" w:sz="4" w:space="0" w:color="auto"/>
              <w:bottom w:val="single" w:sz="4" w:space="0" w:color="auto"/>
            </w:tcBorders>
            <w:shd w:val="clear" w:color="auto" w:fill="auto"/>
            <w:noWrap/>
            <w:vAlign w:val="bottom"/>
            <w:hideMark/>
          </w:tcPr>
          <w:p w14:paraId="27301C99"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69.247</w:t>
            </w:r>
          </w:p>
        </w:tc>
        <w:tc>
          <w:tcPr>
            <w:tcW w:w="1261" w:type="dxa"/>
            <w:tcBorders>
              <w:top w:val="single" w:sz="4" w:space="0" w:color="auto"/>
              <w:bottom w:val="single" w:sz="4" w:space="0" w:color="auto"/>
            </w:tcBorders>
            <w:shd w:val="clear" w:color="auto" w:fill="auto"/>
            <w:noWrap/>
            <w:vAlign w:val="bottom"/>
            <w:hideMark/>
          </w:tcPr>
          <w:p w14:paraId="7BC5D2AD"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69.247</w:t>
            </w:r>
          </w:p>
        </w:tc>
        <w:tc>
          <w:tcPr>
            <w:tcW w:w="875" w:type="dxa"/>
            <w:tcBorders>
              <w:top w:val="single" w:sz="4" w:space="0" w:color="auto"/>
              <w:bottom w:val="single" w:sz="4" w:space="0" w:color="auto"/>
            </w:tcBorders>
            <w:shd w:val="clear" w:color="auto" w:fill="auto"/>
            <w:noWrap/>
            <w:vAlign w:val="bottom"/>
            <w:hideMark/>
          </w:tcPr>
          <w:p w14:paraId="6F30206B" w14:textId="77777777" w:rsidR="00BE013F" w:rsidRPr="00BE013F" w:rsidRDefault="00BE013F" w:rsidP="00F84B6F">
            <w:pPr>
              <w:spacing w:after="0" w:line="240" w:lineRule="auto"/>
              <w:jc w:val="center"/>
              <w:rPr>
                <w:rFonts w:ascii="Calibri" w:eastAsia="Times New Roman" w:hAnsi="Calibri" w:cs="Calibri"/>
                <w:sz w:val="18"/>
                <w:szCs w:val="18"/>
                <w:lang w:eastAsia="hr-HR"/>
              </w:rPr>
            </w:pPr>
            <w:r w:rsidRPr="00BE013F">
              <w:rPr>
                <w:rFonts w:ascii="Calibri" w:eastAsia="Times New Roman" w:hAnsi="Calibri" w:cs="Calibri"/>
                <w:sz w:val="18"/>
                <w:szCs w:val="18"/>
                <w:lang w:eastAsia="hr-HR"/>
              </w:rPr>
              <w:t>100%</w:t>
            </w:r>
          </w:p>
        </w:tc>
        <w:tc>
          <w:tcPr>
            <w:tcW w:w="663" w:type="dxa"/>
            <w:tcBorders>
              <w:top w:val="single" w:sz="4" w:space="0" w:color="auto"/>
              <w:bottom w:val="single" w:sz="4" w:space="0" w:color="auto"/>
            </w:tcBorders>
            <w:shd w:val="clear" w:color="auto" w:fill="auto"/>
            <w:noWrap/>
            <w:vAlign w:val="bottom"/>
            <w:hideMark/>
          </w:tcPr>
          <w:p w14:paraId="2458A687"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100%</w:t>
            </w:r>
          </w:p>
        </w:tc>
        <w:tc>
          <w:tcPr>
            <w:tcW w:w="1016" w:type="dxa"/>
            <w:tcBorders>
              <w:top w:val="single" w:sz="4" w:space="0" w:color="auto"/>
              <w:bottom w:val="single" w:sz="4" w:space="0" w:color="auto"/>
            </w:tcBorders>
            <w:shd w:val="clear" w:color="auto" w:fill="auto"/>
            <w:noWrap/>
            <w:vAlign w:val="bottom"/>
            <w:hideMark/>
          </w:tcPr>
          <w:p w14:paraId="77F9540B"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69.247</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331A2362" w14:textId="77777777" w:rsidR="00BE013F" w:rsidRPr="00BE013F" w:rsidRDefault="00BE013F" w:rsidP="00F84B6F">
            <w:pPr>
              <w:spacing w:after="0" w:line="240" w:lineRule="auto"/>
              <w:jc w:val="center"/>
              <w:rPr>
                <w:rFonts w:ascii="Calibri" w:eastAsia="Times New Roman" w:hAnsi="Calibri" w:cs="Calibri"/>
                <w:i/>
                <w:iCs/>
                <w:sz w:val="18"/>
                <w:szCs w:val="18"/>
                <w:lang w:eastAsia="hr-HR"/>
              </w:rPr>
            </w:pPr>
            <w:r w:rsidRPr="00BE013F">
              <w:rPr>
                <w:rFonts w:ascii="Calibri" w:eastAsia="Times New Roman" w:hAnsi="Calibri" w:cs="Calibri"/>
                <w:i/>
                <w:iCs/>
                <w:sz w:val="18"/>
                <w:szCs w:val="18"/>
                <w:lang w:eastAsia="hr-HR"/>
              </w:rPr>
              <w:t>Ekoplus</w:t>
            </w:r>
          </w:p>
        </w:tc>
        <w:tc>
          <w:tcPr>
            <w:tcW w:w="255" w:type="dxa"/>
            <w:tcBorders>
              <w:left w:val="single" w:sz="4" w:space="0" w:color="auto"/>
            </w:tcBorders>
            <w:vAlign w:val="center"/>
            <w:hideMark/>
          </w:tcPr>
          <w:p w14:paraId="0CCC23F9"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r w:rsidR="00BE013F" w:rsidRPr="00BE013F" w14:paraId="0F76F582" w14:textId="77777777" w:rsidTr="00AA5A01">
        <w:trPr>
          <w:trHeight w:val="333"/>
        </w:trPr>
        <w:tc>
          <w:tcPr>
            <w:tcW w:w="658" w:type="dxa"/>
            <w:tcBorders>
              <w:top w:val="single" w:sz="4" w:space="0" w:color="auto"/>
              <w:left w:val="single" w:sz="4" w:space="0" w:color="auto"/>
              <w:bottom w:val="single" w:sz="4" w:space="0" w:color="auto"/>
            </w:tcBorders>
            <w:shd w:val="clear" w:color="auto" w:fill="auto"/>
            <w:noWrap/>
            <w:vAlign w:val="bottom"/>
            <w:hideMark/>
          </w:tcPr>
          <w:p w14:paraId="46906425" w14:textId="77777777" w:rsidR="00BE013F" w:rsidRPr="00BE013F" w:rsidRDefault="00BE013F" w:rsidP="00F84B6F">
            <w:pPr>
              <w:spacing w:after="0" w:line="240" w:lineRule="auto"/>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 </w:t>
            </w:r>
          </w:p>
        </w:tc>
        <w:tc>
          <w:tcPr>
            <w:tcW w:w="2665" w:type="dxa"/>
            <w:tcBorders>
              <w:top w:val="single" w:sz="4" w:space="0" w:color="auto"/>
              <w:bottom w:val="single" w:sz="4" w:space="0" w:color="auto"/>
            </w:tcBorders>
            <w:shd w:val="clear" w:color="auto" w:fill="auto"/>
            <w:noWrap/>
            <w:vAlign w:val="bottom"/>
            <w:hideMark/>
          </w:tcPr>
          <w:p w14:paraId="2C5EB8C2" w14:textId="77777777" w:rsidR="00BE013F" w:rsidRPr="00BE013F" w:rsidRDefault="00BE013F" w:rsidP="00F84B6F">
            <w:pPr>
              <w:spacing w:after="0" w:line="240" w:lineRule="auto"/>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UKUPNO</w:t>
            </w:r>
          </w:p>
        </w:tc>
        <w:tc>
          <w:tcPr>
            <w:tcW w:w="1011" w:type="dxa"/>
            <w:tcBorders>
              <w:top w:val="single" w:sz="4" w:space="0" w:color="auto"/>
              <w:bottom w:val="single" w:sz="4" w:space="0" w:color="auto"/>
            </w:tcBorders>
            <w:shd w:val="clear" w:color="auto" w:fill="auto"/>
            <w:noWrap/>
            <w:vAlign w:val="bottom"/>
            <w:hideMark/>
          </w:tcPr>
          <w:p w14:paraId="48E2B1BC" w14:textId="2EA967BC" w:rsidR="00BE013F" w:rsidRPr="00BE013F" w:rsidRDefault="00AA5A01" w:rsidP="00F84B6F">
            <w:pPr>
              <w:spacing w:after="0" w:line="240" w:lineRule="auto"/>
              <w:jc w:val="center"/>
              <w:rPr>
                <w:rFonts w:ascii="Calibri" w:eastAsia="Times New Roman" w:hAnsi="Calibri" w:cs="Calibri"/>
                <w:b/>
                <w:bCs/>
                <w:sz w:val="18"/>
                <w:szCs w:val="18"/>
                <w:lang w:eastAsia="hr-HR"/>
              </w:rPr>
            </w:pPr>
            <w:r>
              <w:rPr>
                <w:rFonts w:ascii="Calibri" w:eastAsia="Times New Roman" w:hAnsi="Calibri" w:cs="Calibri"/>
                <w:b/>
                <w:bCs/>
                <w:sz w:val="18"/>
                <w:szCs w:val="18"/>
                <w:lang w:eastAsia="hr-HR"/>
              </w:rPr>
              <w:t>5.266.643</w:t>
            </w:r>
          </w:p>
        </w:tc>
        <w:tc>
          <w:tcPr>
            <w:tcW w:w="1027" w:type="dxa"/>
            <w:tcBorders>
              <w:top w:val="single" w:sz="4" w:space="0" w:color="auto"/>
              <w:bottom w:val="single" w:sz="4" w:space="0" w:color="auto"/>
            </w:tcBorders>
            <w:shd w:val="clear" w:color="auto" w:fill="auto"/>
            <w:noWrap/>
            <w:vAlign w:val="bottom"/>
            <w:hideMark/>
          </w:tcPr>
          <w:p w14:paraId="3BC9492C" w14:textId="77777777" w:rsidR="00BE013F" w:rsidRPr="00BE013F" w:rsidRDefault="00BE013F" w:rsidP="00F84B6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1.490.028</w:t>
            </w:r>
          </w:p>
        </w:tc>
        <w:tc>
          <w:tcPr>
            <w:tcW w:w="1261" w:type="dxa"/>
            <w:tcBorders>
              <w:top w:val="single" w:sz="4" w:space="0" w:color="auto"/>
              <w:bottom w:val="single" w:sz="4" w:space="0" w:color="auto"/>
            </w:tcBorders>
            <w:shd w:val="clear" w:color="auto" w:fill="auto"/>
            <w:noWrap/>
            <w:vAlign w:val="bottom"/>
            <w:hideMark/>
          </w:tcPr>
          <w:p w14:paraId="3408E897" w14:textId="4FAB3AF4" w:rsidR="00BE013F" w:rsidRPr="00BE013F" w:rsidRDefault="00BE013F" w:rsidP="00F84B6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1.622.619</w:t>
            </w:r>
          </w:p>
        </w:tc>
        <w:tc>
          <w:tcPr>
            <w:tcW w:w="875" w:type="dxa"/>
            <w:tcBorders>
              <w:top w:val="single" w:sz="4" w:space="0" w:color="auto"/>
              <w:bottom w:val="single" w:sz="4" w:space="0" w:color="auto"/>
            </w:tcBorders>
            <w:shd w:val="clear" w:color="auto" w:fill="auto"/>
            <w:noWrap/>
            <w:vAlign w:val="bottom"/>
            <w:hideMark/>
          </w:tcPr>
          <w:p w14:paraId="54CFA6E5" w14:textId="77777777" w:rsidR="00BE013F" w:rsidRPr="00BE013F" w:rsidRDefault="00BE013F" w:rsidP="00F84B6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109%</w:t>
            </w:r>
          </w:p>
        </w:tc>
        <w:tc>
          <w:tcPr>
            <w:tcW w:w="663" w:type="dxa"/>
            <w:tcBorders>
              <w:top w:val="single" w:sz="4" w:space="0" w:color="auto"/>
              <w:bottom w:val="single" w:sz="4" w:space="0" w:color="auto"/>
            </w:tcBorders>
            <w:shd w:val="clear" w:color="auto" w:fill="auto"/>
            <w:noWrap/>
            <w:vAlign w:val="bottom"/>
            <w:hideMark/>
          </w:tcPr>
          <w:p w14:paraId="3D428851" w14:textId="179DA679" w:rsidR="00BE013F" w:rsidRPr="00BE013F" w:rsidRDefault="00BE013F" w:rsidP="00F84B6F">
            <w:pPr>
              <w:spacing w:after="0" w:line="240" w:lineRule="auto"/>
              <w:jc w:val="center"/>
              <w:rPr>
                <w:rFonts w:ascii="Calibri" w:eastAsia="Times New Roman" w:hAnsi="Calibri" w:cs="Calibri"/>
                <w:b/>
                <w:bCs/>
                <w:sz w:val="18"/>
                <w:szCs w:val="18"/>
                <w:lang w:eastAsia="hr-HR"/>
              </w:rPr>
            </w:pPr>
          </w:p>
        </w:tc>
        <w:tc>
          <w:tcPr>
            <w:tcW w:w="1016" w:type="dxa"/>
            <w:tcBorders>
              <w:top w:val="single" w:sz="4" w:space="0" w:color="auto"/>
              <w:bottom w:val="single" w:sz="4" w:space="0" w:color="auto"/>
            </w:tcBorders>
            <w:shd w:val="clear" w:color="auto" w:fill="auto"/>
            <w:noWrap/>
            <w:vAlign w:val="bottom"/>
            <w:hideMark/>
          </w:tcPr>
          <w:p w14:paraId="3C745F32" w14:textId="77777777" w:rsidR="00BE013F" w:rsidRPr="00BE013F" w:rsidRDefault="00BE013F" w:rsidP="00F84B6F">
            <w:pPr>
              <w:spacing w:after="0" w:line="240" w:lineRule="auto"/>
              <w:jc w:val="center"/>
              <w:rPr>
                <w:rFonts w:ascii="Calibri" w:eastAsia="Times New Roman" w:hAnsi="Calibri" w:cs="Calibri"/>
                <w:b/>
                <w:bCs/>
                <w:sz w:val="18"/>
                <w:szCs w:val="18"/>
                <w:lang w:eastAsia="hr-HR"/>
              </w:rPr>
            </w:pPr>
            <w:r w:rsidRPr="00BE013F">
              <w:rPr>
                <w:rFonts w:ascii="Calibri" w:eastAsia="Times New Roman" w:hAnsi="Calibri" w:cs="Calibri"/>
                <w:b/>
                <w:bCs/>
                <w:sz w:val="18"/>
                <w:szCs w:val="18"/>
                <w:lang w:eastAsia="hr-HR"/>
              </w:rPr>
              <w:t>1.622.619</w:t>
            </w:r>
          </w:p>
        </w:tc>
        <w:tc>
          <w:tcPr>
            <w:tcW w:w="1192" w:type="dxa"/>
            <w:tcBorders>
              <w:top w:val="single" w:sz="4" w:space="0" w:color="auto"/>
              <w:bottom w:val="single" w:sz="4" w:space="0" w:color="auto"/>
              <w:right w:val="single" w:sz="4" w:space="0" w:color="auto"/>
            </w:tcBorders>
            <w:shd w:val="clear" w:color="auto" w:fill="auto"/>
            <w:noWrap/>
            <w:vAlign w:val="bottom"/>
            <w:hideMark/>
          </w:tcPr>
          <w:p w14:paraId="5774DDD9" w14:textId="16082130" w:rsidR="00BE013F" w:rsidRPr="00BE013F" w:rsidRDefault="00BE013F" w:rsidP="00F84B6F">
            <w:pPr>
              <w:spacing w:after="0" w:line="240" w:lineRule="auto"/>
              <w:jc w:val="center"/>
              <w:rPr>
                <w:rFonts w:ascii="Calibri" w:eastAsia="Times New Roman" w:hAnsi="Calibri" w:cs="Calibri"/>
                <w:sz w:val="18"/>
                <w:szCs w:val="18"/>
                <w:lang w:eastAsia="hr-HR"/>
              </w:rPr>
            </w:pPr>
          </w:p>
        </w:tc>
        <w:tc>
          <w:tcPr>
            <w:tcW w:w="255" w:type="dxa"/>
            <w:tcBorders>
              <w:left w:val="single" w:sz="4" w:space="0" w:color="auto"/>
            </w:tcBorders>
            <w:vAlign w:val="center"/>
            <w:hideMark/>
          </w:tcPr>
          <w:p w14:paraId="396FC21F" w14:textId="77777777" w:rsidR="00BE013F" w:rsidRPr="00BE013F" w:rsidRDefault="00BE013F" w:rsidP="00BE013F">
            <w:pPr>
              <w:spacing w:after="0" w:line="240" w:lineRule="auto"/>
              <w:rPr>
                <w:rFonts w:ascii="Times New Roman" w:eastAsia="Times New Roman" w:hAnsi="Times New Roman" w:cs="Times New Roman"/>
                <w:sz w:val="18"/>
                <w:szCs w:val="18"/>
                <w:lang w:eastAsia="hr-HR"/>
              </w:rPr>
            </w:pPr>
          </w:p>
        </w:tc>
      </w:tr>
    </w:tbl>
    <w:p w14:paraId="487B5D36" w14:textId="77777777" w:rsidR="005E4291" w:rsidRDefault="005E4291"/>
    <w:tbl>
      <w:tblPr>
        <w:tblW w:w="5804" w:type="dxa"/>
        <w:tblLook w:val="04A0" w:firstRow="1" w:lastRow="0" w:firstColumn="1" w:lastColumn="0" w:noHBand="0" w:noVBand="1"/>
      </w:tblPr>
      <w:tblGrid>
        <w:gridCol w:w="2154"/>
        <w:gridCol w:w="1134"/>
        <w:gridCol w:w="850"/>
        <w:gridCol w:w="1666"/>
      </w:tblGrid>
      <w:tr w:rsidR="005E4291" w:rsidRPr="005E4291" w14:paraId="54457386" w14:textId="77777777" w:rsidTr="005E4291">
        <w:trPr>
          <w:trHeight w:val="452"/>
        </w:trPr>
        <w:tc>
          <w:tcPr>
            <w:tcW w:w="3288" w:type="dxa"/>
            <w:gridSpan w:val="2"/>
            <w:tcBorders>
              <w:top w:val="nil"/>
              <w:left w:val="nil"/>
              <w:bottom w:val="nil"/>
              <w:right w:val="nil"/>
            </w:tcBorders>
            <w:shd w:val="clear" w:color="auto" w:fill="auto"/>
            <w:noWrap/>
            <w:vAlign w:val="bottom"/>
            <w:hideMark/>
          </w:tcPr>
          <w:p w14:paraId="6C68D63A" w14:textId="5E835AA3" w:rsidR="005E4291" w:rsidRPr="005E4291" w:rsidRDefault="005E4291" w:rsidP="00240CEA">
            <w:pPr>
              <w:spacing w:after="120" w:line="240" w:lineRule="auto"/>
              <w:rPr>
                <w:rFonts w:ascii="Calibri" w:eastAsia="Times New Roman" w:hAnsi="Calibri" w:cs="Calibri"/>
                <w:b/>
                <w:bCs/>
                <w:sz w:val="20"/>
                <w:szCs w:val="20"/>
                <w:lang w:eastAsia="hr-HR"/>
              </w:rPr>
            </w:pPr>
            <w:r w:rsidRPr="005E4291">
              <w:rPr>
                <w:rFonts w:ascii="Calibri" w:eastAsia="Times New Roman" w:hAnsi="Calibri" w:cs="Calibri"/>
                <w:b/>
                <w:bCs/>
                <w:sz w:val="20"/>
                <w:szCs w:val="20"/>
                <w:lang w:eastAsia="hr-HR"/>
              </w:rPr>
              <w:lastRenderedPageBreak/>
              <w:t>Rekapitulacija</w:t>
            </w:r>
            <w:r>
              <w:rPr>
                <w:rFonts w:ascii="Calibri" w:eastAsia="Times New Roman" w:hAnsi="Calibri" w:cs="Calibri"/>
                <w:b/>
                <w:bCs/>
                <w:sz w:val="20"/>
                <w:szCs w:val="20"/>
                <w:lang w:eastAsia="hr-HR"/>
              </w:rPr>
              <w:t>:</w:t>
            </w:r>
          </w:p>
        </w:tc>
        <w:tc>
          <w:tcPr>
            <w:tcW w:w="2516" w:type="dxa"/>
            <w:gridSpan w:val="2"/>
            <w:tcBorders>
              <w:top w:val="nil"/>
              <w:left w:val="nil"/>
              <w:bottom w:val="nil"/>
              <w:right w:val="nil"/>
            </w:tcBorders>
            <w:shd w:val="clear" w:color="auto" w:fill="auto"/>
            <w:noWrap/>
            <w:vAlign w:val="bottom"/>
            <w:hideMark/>
          </w:tcPr>
          <w:p w14:paraId="0CEF52BA" w14:textId="77777777" w:rsidR="005E4291" w:rsidRPr="005E4291" w:rsidRDefault="005E4291" w:rsidP="005E4291">
            <w:pPr>
              <w:spacing w:after="0" w:line="240" w:lineRule="auto"/>
              <w:rPr>
                <w:rFonts w:ascii="Calibri" w:eastAsia="Times New Roman" w:hAnsi="Calibri" w:cs="Calibri"/>
                <w:b/>
                <w:bCs/>
                <w:sz w:val="20"/>
                <w:szCs w:val="20"/>
                <w:lang w:eastAsia="hr-HR"/>
              </w:rPr>
            </w:pPr>
          </w:p>
        </w:tc>
      </w:tr>
      <w:tr w:rsidR="005E4291" w:rsidRPr="005E4291" w14:paraId="4A8B69AA" w14:textId="77777777" w:rsidTr="00FB1CEC">
        <w:trPr>
          <w:gridAfter w:val="1"/>
          <w:wAfter w:w="1666" w:type="dxa"/>
          <w:trHeight w:val="286"/>
        </w:trPr>
        <w:tc>
          <w:tcPr>
            <w:tcW w:w="2154" w:type="dxa"/>
            <w:tcBorders>
              <w:bottom w:val="nil"/>
            </w:tcBorders>
            <w:shd w:val="clear" w:color="auto" w:fill="auto"/>
            <w:vAlign w:val="bottom"/>
            <w:hideMark/>
          </w:tcPr>
          <w:p w14:paraId="076DC03D" w14:textId="77777777" w:rsidR="005E4291" w:rsidRPr="005E4291" w:rsidRDefault="005E4291" w:rsidP="00FB1CEC">
            <w:pPr>
              <w:spacing w:after="0" w:line="240" w:lineRule="auto"/>
              <w:rPr>
                <w:rFonts w:ascii="Calibri" w:eastAsia="Times New Roman" w:hAnsi="Calibri" w:cs="Calibri"/>
                <w:b/>
                <w:bCs/>
                <w:sz w:val="20"/>
                <w:szCs w:val="20"/>
                <w:lang w:eastAsia="hr-HR"/>
              </w:rPr>
            </w:pPr>
            <w:r w:rsidRPr="005E4291">
              <w:rPr>
                <w:rFonts w:ascii="Calibri" w:eastAsia="Times New Roman" w:hAnsi="Calibri" w:cs="Calibri"/>
                <w:b/>
                <w:bCs/>
                <w:sz w:val="20"/>
                <w:szCs w:val="20"/>
                <w:lang w:eastAsia="hr-HR"/>
              </w:rPr>
              <w:t>Izvor</w:t>
            </w:r>
          </w:p>
        </w:tc>
        <w:tc>
          <w:tcPr>
            <w:tcW w:w="1984" w:type="dxa"/>
            <w:gridSpan w:val="2"/>
            <w:tcBorders>
              <w:bottom w:val="nil"/>
            </w:tcBorders>
            <w:shd w:val="clear" w:color="auto" w:fill="auto"/>
            <w:vAlign w:val="bottom"/>
            <w:hideMark/>
          </w:tcPr>
          <w:p w14:paraId="18748E7F" w14:textId="77777777" w:rsidR="005E4291" w:rsidRPr="005E4291" w:rsidRDefault="005E4291" w:rsidP="00FB1CEC">
            <w:pPr>
              <w:spacing w:after="0" w:line="240" w:lineRule="auto"/>
              <w:rPr>
                <w:rFonts w:ascii="Calibri" w:eastAsia="Times New Roman" w:hAnsi="Calibri" w:cs="Calibri"/>
                <w:b/>
                <w:bCs/>
                <w:sz w:val="20"/>
                <w:szCs w:val="20"/>
                <w:lang w:eastAsia="hr-HR"/>
              </w:rPr>
            </w:pPr>
            <w:r w:rsidRPr="005E4291">
              <w:rPr>
                <w:rFonts w:ascii="Calibri" w:eastAsia="Times New Roman" w:hAnsi="Calibri" w:cs="Calibri"/>
                <w:b/>
                <w:bCs/>
                <w:sz w:val="20"/>
                <w:szCs w:val="20"/>
                <w:lang w:eastAsia="hr-HR"/>
              </w:rPr>
              <w:t>Iznos eur</w:t>
            </w:r>
          </w:p>
        </w:tc>
      </w:tr>
      <w:tr w:rsidR="005E4291" w:rsidRPr="005E4291" w14:paraId="65C00CC1" w14:textId="77777777" w:rsidTr="00FB1CEC">
        <w:trPr>
          <w:gridAfter w:val="1"/>
          <w:wAfter w:w="1666" w:type="dxa"/>
          <w:trHeight w:val="286"/>
        </w:trPr>
        <w:tc>
          <w:tcPr>
            <w:tcW w:w="2154" w:type="dxa"/>
            <w:tcBorders>
              <w:top w:val="nil"/>
              <w:bottom w:val="nil"/>
              <w:right w:val="nil"/>
            </w:tcBorders>
            <w:shd w:val="clear" w:color="auto" w:fill="auto"/>
            <w:noWrap/>
            <w:vAlign w:val="bottom"/>
            <w:hideMark/>
          </w:tcPr>
          <w:p w14:paraId="61617C31" w14:textId="77777777" w:rsidR="005E4291" w:rsidRPr="005E4291" w:rsidRDefault="005E4291" w:rsidP="00FB1CEC">
            <w:pPr>
              <w:spacing w:after="0" w:line="240" w:lineRule="auto"/>
              <w:rPr>
                <w:rFonts w:ascii="Calibri" w:eastAsia="Times New Roman" w:hAnsi="Calibri" w:cs="Calibri"/>
                <w:sz w:val="20"/>
                <w:szCs w:val="20"/>
                <w:lang w:eastAsia="hr-HR"/>
              </w:rPr>
            </w:pPr>
            <w:r w:rsidRPr="005E4291">
              <w:rPr>
                <w:rFonts w:ascii="Calibri" w:eastAsia="Times New Roman" w:hAnsi="Calibri" w:cs="Calibri"/>
                <w:sz w:val="20"/>
                <w:szCs w:val="20"/>
                <w:lang w:eastAsia="hr-HR"/>
              </w:rPr>
              <w:t>Ekoplus</w:t>
            </w:r>
          </w:p>
        </w:tc>
        <w:tc>
          <w:tcPr>
            <w:tcW w:w="1984" w:type="dxa"/>
            <w:gridSpan w:val="2"/>
            <w:tcBorders>
              <w:top w:val="nil"/>
              <w:left w:val="nil"/>
              <w:bottom w:val="nil"/>
            </w:tcBorders>
            <w:shd w:val="clear" w:color="auto" w:fill="auto"/>
            <w:noWrap/>
            <w:vAlign w:val="bottom"/>
            <w:hideMark/>
          </w:tcPr>
          <w:p w14:paraId="73E6510B" w14:textId="1738CE86" w:rsidR="005E4291" w:rsidRPr="005E4291" w:rsidRDefault="00E007B3" w:rsidP="00FB1CEC">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1.622.619</w:t>
            </w:r>
          </w:p>
        </w:tc>
      </w:tr>
      <w:tr w:rsidR="005E4291" w:rsidRPr="005E4291" w14:paraId="6B99EC0C" w14:textId="77777777" w:rsidTr="00FB1CEC">
        <w:trPr>
          <w:gridAfter w:val="1"/>
          <w:wAfter w:w="1666" w:type="dxa"/>
          <w:trHeight w:val="286"/>
        </w:trPr>
        <w:tc>
          <w:tcPr>
            <w:tcW w:w="2154" w:type="dxa"/>
            <w:tcBorders>
              <w:top w:val="nil"/>
              <w:bottom w:val="nil"/>
              <w:right w:val="nil"/>
            </w:tcBorders>
            <w:shd w:val="clear" w:color="auto" w:fill="auto"/>
            <w:noWrap/>
            <w:vAlign w:val="bottom"/>
            <w:hideMark/>
          </w:tcPr>
          <w:p w14:paraId="13B62866" w14:textId="77777777" w:rsidR="005E4291" w:rsidRPr="005E4291" w:rsidRDefault="005E4291" w:rsidP="00FB1CEC">
            <w:pPr>
              <w:spacing w:after="0" w:line="240" w:lineRule="auto"/>
              <w:rPr>
                <w:rFonts w:ascii="Calibri" w:eastAsia="Times New Roman" w:hAnsi="Calibri" w:cs="Calibri"/>
                <w:sz w:val="20"/>
                <w:szCs w:val="20"/>
                <w:lang w:eastAsia="hr-HR"/>
              </w:rPr>
            </w:pPr>
            <w:r w:rsidRPr="005E4291">
              <w:rPr>
                <w:rFonts w:ascii="Calibri" w:eastAsia="Times New Roman" w:hAnsi="Calibri" w:cs="Calibri"/>
                <w:sz w:val="20"/>
                <w:szCs w:val="20"/>
                <w:lang w:eastAsia="hr-HR"/>
              </w:rPr>
              <w:t>FZOEU</w:t>
            </w:r>
          </w:p>
        </w:tc>
        <w:tc>
          <w:tcPr>
            <w:tcW w:w="1984" w:type="dxa"/>
            <w:gridSpan w:val="2"/>
            <w:tcBorders>
              <w:top w:val="nil"/>
              <w:left w:val="nil"/>
              <w:bottom w:val="nil"/>
            </w:tcBorders>
            <w:shd w:val="clear" w:color="auto" w:fill="auto"/>
            <w:noWrap/>
            <w:vAlign w:val="bottom"/>
            <w:hideMark/>
          </w:tcPr>
          <w:p w14:paraId="4E389431" w14:textId="5543E007" w:rsidR="005E4291" w:rsidRPr="005E4291" w:rsidRDefault="00E007B3" w:rsidP="00FB1CEC">
            <w:pPr>
              <w:spacing w:after="0" w:line="240" w:lineRule="auto"/>
              <w:rPr>
                <w:rFonts w:ascii="Calibri" w:eastAsia="Times New Roman" w:hAnsi="Calibri" w:cs="Calibri"/>
                <w:sz w:val="20"/>
                <w:szCs w:val="20"/>
                <w:lang w:eastAsia="hr-HR"/>
              </w:rPr>
            </w:pPr>
            <w:r>
              <w:rPr>
                <w:rFonts w:ascii="Calibri" w:eastAsia="Times New Roman" w:hAnsi="Calibri" w:cs="Calibri"/>
                <w:sz w:val="20"/>
                <w:szCs w:val="20"/>
                <w:lang w:eastAsia="hr-HR"/>
              </w:rPr>
              <w:t>0,00</w:t>
            </w:r>
          </w:p>
        </w:tc>
      </w:tr>
      <w:tr w:rsidR="005E4291" w:rsidRPr="005E4291" w14:paraId="3820CD97" w14:textId="77777777" w:rsidTr="00FB1CEC">
        <w:trPr>
          <w:gridAfter w:val="1"/>
          <w:wAfter w:w="1666" w:type="dxa"/>
          <w:trHeight w:val="286"/>
        </w:trPr>
        <w:tc>
          <w:tcPr>
            <w:tcW w:w="2154" w:type="dxa"/>
            <w:tcBorders>
              <w:top w:val="nil"/>
            </w:tcBorders>
            <w:shd w:val="clear" w:color="auto" w:fill="auto"/>
            <w:noWrap/>
            <w:vAlign w:val="bottom"/>
            <w:hideMark/>
          </w:tcPr>
          <w:p w14:paraId="0B0176CF" w14:textId="77777777" w:rsidR="005E4291" w:rsidRPr="005E4291" w:rsidRDefault="005E4291" w:rsidP="00FB1CEC">
            <w:pPr>
              <w:spacing w:after="0" w:line="240" w:lineRule="auto"/>
              <w:rPr>
                <w:rFonts w:ascii="Calibri" w:eastAsia="Times New Roman" w:hAnsi="Calibri" w:cs="Calibri"/>
                <w:b/>
                <w:bCs/>
                <w:sz w:val="20"/>
                <w:szCs w:val="20"/>
                <w:lang w:eastAsia="hr-HR"/>
              </w:rPr>
            </w:pPr>
            <w:r w:rsidRPr="005E4291">
              <w:rPr>
                <w:rFonts w:ascii="Calibri" w:eastAsia="Times New Roman" w:hAnsi="Calibri" w:cs="Calibri"/>
                <w:b/>
                <w:bCs/>
                <w:sz w:val="20"/>
                <w:szCs w:val="20"/>
                <w:lang w:eastAsia="hr-HR"/>
              </w:rPr>
              <w:t>Ukupno</w:t>
            </w:r>
          </w:p>
        </w:tc>
        <w:tc>
          <w:tcPr>
            <w:tcW w:w="1984" w:type="dxa"/>
            <w:gridSpan w:val="2"/>
            <w:tcBorders>
              <w:top w:val="nil"/>
            </w:tcBorders>
            <w:shd w:val="clear" w:color="auto" w:fill="auto"/>
            <w:noWrap/>
            <w:vAlign w:val="bottom"/>
            <w:hideMark/>
          </w:tcPr>
          <w:p w14:paraId="52378CC9" w14:textId="38B7F237" w:rsidR="005E4291" w:rsidRPr="005E4291" w:rsidRDefault="005E4291" w:rsidP="00FB1CEC">
            <w:pPr>
              <w:spacing w:after="0" w:line="240" w:lineRule="auto"/>
              <w:rPr>
                <w:rFonts w:ascii="Calibri" w:eastAsia="Times New Roman" w:hAnsi="Calibri" w:cs="Calibri"/>
                <w:b/>
                <w:bCs/>
                <w:sz w:val="20"/>
                <w:szCs w:val="20"/>
                <w:lang w:eastAsia="hr-HR"/>
              </w:rPr>
            </w:pPr>
            <w:r w:rsidRPr="005E4291">
              <w:rPr>
                <w:rFonts w:ascii="Calibri" w:eastAsia="Times New Roman" w:hAnsi="Calibri" w:cs="Calibri"/>
                <w:b/>
                <w:bCs/>
                <w:sz w:val="20"/>
                <w:szCs w:val="20"/>
                <w:lang w:eastAsia="hr-HR"/>
              </w:rPr>
              <w:t>1.</w:t>
            </w:r>
            <w:r w:rsidR="00E007B3">
              <w:rPr>
                <w:rFonts w:ascii="Calibri" w:eastAsia="Times New Roman" w:hAnsi="Calibri" w:cs="Calibri"/>
                <w:b/>
                <w:bCs/>
                <w:sz w:val="20"/>
                <w:szCs w:val="20"/>
                <w:lang w:eastAsia="hr-HR"/>
              </w:rPr>
              <w:t>622.619</w:t>
            </w:r>
          </w:p>
        </w:tc>
      </w:tr>
    </w:tbl>
    <w:p w14:paraId="15FC4FCD" w14:textId="77777777" w:rsidR="00613DE1" w:rsidRDefault="00613DE1" w:rsidP="00613DE1"/>
    <w:p w14:paraId="0B8E3116" w14:textId="02F69F81" w:rsidR="00613DE1" w:rsidRPr="00FB1CEC" w:rsidRDefault="00613DE1" w:rsidP="00613DE1">
      <w:pPr>
        <w:autoSpaceDE w:val="0"/>
        <w:autoSpaceDN w:val="0"/>
        <w:adjustRightInd w:val="0"/>
        <w:spacing w:before="240" w:after="120" w:line="360" w:lineRule="auto"/>
        <w:jc w:val="both"/>
      </w:pPr>
      <w:r w:rsidRPr="00FB1CEC">
        <w:rPr>
          <w:b/>
          <w:bCs/>
        </w:rPr>
        <w:t xml:space="preserve">Sustav otplinjavanja odlagališne plohe 1B </w:t>
      </w:r>
      <w:r w:rsidRPr="00FB1CEC">
        <w:t>započeo je</w:t>
      </w:r>
      <w:r w:rsidRPr="00FB1CEC">
        <w:rPr>
          <w:rFonts w:cstheme="minorHAnsi"/>
          <w:b/>
          <w:bCs/>
        </w:rPr>
        <w:t xml:space="preserve"> </w:t>
      </w:r>
      <w:r w:rsidRPr="00FB1CEC">
        <w:rPr>
          <w:rFonts w:cstheme="minorHAnsi"/>
        </w:rPr>
        <w:t xml:space="preserve">u srpnju 2021. godine te se namjerava završiti s radovima do svibnja 2024. godine. Ukupni iznos ugovora </w:t>
      </w:r>
      <w:r w:rsidRPr="00FB1CEC">
        <w:t>o javnoj nabavi radova na privremenom otplinjavanju plohe 1B – premještanje po sektorima iznosi 1.654.342 eura od čega se u 202</w:t>
      </w:r>
      <w:r w:rsidR="00FB1CEC" w:rsidRPr="00FB1CEC">
        <w:t>4</w:t>
      </w:r>
      <w:r w:rsidRPr="00FB1CEC">
        <w:t xml:space="preserve">. godini izvelo </w:t>
      </w:r>
      <w:r w:rsidR="00FB1CEC" w:rsidRPr="00FB1CEC">
        <w:t>114.765</w:t>
      </w:r>
      <w:r w:rsidRPr="00FB1CEC">
        <w:t xml:space="preserve"> eura investicijskih radova uključujući usluge nadzora.</w:t>
      </w:r>
    </w:p>
    <w:p w14:paraId="314A1B37" w14:textId="5117A3FA" w:rsidR="00203D8F" w:rsidRDefault="00203D8F" w:rsidP="00203D8F">
      <w:pPr>
        <w:autoSpaceDE w:val="0"/>
        <w:autoSpaceDN w:val="0"/>
        <w:adjustRightInd w:val="0"/>
        <w:spacing w:before="240" w:after="120" w:line="360" w:lineRule="auto"/>
        <w:jc w:val="both"/>
        <w:rPr>
          <w:color w:val="000000" w:themeColor="text1"/>
        </w:rPr>
      </w:pPr>
      <w:r w:rsidRPr="00613D4D">
        <w:rPr>
          <w:b/>
          <w:bCs/>
          <w:color w:val="000000" w:themeColor="text1"/>
        </w:rPr>
        <w:t xml:space="preserve">Sustav otplinjavanja odlagališne plohe 1C </w:t>
      </w:r>
      <w:r w:rsidRPr="00203D8F">
        <w:rPr>
          <w:color w:val="000000" w:themeColor="text1"/>
        </w:rPr>
        <w:t>započelo je u drugoj polovici 2024. godine</w:t>
      </w:r>
      <w:r>
        <w:rPr>
          <w:color w:val="000000" w:themeColor="text1"/>
        </w:rPr>
        <w:t>.</w:t>
      </w:r>
      <w:r>
        <w:rPr>
          <w:b/>
          <w:bCs/>
          <w:color w:val="000000" w:themeColor="text1"/>
        </w:rPr>
        <w:t xml:space="preserve"> </w:t>
      </w:r>
      <w:r w:rsidRPr="00613D4D">
        <w:rPr>
          <w:rFonts w:cstheme="minorHAnsi"/>
          <w:color w:val="000000" w:themeColor="text1"/>
        </w:rPr>
        <w:t xml:space="preserve">Ukupni iznos ugovora </w:t>
      </w:r>
      <w:r w:rsidRPr="00613D4D">
        <w:rPr>
          <w:color w:val="000000" w:themeColor="text1"/>
        </w:rPr>
        <w:t xml:space="preserve">o javnoj nabavi radova na privremenom otplinjavanju plohe 1C – premještanje po sektorima iznosi 1.180.007 eura od čega se u 2024. godini </w:t>
      </w:r>
      <w:r w:rsidRPr="00203D8F">
        <w:t>izvelo 224.447</w:t>
      </w:r>
      <w:r>
        <w:t xml:space="preserve"> </w:t>
      </w:r>
      <w:r w:rsidRPr="00203D8F">
        <w:t xml:space="preserve">eura investicijskih </w:t>
      </w:r>
      <w:r w:rsidRPr="00613D4D">
        <w:rPr>
          <w:color w:val="000000" w:themeColor="text1"/>
        </w:rPr>
        <w:t>radova  uključujući usluge  nadzora.</w:t>
      </w:r>
    </w:p>
    <w:p w14:paraId="0E3C28E1" w14:textId="561FE6D9" w:rsidR="00C6215A" w:rsidRPr="00613D4D" w:rsidRDefault="00C6215A" w:rsidP="00C6215A">
      <w:pPr>
        <w:autoSpaceDE w:val="0"/>
        <w:autoSpaceDN w:val="0"/>
        <w:adjustRightInd w:val="0"/>
        <w:spacing w:before="240" w:after="120" w:line="360" w:lineRule="auto"/>
        <w:jc w:val="both"/>
      </w:pPr>
      <w:r w:rsidRPr="00613D4D">
        <w:rPr>
          <w:b/>
          <w:bCs/>
        </w:rPr>
        <w:t>Plinogenerator</w:t>
      </w:r>
      <w:r w:rsidRPr="00613D4D">
        <w:t xml:space="preserve"> – u ožujku 2024. godine sklopljen je Ugovor o nabavi rabljenog plinogeneratora marke MWM snage 1.2MW za cijenu od 445.000</w:t>
      </w:r>
      <w:r w:rsidR="00A1383B">
        <w:t xml:space="preserve"> </w:t>
      </w:r>
      <w:r w:rsidRPr="00613D4D">
        <w:t xml:space="preserve">eura od KD Čistoća d.o.o. Isti će biti ugrađen u sklopu sustava otplinjavanja neposredno pored plinskih baklji kao dio Faze 5, a sve kako bi se iz odlagališnog plina privremeno proizvodila električna energija umjesto da se isti spaljuje na baklji. Ugradnja i probno puštanje u pogon namjerava se </w:t>
      </w:r>
      <w:r w:rsidR="001910E2">
        <w:t xml:space="preserve">realizirati </w:t>
      </w:r>
      <w:r w:rsidRPr="00613D4D">
        <w:t>do kraja 2025. godine.</w:t>
      </w:r>
    </w:p>
    <w:p w14:paraId="47ADB029" w14:textId="233940E4" w:rsidR="00C6215A" w:rsidRDefault="00C6215A" w:rsidP="00203D8F">
      <w:pPr>
        <w:autoSpaceDE w:val="0"/>
        <w:autoSpaceDN w:val="0"/>
        <w:adjustRightInd w:val="0"/>
        <w:spacing w:before="240" w:after="120" w:line="360" w:lineRule="auto"/>
        <w:jc w:val="both"/>
      </w:pPr>
      <w:r w:rsidRPr="00613D4D">
        <w:rPr>
          <w:b/>
          <w:bCs/>
        </w:rPr>
        <w:t xml:space="preserve">Nabava 4 poluprikolice za kompaktiranje i prijevoz komunalnog otpada  </w:t>
      </w:r>
      <w:r w:rsidRPr="00613D4D">
        <w:t xml:space="preserve">– u svibnju 2024. sukladno planu nabavljeno je </w:t>
      </w:r>
      <w:r w:rsidR="000B7086">
        <w:t>četiri</w:t>
      </w:r>
      <w:r w:rsidRPr="00613D4D">
        <w:t xml:space="preserve"> poluprikolic</w:t>
      </w:r>
      <w:r w:rsidR="000B7086">
        <w:t>e</w:t>
      </w:r>
      <w:r w:rsidRPr="00613D4D">
        <w:t xml:space="preserve"> (396.800</w:t>
      </w:r>
      <w:r w:rsidR="00A1383B">
        <w:t xml:space="preserve"> </w:t>
      </w:r>
      <w:r w:rsidRPr="00613D4D">
        <w:t>eur) kako bi se povećala fleksibilnost prijevoza otpada sa pretovarnih stanica posebice tijekom sezone kad količine otpada znatno porastu u odnosu na zimski period. Društvo trenutno posjeduje 20 poluprikolica i 8 tegljača</w:t>
      </w:r>
      <w:r>
        <w:t>.</w:t>
      </w:r>
    </w:p>
    <w:p w14:paraId="32604133" w14:textId="75CDFFDF" w:rsidR="008A5A42" w:rsidRDefault="008A5A42" w:rsidP="008A5A42">
      <w:pPr>
        <w:autoSpaceDE w:val="0"/>
        <w:autoSpaceDN w:val="0"/>
        <w:adjustRightInd w:val="0"/>
        <w:spacing w:before="240" w:after="120" w:line="360" w:lineRule="auto"/>
        <w:jc w:val="both"/>
      </w:pPr>
      <w:r w:rsidRPr="00613D4D">
        <w:rPr>
          <w:b/>
          <w:bCs/>
        </w:rPr>
        <w:t xml:space="preserve">Nadogradnja sustava videonadzora </w:t>
      </w:r>
      <w:r w:rsidRPr="00613D4D">
        <w:t>– 69.247</w:t>
      </w:r>
      <w:r>
        <w:t xml:space="preserve"> </w:t>
      </w:r>
      <w:r w:rsidRPr="00613D4D">
        <w:t>eura</w:t>
      </w:r>
      <w:r>
        <w:t xml:space="preserve"> postojeći sustav je moderniziran te su uz termovizijske kamere postavljene temperaturne kamere u svrhu rane detekcije i prevencije požara na odlagalištu.</w:t>
      </w:r>
    </w:p>
    <w:p w14:paraId="13D99EBC" w14:textId="42B9F52D" w:rsidR="001F37F0" w:rsidRDefault="001F37F0" w:rsidP="008A5A42">
      <w:pPr>
        <w:autoSpaceDE w:val="0"/>
        <w:autoSpaceDN w:val="0"/>
        <w:adjustRightInd w:val="0"/>
        <w:spacing w:before="240" w:after="120" w:line="360" w:lineRule="auto"/>
        <w:jc w:val="both"/>
      </w:pPr>
      <w:r w:rsidRPr="00DD01B6">
        <w:rPr>
          <w:rFonts w:cstheme="minorHAnsi"/>
          <w:b/>
          <w:bCs/>
        </w:rPr>
        <w:t xml:space="preserve">Ostala ulaganja u dugotrajnu imovinu </w:t>
      </w:r>
      <w:r w:rsidRPr="00DD01B6">
        <w:rPr>
          <w:rFonts w:cstheme="minorHAnsi"/>
        </w:rPr>
        <w:t xml:space="preserve">iznose </w:t>
      </w:r>
      <w:r w:rsidRPr="001F37F0">
        <w:rPr>
          <w:rFonts w:cstheme="minorHAnsi"/>
        </w:rPr>
        <w:t>135.094</w:t>
      </w:r>
      <w:r>
        <w:rPr>
          <w:rFonts w:cstheme="minorHAnsi"/>
        </w:rPr>
        <w:t xml:space="preserve"> eura </w:t>
      </w:r>
      <w:r w:rsidRPr="001F37F0">
        <w:rPr>
          <w:rFonts w:cstheme="minorHAnsi"/>
        </w:rPr>
        <w:t xml:space="preserve">i </w:t>
      </w:r>
      <w:r w:rsidRPr="00DD01B6">
        <w:rPr>
          <w:rFonts w:cstheme="minorHAnsi"/>
        </w:rPr>
        <w:t xml:space="preserve">odnose se na </w:t>
      </w:r>
      <w:r w:rsidRPr="00DD01B6">
        <w:t xml:space="preserve">nabavu opreme i alata za postrojenje, skladište, odlagalište i transport. </w:t>
      </w:r>
      <w:r w:rsidRPr="001F37F0">
        <w:t>Također uključuju i hortikulturno uređenje centra.</w:t>
      </w:r>
    </w:p>
    <w:p w14:paraId="167D77BB" w14:textId="60580473" w:rsidR="00C6215A" w:rsidRPr="009235C4" w:rsidRDefault="001F37F0" w:rsidP="00203D8F">
      <w:pPr>
        <w:autoSpaceDE w:val="0"/>
        <w:autoSpaceDN w:val="0"/>
        <w:adjustRightInd w:val="0"/>
        <w:spacing w:before="240" w:after="120" w:line="360" w:lineRule="auto"/>
        <w:jc w:val="both"/>
      </w:pPr>
      <w:r>
        <w:t xml:space="preserve">Ostale investicije koje su realizirane u 2024. godini odnose se na nabavu viličara (89.758 eura), nabavu osobnog automobila (30.685 eura), rekonstrukciju krovnih panela (88.011 eura), </w:t>
      </w:r>
      <w:r w:rsidR="00E07E86">
        <w:t>nabavu uredskog inventara (14.668 eura) te nabavu računalne opreme (14.171 euro).</w:t>
      </w:r>
    </w:p>
    <w:p w14:paraId="7898D970" w14:textId="34826D7A" w:rsidR="003072A7" w:rsidRPr="00C72005" w:rsidRDefault="00281FBE" w:rsidP="00E77088">
      <w:pPr>
        <w:pStyle w:val="Heading3"/>
      </w:pPr>
      <w:bookmarkStart w:id="91" w:name="_Toc200094297"/>
      <w:bookmarkEnd w:id="87"/>
      <w:r w:rsidRPr="00A576C9">
        <w:rPr>
          <w:rFonts w:cs="Calibri"/>
        </w:rPr>
        <w:lastRenderedPageBreak/>
        <w:t>4.</w:t>
      </w:r>
      <w:r w:rsidR="00D0293E" w:rsidRPr="00A576C9">
        <w:rPr>
          <w:rFonts w:cs="Calibri"/>
        </w:rPr>
        <w:t>2</w:t>
      </w:r>
      <w:r w:rsidRPr="00C72005">
        <w:t xml:space="preserve">. </w:t>
      </w:r>
      <w:r w:rsidRPr="000336CD">
        <w:t>Povrat kredita Ministarstvu financija iz sredstava EIB-a</w:t>
      </w:r>
      <w:bookmarkEnd w:id="91"/>
      <w:r w:rsidRPr="000336CD">
        <w:t xml:space="preserve"> </w:t>
      </w:r>
    </w:p>
    <w:p w14:paraId="408495B7" w14:textId="77777777" w:rsidR="00030D3D" w:rsidRPr="00C72005" w:rsidRDefault="00030D3D" w:rsidP="00030D3D"/>
    <w:p w14:paraId="12A4C761" w14:textId="3702B95D" w:rsidR="003072A7" w:rsidRPr="00C72005" w:rsidRDefault="003072A7" w:rsidP="003072A7">
      <w:pPr>
        <w:pStyle w:val="NoSpacing"/>
        <w:spacing w:line="360" w:lineRule="auto"/>
        <w:jc w:val="both"/>
      </w:pPr>
      <w:r w:rsidRPr="00C72005">
        <w:t xml:space="preserve">Ekoplus je 17. siječnja 2012. godine zaključio s Ministarstvom financija RH Ugovor o zajmu za sufinanciranje projekata EU IPA ISPA 2007-2011 uz suglasnost PGŽ i Grada Rijeke kao solidarnih dužnika, a nakon toga Dodatak ugovoru o zajmu na konačan iznos 4.566.904 EUR za sufinanciranje izgradnje Centra. Sredstvima tog zajma Ekoplus je sufinancirao 30% izgradnje MBO postrojenja. </w:t>
      </w:r>
    </w:p>
    <w:p w14:paraId="44095497" w14:textId="64C8241F" w:rsidR="003072A7" w:rsidRPr="00C72005" w:rsidRDefault="003072A7" w:rsidP="003072A7">
      <w:pPr>
        <w:pStyle w:val="NoSpacing"/>
        <w:spacing w:line="360" w:lineRule="auto"/>
        <w:jc w:val="both"/>
      </w:pPr>
      <w:r w:rsidRPr="00C72005">
        <w:t>Rok otplate zajma je 20 godina, u 80 jednakih kvartalnih anuiteta.</w:t>
      </w:r>
    </w:p>
    <w:p w14:paraId="34F6AA6A" w14:textId="7844F0CF" w:rsidR="003072A7" w:rsidRPr="00C72005" w:rsidRDefault="003072A7" w:rsidP="003072A7">
      <w:pPr>
        <w:pStyle w:val="NoSpacing"/>
        <w:spacing w:line="360" w:lineRule="auto"/>
        <w:jc w:val="both"/>
      </w:pPr>
      <w:r w:rsidRPr="00C72005">
        <w:t>U 20</w:t>
      </w:r>
      <w:r w:rsidR="0079433C" w:rsidRPr="00C72005">
        <w:t>2</w:t>
      </w:r>
      <w:r w:rsidR="00B51FB3">
        <w:t>4</w:t>
      </w:r>
      <w:r w:rsidRPr="00C72005">
        <w:t>. godini otplaćena su četiri anuiteta</w:t>
      </w:r>
      <w:r w:rsidR="008C6EC8">
        <w:t xml:space="preserve"> (2</w:t>
      </w:r>
      <w:r w:rsidR="00B51FB3">
        <w:t>9</w:t>
      </w:r>
      <w:r w:rsidR="008C6EC8">
        <w:t>.-</w:t>
      </w:r>
      <w:r w:rsidR="00B51FB3">
        <w:t>32</w:t>
      </w:r>
      <w:r w:rsidR="008C6EC8">
        <w:t>.)</w:t>
      </w:r>
      <w:r w:rsidRPr="00C72005">
        <w:t xml:space="preserve"> u ukupnom iznosu od 312.200 </w:t>
      </w:r>
      <w:r w:rsidR="00CF7568">
        <w:t>eura.</w:t>
      </w:r>
    </w:p>
    <w:p w14:paraId="42CB34C5" w14:textId="77777777" w:rsidR="004E7F13" w:rsidRPr="00840E6B" w:rsidRDefault="004E7F13" w:rsidP="00840E6B">
      <w:pPr>
        <w:rPr>
          <w:rFonts w:cstheme="minorHAnsi"/>
          <w:color w:val="FF0000"/>
          <w:sz w:val="24"/>
          <w:szCs w:val="24"/>
        </w:rPr>
      </w:pPr>
    </w:p>
    <w:p w14:paraId="50BCBC01" w14:textId="28DADB7F" w:rsidR="003072A7" w:rsidRPr="00C72005" w:rsidRDefault="004E7F13" w:rsidP="00840E6B">
      <w:pPr>
        <w:pStyle w:val="Caption"/>
        <w:keepNext/>
        <w:spacing w:after="240"/>
        <w:jc w:val="both"/>
        <w:rPr>
          <w:rFonts w:cstheme="minorHAnsi"/>
        </w:rPr>
      </w:pPr>
      <w:bookmarkStart w:id="92" w:name="_Toc200366479"/>
      <w:r w:rsidRPr="00840E6B">
        <w:rPr>
          <w:rFonts w:asciiTheme="minorHAnsi" w:hAnsiTheme="minorHAnsi" w:cstheme="minorHAnsi"/>
          <w:sz w:val="22"/>
          <w:szCs w:val="22"/>
        </w:rPr>
        <w:t xml:space="preserve">Tablica </w:t>
      </w:r>
      <w:r w:rsidRPr="00840E6B">
        <w:rPr>
          <w:rFonts w:asciiTheme="minorHAnsi" w:hAnsiTheme="minorHAnsi" w:cstheme="minorHAnsi"/>
          <w:sz w:val="22"/>
          <w:szCs w:val="22"/>
        </w:rPr>
        <w:fldChar w:fldCharType="begin"/>
      </w:r>
      <w:r w:rsidRPr="00840E6B">
        <w:rPr>
          <w:rFonts w:asciiTheme="minorHAnsi" w:hAnsiTheme="minorHAnsi" w:cstheme="minorHAnsi"/>
          <w:sz w:val="22"/>
          <w:szCs w:val="22"/>
        </w:rPr>
        <w:instrText xml:space="preserve"> SEQ Tablica \* ARABIC </w:instrText>
      </w:r>
      <w:r w:rsidRPr="00840E6B">
        <w:rPr>
          <w:rFonts w:asciiTheme="minorHAnsi" w:hAnsiTheme="minorHAnsi" w:cstheme="minorHAnsi"/>
          <w:sz w:val="22"/>
          <w:szCs w:val="22"/>
        </w:rPr>
        <w:fldChar w:fldCharType="separate"/>
      </w:r>
      <w:r w:rsidR="00A1075A">
        <w:rPr>
          <w:rFonts w:asciiTheme="minorHAnsi" w:hAnsiTheme="minorHAnsi" w:cstheme="minorHAnsi"/>
          <w:noProof/>
          <w:sz w:val="22"/>
          <w:szCs w:val="22"/>
        </w:rPr>
        <w:t>41</w:t>
      </w:r>
      <w:r w:rsidRPr="00840E6B">
        <w:rPr>
          <w:rFonts w:asciiTheme="minorHAnsi" w:hAnsiTheme="minorHAnsi" w:cstheme="minorHAnsi"/>
          <w:sz w:val="22"/>
          <w:szCs w:val="22"/>
        </w:rPr>
        <w:fldChar w:fldCharType="end"/>
      </w:r>
      <w:r w:rsidRPr="00840E6B">
        <w:rPr>
          <w:rFonts w:asciiTheme="minorHAnsi" w:hAnsiTheme="minorHAnsi" w:cstheme="minorHAnsi"/>
          <w:sz w:val="22"/>
          <w:szCs w:val="22"/>
        </w:rPr>
        <w:t xml:space="preserve">. </w:t>
      </w:r>
      <w:r w:rsidRPr="00840E6B">
        <w:rPr>
          <w:rFonts w:asciiTheme="minorHAnsi" w:hAnsiTheme="minorHAnsi" w:cstheme="minorHAnsi"/>
          <w:b w:val="0"/>
          <w:bCs w:val="0"/>
          <w:sz w:val="22"/>
          <w:szCs w:val="22"/>
        </w:rPr>
        <w:t>Otplate anuiteta u 202</w:t>
      </w:r>
      <w:r w:rsidR="00B51FB3">
        <w:rPr>
          <w:rFonts w:asciiTheme="minorHAnsi" w:hAnsiTheme="minorHAnsi" w:cstheme="minorHAnsi"/>
          <w:b w:val="0"/>
          <w:bCs w:val="0"/>
          <w:sz w:val="22"/>
          <w:szCs w:val="22"/>
        </w:rPr>
        <w:t>4</w:t>
      </w:r>
      <w:r w:rsidRPr="00840E6B">
        <w:rPr>
          <w:rFonts w:asciiTheme="minorHAnsi" w:hAnsiTheme="minorHAnsi" w:cstheme="minorHAnsi"/>
          <w:b w:val="0"/>
          <w:bCs w:val="0"/>
          <w:sz w:val="22"/>
          <w:szCs w:val="22"/>
        </w:rPr>
        <w:t>. godini - ZAJAM MINISTARSTVA FINANCIJA</w:t>
      </w:r>
      <w:bookmarkEnd w:id="92"/>
    </w:p>
    <w:tbl>
      <w:tblPr>
        <w:tblW w:w="9037" w:type="dxa"/>
        <w:tblLook w:val="04A0" w:firstRow="1" w:lastRow="0" w:firstColumn="1" w:lastColumn="0" w:noHBand="0" w:noVBand="1"/>
      </w:tblPr>
      <w:tblGrid>
        <w:gridCol w:w="1181"/>
        <w:gridCol w:w="2131"/>
        <w:gridCol w:w="2131"/>
        <w:gridCol w:w="2131"/>
        <w:gridCol w:w="1463"/>
      </w:tblGrid>
      <w:tr w:rsidR="008C6EC8" w:rsidRPr="008E4612" w14:paraId="2654B55B" w14:textId="77777777" w:rsidTr="008C6EC8">
        <w:trPr>
          <w:trHeight w:val="545"/>
        </w:trPr>
        <w:tc>
          <w:tcPr>
            <w:tcW w:w="1181" w:type="dxa"/>
            <w:tcBorders>
              <w:top w:val="single" w:sz="8" w:space="0" w:color="auto"/>
              <w:left w:val="single" w:sz="8" w:space="0" w:color="auto"/>
              <w:bottom w:val="nil"/>
              <w:right w:val="single" w:sz="4" w:space="0" w:color="auto"/>
            </w:tcBorders>
            <w:shd w:val="clear" w:color="auto" w:fill="auto"/>
            <w:vAlign w:val="center"/>
            <w:hideMark/>
          </w:tcPr>
          <w:p w14:paraId="2E9D75AE" w14:textId="77777777" w:rsidR="008C6EC8" w:rsidRPr="00C72005" w:rsidRDefault="008C6EC8" w:rsidP="004E7F13">
            <w:pPr>
              <w:spacing w:after="0" w:line="240" w:lineRule="auto"/>
              <w:jc w:val="center"/>
              <w:rPr>
                <w:rFonts w:ascii="Calibri" w:eastAsia="Times New Roman" w:hAnsi="Calibri" w:cs="Calibri"/>
                <w:b/>
                <w:bCs/>
                <w:sz w:val="20"/>
                <w:szCs w:val="20"/>
                <w:lang w:eastAsia="hr-HR"/>
              </w:rPr>
            </w:pPr>
            <w:r w:rsidRPr="00C72005">
              <w:rPr>
                <w:rFonts w:ascii="Calibri" w:eastAsia="Times New Roman" w:hAnsi="Calibri" w:cs="Calibri"/>
                <w:b/>
                <w:bCs/>
                <w:sz w:val="20"/>
                <w:szCs w:val="20"/>
                <w:lang w:eastAsia="hr-HR"/>
              </w:rPr>
              <w:t>Anuiteti</w:t>
            </w:r>
          </w:p>
        </w:tc>
        <w:tc>
          <w:tcPr>
            <w:tcW w:w="2131" w:type="dxa"/>
            <w:tcBorders>
              <w:top w:val="single" w:sz="8" w:space="0" w:color="auto"/>
              <w:left w:val="nil"/>
              <w:bottom w:val="nil"/>
              <w:right w:val="single" w:sz="4" w:space="0" w:color="auto"/>
            </w:tcBorders>
            <w:shd w:val="clear" w:color="auto" w:fill="auto"/>
            <w:vAlign w:val="center"/>
            <w:hideMark/>
          </w:tcPr>
          <w:p w14:paraId="69B855C5" w14:textId="77777777" w:rsidR="008C6EC8" w:rsidRPr="00C72005" w:rsidRDefault="008C6EC8" w:rsidP="004E7F13">
            <w:pPr>
              <w:spacing w:after="0" w:line="240" w:lineRule="auto"/>
              <w:jc w:val="center"/>
              <w:rPr>
                <w:rFonts w:ascii="Calibri" w:eastAsia="Times New Roman" w:hAnsi="Calibri" w:cs="Calibri"/>
                <w:b/>
                <w:bCs/>
                <w:sz w:val="20"/>
                <w:szCs w:val="20"/>
                <w:lang w:eastAsia="hr-HR"/>
              </w:rPr>
            </w:pPr>
            <w:r w:rsidRPr="00C72005">
              <w:rPr>
                <w:rFonts w:ascii="Calibri" w:eastAsia="Times New Roman" w:hAnsi="Calibri" w:cs="Calibri"/>
                <w:b/>
                <w:bCs/>
                <w:sz w:val="20"/>
                <w:szCs w:val="20"/>
                <w:lang w:eastAsia="hr-HR"/>
              </w:rPr>
              <w:t xml:space="preserve">Dospijeće anuiteta </w:t>
            </w:r>
          </w:p>
        </w:tc>
        <w:tc>
          <w:tcPr>
            <w:tcW w:w="2131" w:type="dxa"/>
            <w:tcBorders>
              <w:top w:val="single" w:sz="8" w:space="0" w:color="auto"/>
              <w:left w:val="nil"/>
              <w:bottom w:val="nil"/>
              <w:right w:val="single" w:sz="4" w:space="0" w:color="auto"/>
            </w:tcBorders>
            <w:shd w:val="clear" w:color="auto" w:fill="auto"/>
            <w:vAlign w:val="center"/>
            <w:hideMark/>
          </w:tcPr>
          <w:p w14:paraId="5FBF644B" w14:textId="77777777" w:rsidR="008C6EC8" w:rsidRPr="00C72005" w:rsidRDefault="008C6EC8" w:rsidP="004E7F13">
            <w:pPr>
              <w:spacing w:after="0" w:line="240" w:lineRule="auto"/>
              <w:jc w:val="center"/>
              <w:rPr>
                <w:rFonts w:ascii="Calibri" w:eastAsia="Times New Roman" w:hAnsi="Calibri" w:cs="Calibri"/>
                <w:b/>
                <w:bCs/>
                <w:sz w:val="20"/>
                <w:szCs w:val="20"/>
                <w:lang w:eastAsia="hr-HR"/>
              </w:rPr>
            </w:pPr>
            <w:r w:rsidRPr="00C72005">
              <w:rPr>
                <w:rFonts w:ascii="Calibri" w:eastAsia="Times New Roman" w:hAnsi="Calibri" w:cs="Calibri"/>
                <w:b/>
                <w:bCs/>
                <w:sz w:val="20"/>
                <w:szCs w:val="20"/>
                <w:lang w:eastAsia="hr-HR"/>
              </w:rPr>
              <w:t xml:space="preserve">Iznos anuiteta u EUR </w:t>
            </w:r>
          </w:p>
        </w:tc>
        <w:tc>
          <w:tcPr>
            <w:tcW w:w="2131" w:type="dxa"/>
            <w:tcBorders>
              <w:top w:val="single" w:sz="4" w:space="0" w:color="auto"/>
              <w:left w:val="nil"/>
              <w:bottom w:val="single" w:sz="8" w:space="0" w:color="auto"/>
              <w:right w:val="nil"/>
            </w:tcBorders>
            <w:shd w:val="clear" w:color="auto" w:fill="auto"/>
            <w:vAlign w:val="center"/>
            <w:hideMark/>
          </w:tcPr>
          <w:p w14:paraId="20E30829" w14:textId="2039076F" w:rsidR="008C6EC8" w:rsidRPr="00C72005" w:rsidRDefault="008C6EC8" w:rsidP="004E7F13">
            <w:pPr>
              <w:spacing w:after="0" w:line="240" w:lineRule="auto"/>
              <w:jc w:val="center"/>
              <w:rPr>
                <w:rFonts w:ascii="Calibri" w:eastAsia="Times New Roman" w:hAnsi="Calibri" w:cs="Calibri"/>
                <w:b/>
                <w:bCs/>
                <w:sz w:val="20"/>
                <w:szCs w:val="20"/>
                <w:lang w:eastAsia="hr-HR"/>
              </w:rPr>
            </w:pPr>
            <w:r w:rsidRPr="00C72005">
              <w:rPr>
                <w:rFonts w:ascii="Calibri" w:eastAsia="Times New Roman" w:hAnsi="Calibri" w:cs="Calibri"/>
                <w:b/>
                <w:bCs/>
                <w:sz w:val="20"/>
                <w:szCs w:val="20"/>
                <w:lang w:eastAsia="hr-HR"/>
              </w:rPr>
              <w:t xml:space="preserve">Realizirane otplate </w:t>
            </w:r>
            <w:r>
              <w:rPr>
                <w:rFonts w:ascii="Calibri" w:eastAsia="Times New Roman" w:hAnsi="Calibri" w:cs="Calibri"/>
                <w:b/>
                <w:bCs/>
                <w:sz w:val="20"/>
                <w:szCs w:val="20"/>
                <w:lang w:eastAsia="hr-HR"/>
              </w:rPr>
              <w:t>202</w:t>
            </w:r>
            <w:r w:rsidR="00B51FB3">
              <w:rPr>
                <w:rFonts w:ascii="Calibri" w:eastAsia="Times New Roman" w:hAnsi="Calibri" w:cs="Calibri"/>
                <w:b/>
                <w:bCs/>
                <w:sz w:val="20"/>
                <w:szCs w:val="20"/>
                <w:lang w:eastAsia="hr-HR"/>
              </w:rPr>
              <w:t>4</w:t>
            </w:r>
          </w:p>
        </w:tc>
        <w:tc>
          <w:tcPr>
            <w:tcW w:w="1463"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40BCCEC2" w14:textId="77777777" w:rsidR="008C6EC8" w:rsidRPr="00C72005" w:rsidRDefault="008C6EC8" w:rsidP="004E7F13">
            <w:pPr>
              <w:spacing w:after="0" w:line="240" w:lineRule="auto"/>
              <w:jc w:val="center"/>
              <w:rPr>
                <w:rFonts w:ascii="Calibri" w:eastAsia="Times New Roman" w:hAnsi="Calibri" w:cs="Calibri"/>
                <w:b/>
                <w:bCs/>
                <w:sz w:val="20"/>
                <w:szCs w:val="20"/>
                <w:lang w:eastAsia="hr-HR"/>
              </w:rPr>
            </w:pPr>
            <w:r w:rsidRPr="00C72005">
              <w:rPr>
                <w:rFonts w:ascii="Calibri" w:eastAsia="Times New Roman" w:hAnsi="Calibri" w:cs="Calibri"/>
                <w:b/>
                <w:bCs/>
                <w:sz w:val="20"/>
                <w:szCs w:val="20"/>
                <w:lang w:eastAsia="hr-HR"/>
              </w:rPr>
              <w:t>indeks (5/4)</w:t>
            </w:r>
          </w:p>
        </w:tc>
      </w:tr>
      <w:tr w:rsidR="008C6EC8" w:rsidRPr="008E4612" w14:paraId="0EC3415B" w14:textId="77777777" w:rsidTr="008C6EC8">
        <w:trPr>
          <w:trHeight w:val="202"/>
        </w:trPr>
        <w:tc>
          <w:tcPr>
            <w:tcW w:w="1181" w:type="dxa"/>
            <w:tcBorders>
              <w:top w:val="single" w:sz="8" w:space="0" w:color="auto"/>
              <w:left w:val="single" w:sz="8" w:space="0" w:color="auto"/>
              <w:bottom w:val="double" w:sz="6" w:space="0" w:color="auto"/>
              <w:right w:val="single" w:sz="4" w:space="0" w:color="auto"/>
            </w:tcBorders>
            <w:shd w:val="clear" w:color="auto" w:fill="auto"/>
            <w:noWrap/>
            <w:vAlign w:val="bottom"/>
            <w:hideMark/>
          </w:tcPr>
          <w:p w14:paraId="1ABE2579" w14:textId="77777777" w:rsidR="008C6EC8" w:rsidRPr="00840E6B" w:rsidRDefault="008C6EC8" w:rsidP="004E7F13">
            <w:pPr>
              <w:spacing w:after="0" w:line="240" w:lineRule="auto"/>
              <w:jc w:val="center"/>
              <w:rPr>
                <w:rFonts w:ascii="Calibri" w:eastAsia="Times New Roman" w:hAnsi="Calibri" w:cs="Calibri"/>
                <w:i/>
                <w:iCs/>
                <w:color w:val="D9D9D9" w:themeColor="background1" w:themeShade="D9"/>
                <w:sz w:val="16"/>
                <w:szCs w:val="16"/>
                <w:lang w:eastAsia="hr-HR"/>
              </w:rPr>
            </w:pPr>
            <w:r w:rsidRPr="00840E6B">
              <w:rPr>
                <w:rFonts w:ascii="Calibri" w:eastAsia="Times New Roman" w:hAnsi="Calibri" w:cs="Calibri"/>
                <w:i/>
                <w:iCs/>
                <w:color w:val="D9D9D9" w:themeColor="background1" w:themeShade="D9"/>
                <w:sz w:val="16"/>
                <w:szCs w:val="16"/>
                <w:lang w:eastAsia="hr-HR"/>
              </w:rPr>
              <w:t>1</w:t>
            </w:r>
          </w:p>
        </w:tc>
        <w:tc>
          <w:tcPr>
            <w:tcW w:w="2131" w:type="dxa"/>
            <w:tcBorders>
              <w:top w:val="single" w:sz="8" w:space="0" w:color="auto"/>
              <w:left w:val="nil"/>
              <w:bottom w:val="double" w:sz="6" w:space="0" w:color="auto"/>
              <w:right w:val="single" w:sz="4" w:space="0" w:color="auto"/>
            </w:tcBorders>
            <w:shd w:val="clear" w:color="auto" w:fill="auto"/>
            <w:noWrap/>
            <w:vAlign w:val="bottom"/>
            <w:hideMark/>
          </w:tcPr>
          <w:p w14:paraId="0BB05C64" w14:textId="77777777" w:rsidR="008C6EC8" w:rsidRPr="00840E6B" w:rsidRDefault="008C6EC8" w:rsidP="004E7F13">
            <w:pPr>
              <w:spacing w:after="0" w:line="240" w:lineRule="auto"/>
              <w:jc w:val="center"/>
              <w:rPr>
                <w:rFonts w:ascii="Calibri" w:eastAsia="Times New Roman" w:hAnsi="Calibri" w:cs="Calibri"/>
                <w:i/>
                <w:iCs/>
                <w:color w:val="D9D9D9" w:themeColor="background1" w:themeShade="D9"/>
                <w:sz w:val="16"/>
                <w:szCs w:val="16"/>
                <w:lang w:eastAsia="hr-HR"/>
              </w:rPr>
            </w:pPr>
            <w:r w:rsidRPr="00840E6B">
              <w:rPr>
                <w:rFonts w:ascii="Calibri" w:eastAsia="Times New Roman" w:hAnsi="Calibri" w:cs="Calibri"/>
                <w:i/>
                <w:iCs/>
                <w:color w:val="D9D9D9" w:themeColor="background1" w:themeShade="D9"/>
                <w:sz w:val="16"/>
                <w:szCs w:val="16"/>
                <w:lang w:eastAsia="hr-HR"/>
              </w:rPr>
              <w:t>2</w:t>
            </w:r>
          </w:p>
        </w:tc>
        <w:tc>
          <w:tcPr>
            <w:tcW w:w="2131" w:type="dxa"/>
            <w:tcBorders>
              <w:top w:val="single" w:sz="8" w:space="0" w:color="auto"/>
              <w:left w:val="nil"/>
              <w:bottom w:val="double" w:sz="6" w:space="0" w:color="auto"/>
              <w:right w:val="single" w:sz="4" w:space="0" w:color="auto"/>
            </w:tcBorders>
            <w:shd w:val="clear" w:color="auto" w:fill="auto"/>
            <w:noWrap/>
            <w:vAlign w:val="bottom"/>
            <w:hideMark/>
          </w:tcPr>
          <w:p w14:paraId="07D51C1B" w14:textId="77777777" w:rsidR="008C6EC8" w:rsidRPr="00840E6B" w:rsidRDefault="008C6EC8" w:rsidP="004E7F13">
            <w:pPr>
              <w:spacing w:after="0" w:line="240" w:lineRule="auto"/>
              <w:jc w:val="center"/>
              <w:rPr>
                <w:rFonts w:ascii="Calibri" w:eastAsia="Times New Roman" w:hAnsi="Calibri" w:cs="Calibri"/>
                <w:i/>
                <w:iCs/>
                <w:color w:val="D9D9D9" w:themeColor="background1" w:themeShade="D9"/>
                <w:sz w:val="16"/>
                <w:szCs w:val="16"/>
                <w:lang w:eastAsia="hr-HR"/>
              </w:rPr>
            </w:pPr>
            <w:r w:rsidRPr="00840E6B">
              <w:rPr>
                <w:rFonts w:ascii="Calibri" w:eastAsia="Times New Roman" w:hAnsi="Calibri" w:cs="Calibri"/>
                <w:i/>
                <w:iCs/>
                <w:color w:val="D9D9D9" w:themeColor="background1" w:themeShade="D9"/>
                <w:sz w:val="16"/>
                <w:szCs w:val="16"/>
                <w:lang w:eastAsia="hr-HR"/>
              </w:rPr>
              <w:t>3</w:t>
            </w:r>
          </w:p>
        </w:tc>
        <w:tc>
          <w:tcPr>
            <w:tcW w:w="2131" w:type="dxa"/>
            <w:tcBorders>
              <w:top w:val="nil"/>
              <w:left w:val="nil"/>
              <w:bottom w:val="double" w:sz="6" w:space="0" w:color="auto"/>
              <w:right w:val="nil"/>
            </w:tcBorders>
            <w:shd w:val="clear" w:color="auto" w:fill="auto"/>
            <w:noWrap/>
            <w:vAlign w:val="bottom"/>
            <w:hideMark/>
          </w:tcPr>
          <w:p w14:paraId="4F7A1F2E" w14:textId="77777777" w:rsidR="008C6EC8" w:rsidRPr="00840E6B" w:rsidRDefault="008C6EC8" w:rsidP="004E7F13">
            <w:pPr>
              <w:spacing w:after="0" w:line="240" w:lineRule="auto"/>
              <w:jc w:val="center"/>
              <w:rPr>
                <w:rFonts w:ascii="Calibri" w:eastAsia="Times New Roman" w:hAnsi="Calibri" w:cs="Calibri"/>
                <w:i/>
                <w:iCs/>
                <w:color w:val="D9D9D9" w:themeColor="background1" w:themeShade="D9"/>
                <w:sz w:val="16"/>
                <w:szCs w:val="16"/>
                <w:lang w:eastAsia="hr-HR"/>
              </w:rPr>
            </w:pPr>
            <w:r w:rsidRPr="00840E6B">
              <w:rPr>
                <w:rFonts w:ascii="Calibri" w:eastAsia="Times New Roman" w:hAnsi="Calibri" w:cs="Calibri"/>
                <w:i/>
                <w:iCs/>
                <w:color w:val="D9D9D9" w:themeColor="background1" w:themeShade="D9"/>
                <w:sz w:val="16"/>
                <w:szCs w:val="16"/>
                <w:lang w:eastAsia="hr-HR"/>
              </w:rPr>
              <w:t>5</w:t>
            </w:r>
          </w:p>
        </w:tc>
        <w:tc>
          <w:tcPr>
            <w:tcW w:w="1463" w:type="dxa"/>
            <w:tcBorders>
              <w:top w:val="nil"/>
              <w:left w:val="single" w:sz="4" w:space="0" w:color="auto"/>
              <w:bottom w:val="double" w:sz="6" w:space="0" w:color="auto"/>
              <w:right w:val="single" w:sz="4" w:space="0" w:color="auto"/>
            </w:tcBorders>
            <w:shd w:val="clear" w:color="auto" w:fill="auto"/>
            <w:noWrap/>
            <w:vAlign w:val="bottom"/>
            <w:hideMark/>
          </w:tcPr>
          <w:p w14:paraId="1B0AF770" w14:textId="77777777" w:rsidR="008C6EC8" w:rsidRPr="00840E6B" w:rsidRDefault="008C6EC8" w:rsidP="004E7F13">
            <w:pPr>
              <w:spacing w:after="0" w:line="240" w:lineRule="auto"/>
              <w:jc w:val="center"/>
              <w:rPr>
                <w:rFonts w:ascii="Calibri" w:eastAsia="Times New Roman" w:hAnsi="Calibri" w:cs="Calibri"/>
                <w:color w:val="D9D9D9" w:themeColor="background1" w:themeShade="D9"/>
                <w:sz w:val="16"/>
                <w:szCs w:val="16"/>
                <w:lang w:eastAsia="hr-HR"/>
              </w:rPr>
            </w:pPr>
            <w:r w:rsidRPr="00840E6B">
              <w:rPr>
                <w:rFonts w:ascii="Calibri" w:eastAsia="Times New Roman" w:hAnsi="Calibri" w:cs="Calibri"/>
                <w:color w:val="D9D9D9" w:themeColor="background1" w:themeShade="D9"/>
                <w:sz w:val="16"/>
                <w:szCs w:val="16"/>
                <w:lang w:eastAsia="hr-HR"/>
              </w:rPr>
              <w:t>6</w:t>
            </w:r>
          </w:p>
        </w:tc>
      </w:tr>
      <w:tr w:rsidR="008C6EC8" w:rsidRPr="008E4612" w14:paraId="03EE5EEB" w14:textId="77777777" w:rsidTr="008C6EC8">
        <w:trPr>
          <w:trHeight w:val="327"/>
        </w:trPr>
        <w:tc>
          <w:tcPr>
            <w:tcW w:w="1181" w:type="dxa"/>
            <w:tcBorders>
              <w:top w:val="nil"/>
              <w:left w:val="single" w:sz="8" w:space="0" w:color="auto"/>
              <w:bottom w:val="single" w:sz="4" w:space="0" w:color="auto"/>
              <w:right w:val="single" w:sz="4" w:space="0" w:color="auto"/>
            </w:tcBorders>
            <w:shd w:val="clear" w:color="auto" w:fill="auto"/>
            <w:noWrap/>
            <w:vAlign w:val="bottom"/>
            <w:hideMark/>
          </w:tcPr>
          <w:p w14:paraId="73AF0657" w14:textId="0DA7BC22"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25.</w:t>
            </w:r>
          </w:p>
        </w:tc>
        <w:tc>
          <w:tcPr>
            <w:tcW w:w="2131" w:type="dxa"/>
            <w:tcBorders>
              <w:top w:val="nil"/>
              <w:left w:val="nil"/>
              <w:bottom w:val="single" w:sz="4" w:space="0" w:color="auto"/>
              <w:right w:val="single" w:sz="4" w:space="0" w:color="auto"/>
            </w:tcBorders>
            <w:shd w:val="clear" w:color="auto" w:fill="auto"/>
            <w:noWrap/>
            <w:vAlign w:val="bottom"/>
            <w:hideMark/>
          </w:tcPr>
          <w:p w14:paraId="1C931FFC" w14:textId="21A42F04"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31.03.202</w:t>
            </w:r>
            <w:r w:rsidR="007525D2">
              <w:rPr>
                <w:rFonts w:ascii="Calibri" w:hAnsi="Calibri" w:cs="Calibri"/>
                <w:sz w:val="20"/>
                <w:szCs w:val="20"/>
              </w:rPr>
              <w:t>4</w:t>
            </w:r>
            <w:r>
              <w:rPr>
                <w:rFonts w:ascii="Calibri" w:hAnsi="Calibri" w:cs="Calibri"/>
                <w:sz w:val="20"/>
                <w:szCs w:val="20"/>
              </w:rPr>
              <w:t>.</w:t>
            </w:r>
          </w:p>
        </w:tc>
        <w:tc>
          <w:tcPr>
            <w:tcW w:w="2131" w:type="dxa"/>
            <w:tcBorders>
              <w:top w:val="nil"/>
              <w:left w:val="nil"/>
              <w:bottom w:val="single" w:sz="4" w:space="0" w:color="auto"/>
              <w:right w:val="single" w:sz="4" w:space="0" w:color="auto"/>
            </w:tcBorders>
            <w:shd w:val="clear" w:color="auto" w:fill="auto"/>
            <w:noWrap/>
            <w:vAlign w:val="bottom"/>
            <w:hideMark/>
          </w:tcPr>
          <w:p w14:paraId="533EBB12" w14:textId="76DC2356" w:rsidR="008C6EC8" w:rsidRPr="008E4612" w:rsidRDefault="008C6EC8" w:rsidP="00C72005">
            <w:pPr>
              <w:spacing w:after="0" w:line="240" w:lineRule="auto"/>
              <w:rPr>
                <w:rFonts w:ascii="Calibri" w:eastAsia="Times New Roman" w:hAnsi="Calibri" w:cs="Calibri"/>
                <w:color w:val="FF0000"/>
                <w:sz w:val="20"/>
                <w:szCs w:val="20"/>
                <w:lang w:eastAsia="hr-HR"/>
              </w:rPr>
            </w:pPr>
            <w:r>
              <w:rPr>
                <w:rFonts w:ascii="Calibri" w:hAnsi="Calibri" w:cs="Calibri"/>
                <w:sz w:val="20"/>
                <w:szCs w:val="20"/>
              </w:rPr>
              <w:t xml:space="preserve">                  78.050    </w:t>
            </w:r>
          </w:p>
        </w:tc>
        <w:tc>
          <w:tcPr>
            <w:tcW w:w="2131" w:type="dxa"/>
            <w:tcBorders>
              <w:top w:val="nil"/>
              <w:left w:val="nil"/>
              <w:bottom w:val="single" w:sz="4" w:space="0" w:color="auto"/>
              <w:right w:val="nil"/>
            </w:tcBorders>
            <w:shd w:val="clear" w:color="auto" w:fill="auto"/>
            <w:noWrap/>
            <w:vAlign w:val="bottom"/>
            <w:hideMark/>
          </w:tcPr>
          <w:p w14:paraId="71BED40D" w14:textId="149A1B04" w:rsidR="008C6EC8" w:rsidRPr="008C6EC8" w:rsidRDefault="008C6EC8" w:rsidP="008C6EC8">
            <w:pPr>
              <w:spacing w:after="0" w:line="240" w:lineRule="auto"/>
              <w:jc w:val="center"/>
              <w:rPr>
                <w:rFonts w:ascii="Calibri" w:hAnsi="Calibri" w:cs="Calibri"/>
                <w:color w:val="000000"/>
                <w:sz w:val="20"/>
                <w:szCs w:val="20"/>
              </w:rPr>
            </w:pPr>
            <w:r>
              <w:rPr>
                <w:rFonts w:ascii="Calibri" w:hAnsi="Calibri" w:cs="Calibri"/>
                <w:color w:val="000000"/>
                <w:sz w:val="20"/>
                <w:szCs w:val="20"/>
              </w:rPr>
              <w:t>78.050</w:t>
            </w:r>
          </w:p>
        </w:tc>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40D9F08E" w14:textId="0D0870CE" w:rsidR="008C6EC8" w:rsidRPr="008E4612" w:rsidRDefault="008C6EC8" w:rsidP="00C72005">
            <w:pPr>
              <w:spacing w:after="0" w:line="240" w:lineRule="auto"/>
              <w:jc w:val="right"/>
              <w:rPr>
                <w:rFonts w:ascii="Calibri" w:eastAsia="Times New Roman" w:hAnsi="Calibri" w:cs="Calibri"/>
                <w:color w:val="FF0000"/>
                <w:sz w:val="20"/>
                <w:szCs w:val="20"/>
                <w:lang w:eastAsia="hr-HR"/>
              </w:rPr>
            </w:pPr>
            <w:r>
              <w:rPr>
                <w:rFonts w:ascii="Calibri" w:hAnsi="Calibri" w:cs="Calibri"/>
                <w:color w:val="000000"/>
                <w:sz w:val="20"/>
                <w:szCs w:val="20"/>
              </w:rPr>
              <w:t>100%</w:t>
            </w:r>
          </w:p>
        </w:tc>
      </w:tr>
      <w:tr w:rsidR="008C6EC8" w:rsidRPr="008E4612" w14:paraId="2A28D453" w14:textId="77777777" w:rsidTr="008C6EC8">
        <w:trPr>
          <w:trHeight w:val="311"/>
        </w:trPr>
        <w:tc>
          <w:tcPr>
            <w:tcW w:w="1181" w:type="dxa"/>
            <w:tcBorders>
              <w:top w:val="nil"/>
              <w:left w:val="single" w:sz="8" w:space="0" w:color="auto"/>
              <w:bottom w:val="single" w:sz="4" w:space="0" w:color="auto"/>
              <w:right w:val="single" w:sz="4" w:space="0" w:color="auto"/>
            </w:tcBorders>
            <w:shd w:val="clear" w:color="auto" w:fill="auto"/>
            <w:noWrap/>
            <w:vAlign w:val="bottom"/>
            <w:hideMark/>
          </w:tcPr>
          <w:p w14:paraId="6ABBFCFD" w14:textId="0F037BFC"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26.</w:t>
            </w:r>
          </w:p>
        </w:tc>
        <w:tc>
          <w:tcPr>
            <w:tcW w:w="2131" w:type="dxa"/>
            <w:tcBorders>
              <w:top w:val="nil"/>
              <w:left w:val="nil"/>
              <w:bottom w:val="single" w:sz="4" w:space="0" w:color="auto"/>
              <w:right w:val="single" w:sz="4" w:space="0" w:color="auto"/>
            </w:tcBorders>
            <w:shd w:val="clear" w:color="auto" w:fill="auto"/>
            <w:noWrap/>
            <w:vAlign w:val="bottom"/>
            <w:hideMark/>
          </w:tcPr>
          <w:p w14:paraId="48E568C6" w14:textId="1D8F351B"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30.06.202</w:t>
            </w:r>
            <w:r w:rsidR="007525D2">
              <w:rPr>
                <w:rFonts w:ascii="Calibri" w:hAnsi="Calibri" w:cs="Calibri"/>
                <w:sz w:val="20"/>
                <w:szCs w:val="20"/>
              </w:rPr>
              <w:t>4</w:t>
            </w:r>
            <w:r>
              <w:rPr>
                <w:rFonts w:ascii="Calibri" w:hAnsi="Calibri" w:cs="Calibri"/>
                <w:sz w:val="20"/>
                <w:szCs w:val="20"/>
              </w:rPr>
              <w:t>.</w:t>
            </w:r>
          </w:p>
        </w:tc>
        <w:tc>
          <w:tcPr>
            <w:tcW w:w="2131" w:type="dxa"/>
            <w:tcBorders>
              <w:top w:val="nil"/>
              <w:left w:val="nil"/>
              <w:bottom w:val="single" w:sz="4" w:space="0" w:color="auto"/>
              <w:right w:val="single" w:sz="4" w:space="0" w:color="auto"/>
            </w:tcBorders>
            <w:shd w:val="clear" w:color="auto" w:fill="auto"/>
            <w:noWrap/>
            <w:vAlign w:val="bottom"/>
            <w:hideMark/>
          </w:tcPr>
          <w:p w14:paraId="23F15F3B" w14:textId="621B5B29" w:rsidR="008C6EC8" w:rsidRPr="008E4612" w:rsidRDefault="008C6EC8" w:rsidP="00C72005">
            <w:pPr>
              <w:spacing w:after="0" w:line="240" w:lineRule="auto"/>
              <w:rPr>
                <w:rFonts w:ascii="Calibri" w:eastAsia="Times New Roman" w:hAnsi="Calibri" w:cs="Calibri"/>
                <w:color w:val="FF0000"/>
                <w:sz w:val="20"/>
                <w:szCs w:val="20"/>
                <w:lang w:eastAsia="hr-HR"/>
              </w:rPr>
            </w:pPr>
            <w:r>
              <w:rPr>
                <w:rFonts w:ascii="Calibri" w:hAnsi="Calibri" w:cs="Calibri"/>
                <w:sz w:val="20"/>
                <w:szCs w:val="20"/>
              </w:rPr>
              <w:t xml:space="preserve">                  78.050    </w:t>
            </w:r>
          </w:p>
        </w:tc>
        <w:tc>
          <w:tcPr>
            <w:tcW w:w="2131" w:type="dxa"/>
            <w:tcBorders>
              <w:top w:val="nil"/>
              <w:left w:val="nil"/>
              <w:bottom w:val="single" w:sz="4" w:space="0" w:color="auto"/>
              <w:right w:val="nil"/>
            </w:tcBorders>
            <w:shd w:val="clear" w:color="auto" w:fill="auto"/>
            <w:noWrap/>
            <w:vAlign w:val="bottom"/>
            <w:hideMark/>
          </w:tcPr>
          <w:p w14:paraId="71C66E12" w14:textId="0AF957A9" w:rsidR="008C6EC8" w:rsidRPr="008E4612" w:rsidRDefault="008C6EC8" w:rsidP="008C6EC8">
            <w:pPr>
              <w:spacing w:after="0" w:line="240" w:lineRule="auto"/>
              <w:jc w:val="center"/>
              <w:rPr>
                <w:rFonts w:ascii="Calibri" w:eastAsia="Times New Roman" w:hAnsi="Calibri" w:cs="Calibri"/>
                <w:color w:val="FF0000"/>
                <w:sz w:val="20"/>
                <w:szCs w:val="20"/>
                <w:lang w:eastAsia="hr-HR"/>
              </w:rPr>
            </w:pPr>
            <w:r>
              <w:rPr>
                <w:rFonts w:ascii="Calibri" w:hAnsi="Calibri" w:cs="Calibri"/>
                <w:color w:val="000000"/>
                <w:sz w:val="20"/>
                <w:szCs w:val="20"/>
              </w:rPr>
              <w:t>78.050</w:t>
            </w:r>
          </w:p>
        </w:tc>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6479A7D7" w14:textId="7F30E903" w:rsidR="008C6EC8" w:rsidRPr="008E4612" w:rsidRDefault="008C6EC8" w:rsidP="00C72005">
            <w:pPr>
              <w:spacing w:after="0" w:line="240" w:lineRule="auto"/>
              <w:jc w:val="right"/>
              <w:rPr>
                <w:rFonts w:ascii="Calibri" w:eastAsia="Times New Roman" w:hAnsi="Calibri" w:cs="Calibri"/>
                <w:color w:val="FF0000"/>
                <w:sz w:val="20"/>
                <w:szCs w:val="20"/>
                <w:lang w:eastAsia="hr-HR"/>
              </w:rPr>
            </w:pPr>
            <w:r>
              <w:rPr>
                <w:rFonts w:ascii="Calibri" w:hAnsi="Calibri" w:cs="Calibri"/>
                <w:color w:val="000000"/>
                <w:sz w:val="20"/>
                <w:szCs w:val="20"/>
              </w:rPr>
              <w:t>100%</w:t>
            </w:r>
          </w:p>
        </w:tc>
      </w:tr>
      <w:tr w:rsidR="008C6EC8" w:rsidRPr="008E4612" w14:paraId="1E51F2A3" w14:textId="77777777" w:rsidTr="008C6EC8">
        <w:trPr>
          <w:trHeight w:val="311"/>
        </w:trPr>
        <w:tc>
          <w:tcPr>
            <w:tcW w:w="1181" w:type="dxa"/>
            <w:tcBorders>
              <w:top w:val="nil"/>
              <w:left w:val="single" w:sz="8" w:space="0" w:color="auto"/>
              <w:bottom w:val="single" w:sz="4" w:space="0" w:color="auto"/>
              <w:right w:val="single" w:sz="4" w:space="0" w:color="auto"/>
            </w:tcBorders>
            <w:shd w:val="clear" w:color="auto" w:fill="auto"/>
            <w:noWrap/>
            <w:vAlign w:val="bottom"/>
            <w:hideMark/>
          </w:tcPr>
          <w:p w14:paraId="7B66393C" w14:textId="53B06BB1"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27.</w:t>
            </w:r>
          </w:p>
        </w:tc>
        <w:tc>
          <w:tcPr>
            <w:tcW w:w="2131" w:type="dxa"/>
            <w:tcBorders>
              <w:top w:val="nil"/>
              <w:left w:val="nil"/>
              <w:bottom w:val="single" w:sz="4" w:space="0" w:color="auto"/>
              <w:right w:val="single" w:sz="4" w:space="0" w:color="auto"/>
            </w:tcBorders>
            <w:shd w:val="clear" w:color="auto" w:fill="auto"/>
            <w:noWrap/>
            <w:vAlign w:val="bottom"/>
            <w:hideMark/>
          </w:tcPr>
          <w:p w14:paraId="1BAE9EC5" w14:textId="6788DD25"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30.09.202</w:t>
            </w:r>
            <w:r w:rsidR="007525D2">
              <w:rPr>
                <w:rFonts w:ascii="Calibri" w:hAnsi="Calibri" w:cs="Calibri"/>
                <w:sz w:val="20"/>
                <w:szCs w:val="20"/>
              </w:rPr>
              <w:t>4</w:t>
            </w:r>
            <w:r>
              <w:rPr>
                <w:rFonts w:ascii="Calibri" w:hAnsi="Calibri" w:cs="Calibri"/>
                <w:sz w:val="20"/>
                <w:szCs w:val="20"/>
              </w:rPr>
              <w:t>.</w:t>
            </w:r>
          </w:p>
        </w:tc>
        <w:tc>
          <w:tcPr>
            <w:tcW w:w="2131" w:type="dxa"/>
            <w:tcBorders>
              <w:top w:val="nil"/>
              <w:left w:val="nil"/>
              <w:bottom w:val="single" w:sz="4" w:space="0" w:color="auto"/>
              <w:right w:val="single" w:sz="4" w:space="0" w:color="auto"/>
            </w:tcBorders>
            <w:shd w:val="clear" w:color="auto" w:fill="auto"/>
            <w:noWrap/>
            <w:vAlign w:val="bottom"/>
            <w:hideMark/>
          </w:tcPr>
          <w:p w14:paraId="150DBBAB" w14:textId="7BCD2373" w:rsidR="008C6EC8" w:rsidRPr="008E4612" w:rsidRDefault="008C6EC8" w:rsidP="00C72005">
            <w:pPr>
              <w:spacing w:after="0" w:line="240" w:lineRule="auto"/>
              <w:rPr>
                <w:rFonts w:ascii="Calibri" w:eastAsia="Times New Roman" w:hAnsi="Calibri" w:cs="Calibri"/>
                <w:color w:val="FF0000"/>
                <w:sz w:val="20"/>
                <w:szCs w:val="20"/>
                <w:lang w:eastAsia="hr-HR"/>
              </w:rPr>
            </w:pPr>
            <w:r>
              <w:rPr>
                <w:rFonts w:ascii="Calibri" w:hAnsi="Calibri" w:cs="Calibri"/>
                <w:sz w:val="20"/>
                <w:szCs w:val="20"/>
              </w:rPr>
              <w:t xml:space="preserve">                  78.050    </w:t>
            </w:r>
          </w:p>
        </w:tc>
        <w:tc>
          <w:tcPr>
            <w:tcW w:w="2131" w:type="dxa"/>
            <w:tcBorders>
              <w:top w:val="nil"/>
              <w:left w:val="nil"/>
              <w:bottom w:val="single" w:sz="4" w:space="0" w:color="auto"/>
              <w:right w:val="nil"/>
            </w:tcBorders>
            <w:shd w:val="clear" w:color="auto" w:fill="auto"/>
            <w:noWrap/>
            <w:vAlign w:val="bottom"/>
            <w:hideMark/>
          </w:tcPr>
          <w:p w14:paraId="59388DBE" w14:textId="6287D12F" w:rsidR="008C6EC8" w:rsidRPr="008E4612" w:rsidRDefault="008C6EC8" w:rsidP="008C6EC8">
            <w:pPr>
              <w:spacing w:after="0" w:line="240" w:lineRule="auto"/>
              <w:jc w:val="center"/>
              <w:rPr>
                <w:rFonts w:ascii="Calibri" w:eastAsia="Times New Roman" w:hAnsi="Calibri" w:cs="Calibri"/>
                <w:color w:val="FF0000"/>
                <w:sz w:val="20"/>
                <w:szCs w:val="20"/>
                <w:lang w:eastAsia="hr-HR"/>
              </w:rPr>
            </w:pPr>
            <w:r w:rsidRPr="008C6EC8">
              <w:rPr>
                <w:rFonts w:ascii="Calibri" w:hAnsi="Calibri" w:cs="Calibri"/>
                <w:color w:val="000000"/>
                <w:sz w:val="20"/>
                <w:szCs w:val="20"/>
              </w:rPr>
              <w:t>78.050</w:t>
            </w:r>
          </w:p>
        </w:tc>
        <w:tc>
          <w:tcPr>
            <w:tcW w:w="1463" w:type="dxa"/>
            <w:tcBorders>
              <w:top w:val="nil"/>
              <w:left w:val="single" w:sz="4" w:space="0" w:color="auto"/>
              <w:bottom w:val="single" w:sz="4" w:space="0" w:color="auto"/>
              <w:right w:val="single" w:sz="4" w:space="0" w:color="auto"/>
            </w:tcBorders>
            <w:shd w:val="clear" w:color="auto" w:fill="auto"/>
            <w:noWrap/>
            <w:vAlign w:val="bottom"/>
            <w:hideMark/>
          </w:tcPr>
          <w:p w14:paraId="69A29C45" w14:textId="402DB356" w:rsidR="008C6EC8" w:rsidRPr="008E4612" w:rsidRDefault="008C6EC8" w:rsidP="00C72005">
            <w:pPr>
              <w:spacing w:after="0" w:line="240" w:lineRule="auto"/>
              <w:jc w:val="right"/>
              <w:rPr>
                <w:rFonts w:ascii="Calibri" w:eastAsia="Times New Roman" w:hAnsi="Calibri" w:cs="Calibri"/>
                <w:color w:val="FF0000"/>
                <w:sz w:val="20"/>
                <w:szCs w:val="20"/>
                <w:lang w:eastAsia="hr-HR"/>
              </w:rPr>
            </w:pPr>
            <w:r>
              <w:rPr>
                <w:rFonts w:ascii="Calibri" w:hAnsi="Calibri" w:cs="Calibri"/>
                <w:color w:val="000000"/>
                <w:sz w:val="20"/>
                <w:szCs w:val="20"/>
              </w:rPr>
              <w:t>100%</w:t>
            </w:r>
          </w:p>
        </w:tc>
      </w:tr>
      <w:tr w:rsidR="008C6EC8" w:rsidRPr="008E4612" w14:paraId="3D94C823" w14:textId="77777777" w:rsidTr="008C6EC8">
        <w:trPr>
          <w:trHeight w:val="327"/>
        </w:trPr>
        <w:tc>
          <w:tcPr>
            <w:tcW w:w="1181" w:type="dxa"/>
            <w:tcBorders>
              <w:top w:val="nil"/>
              <w:left w:val="single" w:sz="8" w:space="0" w:color="auto"/>
              <w:bottom w:val="single" w:sz="4" w:space="0" w:color="auto"/>
              <w:right w:val="single" w:sz="4" w:space="0" w:color="auto"/>
            </w:tcBorders>
            <w:shd w:val="clear" w:color="auto" w:fill="auto"/>
            <w:noWrap/>
            <w:vAlign w:val="bottom"/>
            <w:hideMark/>
          </w:tcPr>
          <w:p w14:paraId="48D61C73" w14:textId="49B882EB"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28.</w:t>
            </w:r>
          </w:p>
        </w:tc>
        <w:tc>
          <w:tcPr>
            <w:tcW w:w="2131" w:type="dxa"/>
            <w:tcBorders>
              <w:top w:val="nil"/>
              <w:left w:val="nil"/>
              <w:bottom w:val="single" w:sz="4" w:space="0" w:color="auto"/>
              <w:right w:val="single" w:sz="4" w:space="0" w:color="auto"/>
            </w:tcBorders>
            <w:shd w:val="clear" w:color="auto" w:fill="auto"/>
            <w:noWrap/>
            <w:vAlign w:val="bottom"/>
            <w:hideMark/>
          </w:tcPr>
          <w:p w14:paraId="590E3B52" w14:textId="68FA7CEE" w:rsidR="008C6EC8" w:rsidRPr="008E4612" w:rsidRDefault="008C6EC8" w:rsidP="00C72005">
            <w:pPr>
              <w:spacing w:after="0" w:line="240" w:lineRule="auto"/>
              <w:jc w:val="center"/>
              <w:rPr>
                <w:rFonts w:ascii="Calibri" w:eastAsia="Times New Roman" w:hAnsi="Calibri" w:cs="Calibri"/>
                <w:color w:val="FF0000"/>
                <w:sz w:val="20"/>
                <w:szCs w:val="20"/>
                <w:lang w:eastAsia="hr-HR"/>
              </w:rPr>
            </w:pPr>
            <w:r>
              <w:rPr>
                <w:rFonts w:ascii="Calibri" w:hAnsi="Calibri" w:cs="Calibri"/>
                <w:sz w:val="20"/>
                <w:szCs w:val="20"/>
              </w:rPr>
              <w:t>31.12.202</w:t>
            </w:r>
            <w:r w:rsidR="007525D2">
              <w:rPr>
                <w:rFonts w:ascii="Calibri" w:hAnsi="Calibri" w:cs="Calibri"/>
                <w:sz w:val="20"/>
                <w:szCs w:val="20"/>
              </w:rPr>
              <w:t>4</w:t>
            </w:r>
            <w:r>
              <w:rPr>
                <w:rFonts w:ascii="Calibri" w:hAnsi="Calibri" w:cs="Calibri"/>
                <w:sz w:val="20"/>
                <w:szCs w:val="20"/>
              </w:rPr>
              <w:t>.</w:t>
            </w:r>
          </w:p>
        </w:tc>
        <w:tc>
          <w:tcPr>
            <w:tcW w:w="2131" w:type="dxa"/>
            <w:tcBorders>
              <w:top w:val="nil"/>
              <w:left w:val="nil"/>
              <w:bottom w:val="single" w:sz="4" w:space="0" w:color="auto"/>
              <w:right w:val="single" w:sz="4" w:space="0" w:color="auto"/>
            </w:tcBorders>
            <w:shd w:val="clear" w:color="auto" w:fill="auto"/>
            <w:noWrap/>
            <w:vAlign w:val="bottom"/>
            <w:hideMark/>
          </w:tcPr>
          <w:p w14:paraId="1206A6F0" w14:textId="5B59014C" w:rsidR="008C6EC8" w:rsidRPr="008E4612" w:rsidRDefault="008C6EC8" w:rsidP="00C72005">
            <w:pPr>
              <w:spacing w:after="0" w:line="240" w:lineRule="auto"/>
              <w:rPr>
                <w:rFonts w:ascii="Calibri" w:eastAsia="Times New Roman" w:hAnsi="Calibri" w:cs="Calibri"/>
                <w:color w:val="FF0000"/>
                <w:sz w:val="20"/>
                <w:szCs w:val="20"/>
                <w:lang w:eastAsia="hr-HR"/>
              </w:rPr>
            </w:pPr>
            <w:r>
              <w:rPr>
                <w:rFonts w:ascii="Calibri" w:hAnsi="Calibri" w:cs="Calibri"/>
                <w:sz w:val="20"/>
                <w:szCs w:val="20"/>
              </w:rPr>
              <w:t xml:space="preserve">                  78.050    </w:t>
            </w:r>
          </w:p>
        </w:tc>
        <w:tc>
          <w:tcPr>
            <w:tcW w:w="2131" w:type="dxa"/>
            <w:tcBorders>
              <w:top w:val="nil"/>
              <w:left w:val="nil"/>
              <w:bottom w:val="single" w:sz="8" w:space="0" w:color="auto"/>
              <w:right w:val="nil"/>
            </w:tcBorders>
            <w:shd w:val="clear" w:color="auto" w:fill="auto"/>
            <w:noWrap/>
            <w:vAlign w:val="bottom"/>
            <w:hideMark/>
          </w:tcPr>
          <w:p w14:paraId="1EE7A2A8" w14:textId="67CF5E0E" w:rsidR="008C6EC8" w:rsidRPr="008E4612" w:rsidRDefault="008C6EC8" w:rsidP="008C6EC8">
            <w:pPr>
              <w:spacing w:after="0" w:line="240" w:lineRule="auto"/>
              <w:jc w:val="center"/>
              <w:rPr>
                <w:rFonts w:ascii="Calibri" w:eastAsia="Times New Roman" w:hAnsi="Calibri" w:cs="Calibri"/>
                <w:color w:val="FF0000"/>
                <w:sz w:val="20"/>
                <w:szCs w:val="20"/>
                <w:lang w:eastAsia="hr-HR"/>
              </w:rPr>
            </w:pPr>
            <w:r w:rsidRPr="008C6EC8">
              <w:rPr>
                <w:rFonts w:ascii="Calibri" w:hAnsi="Calibri" w:cs="Calibri"/>
                <w:color w:val="000000"/>
                <w:sz w:val="20"/>
                <w:szCs w:val="20"/>
              </w:rPr>
              <w:t>78.050</w:t>
            </w:r>
          </w:p>
        </w:tc>
        <w:tc>
          <w:tcPr>
            <w:tcW w:w="1463" w:type="dxa"/>
            <w:tcBorders>
              <w:top w:val="nil"/>
              <w:left w:val="single" w:sz="4" w:space="0" w:color="auto"/>
              <w:bottom w:val="nil"/>
              <w:right w:val="single" w:sz="4" w:space="0" w:color="auto"/>
            </w:tcBorders>
            <w:shd w:val="clear" w:color="auto" w:fill="auto"/>
            <w:noWrap/>
            <w:vAlign w:val="bottom"/>
            <w:hideMark/>
          </w:tcPr>
          <w:p w14:paraId="3757C7B2" w14:textId="729755C6" w:rsidR="008C6EC8" w:rsidRPr="008E4612" w:rsidRDefault="008C6EC8" w:rsidP="00C72005">
            <w:pPr>
              <w:spacing w:after="0" w:line="240" w:lineRule="auto"/>
              <w:jc w:val="right"/>
              <w:rPr>
                <w:rFonts w:ascii="Calibri" w:eastAsia="Times New Roman" w:hAnsi="Calibri" w:cs="Calibri"/>
                <w:color w:val="FF0000"/>
                <w:sz w:val="20"/>
                <w:szCs w:val="20"/>
                <w:lang w:eastAsia="hr-HR"/>
              </w:rPr>
            </w:pPr>
            <w:r>
              <w:rPr>
                <w:rFonts w:ascii="Calibri" w:hAnsi="Calibri" w:cs="Calibri"/>
                <w:color w:val="000000"/>
                <w:sz w:val="20"/>
                <w:szCs w:val="20"/>
              </w:rPr>
              <w:t>100%</w:t>
            </w:r>
          </w:p>
        </w:tc>
      </w:tr>
      <w:tr w:rsidR="008C6EC8" w:rsidRPr="008E4612" w14:paraId="73319087" w14:textId="77777777" w:rsidTr="008C6EC8">
        <w:trPr>
          <w:trHeight w:val="327"/>
        </w:trPr>
        <w:tc>
          <w:tcPr>
            <w:tcW w:w="1181"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FCEC3B4" w14:textId="5DF13C46" w:rsidR="008C6EC8" w:rsidRPr="008E4612" w:rsidRDefault="008C6EC8" w:rsidP="008C6EC8">
            <w:pPr>
              <w:spacing w:after="0" w:line="240" w:lineRule="auto"/>
              <w:jc w:val="center"/>
              <w:rPr>
                <w:rFonts w:ascii="Calibri" w:eastAsia="Times New Roman" w:hAnsi="Calibri" w:cs="Calibri"/>
                <w:b/>
                <w:bCs/>
                <w:color w:val="FF0000"/>
                <w:sz w:val="20"/>
                <w:szCs w:val="20"/>
                <w:lang w:eastAsia="hr-HR"/>
              </w:rPr>
            </w:pPr>
            <w:r>
              <w:rPr>
                <w:rFonts w:ascii="Calibri" w:hAnsi="Calibri" w:cs="Calibri"/>
                <w:b/>
                <w:bCs/>
                <w:sz w:val="20"/>
                <w:szCs w:val="20"/>
              </w:rPr>
              <w:t xml:space="preserve"> </w:t>
            </w:r>
          </w:p>
        </w:tc>
        <w:tc>
          <w:tcPr>
            <w:tcW w:w="2131" w:type="dxa"/>
            <w:tcBorders>
              <w:top w:val="single" w:sz="8" w:space="0" w:color="auto"/>
              <w:left w:val="nil"/>
              <w:bottom w:val="single" w:sz="8" w:space="0" w:color="auto"/>
              <w:right w:val="single" w:sz="4" w:space="0" w:color="auto"/>
            </w:tcBorders>
            <w:shd w:val="clear" w:color="auto" w:fill="auto"/>
            <w:noWrap/>
            <w:vAlign w:val="bottom"/>
            <w:hideMark/>
          </w:tcPr>
          <w:p w14:paraId="0A3693D4" w14:textId="063742EE" w:rsidR="008C6EC8" w:rsidRPr="008E4612" w:rsidRDefault="008C6EC8" w:rsidP="008C6EC8">
            <w:pPr>
              <w:spacing w:after="0" w:line="240" w:lineRule="auto"/>
              <w:jc w:val="center"/>
              <w:rPr>
                <w:rFonts w:ascii="Calibri" w:eastAsia="Times New Roman" w:hAnsi="Calibri" w:cs="Calibri"/>
                <w:b/>
                <w:bCs/>
                <w:color w:val="FF0000"/>
                <w:sz w:val="20"/>
                <w:szCs w:val="20"/>
                <w:lang w:eastAsia="hr-HR"/>
              </w:rPr>
            </w:pPr>
            <w:r>
              <w:rPr>
                <w:rFonts w:ascii="Calibri" w:hAnsi="Calibri" w:cs="Calibri"/>
                <w:b/>
                <w:bCs/>
                <w:sz w:val="20"/>
                <w:szCs w:val="20"/>
              </w:rPr>
              <w:t>U K U P N O</w:t>
            </w:r>
          </w:p>
        </w:tc>
        <w:tc>
          <w:tcPr>
            <w:tcW w:w="2131" w:type="dxa"/>
            <w:tcBorders>
              <w:top w:val="single" w:sz="8" w:space="0" w:color="auto"/>
              <w:left w:val="nil"/>
              <w:bottom w:val="single" w:sz="8" w:space="0" w:color="auto"/>
              <w:right w:val="single" w:sz="4" w:space="0" w:color="auto"/>
            </w:tcBorders>
            <w:shd w:val="clear" w:color="auto" w:fill="auto"/>
            <w:noWrap/>
            <w:vAlign w:val="bottom"/>
            <w:hideMark/>
          </w:tcPr>
          <w:p w14:paraId="6AD1F1C6" w14:textId="108A6C48" w:rsidR="008C6EC8" w:rsidRPr="008E4612" w:rsidRDefault="008C6EC8" w:rsidP="008C6EC8">
            <w:pPr>
              <w:spacing w:after="0" w:line="240" w:lineRule="auto"/>
              <w:rPr>
                <w:rFonts w:ascii="Calibri" w:eastAsia="Times New Roman" w:hAnsi="Calibri" w:cs="Calibri"/>
                <w:b/>
                <w:bCs/>
                <w:color w:val="FF0000"/>
                <w:sz w:val="20"/>
                <w:szCs w:val="20"/>
                <w:lang w:eastAsia="hr-HR"/>
              </w:rPr>
            </w:pPr>
            <w:r>
              <w:rPr>
                <w:rFonts w:ascii="Calibri" w:hAnsi="Calibri" w:cs="Calibri"/>
                <w:b/>
                <w:bCs/>
                <w:sz w:val="20"/>
                <w:szCs w:val="20"/>
              </w:rPr>
              <w:t xml:space="preserve">                312.200    </w:t>
            </w:r>
          </w:p>
        </w:tc>
        <w:tc>
          <w:tcPr>
            <w:tcW w:w="2131" w:type="dxa"/>
            <w:tcBorders>
              <w:top w:val="nil"/>
              <w:left w:val="nil"/>
              <w:bottom w:val="single" w:sz="8" w:space="0" w:color="auto"/>
              <w:right w:val="nil"/>
            </w:tcBorders>
            <w:shd w:val="clear" w:color="auto" w:fill="auto"/>
            <w:noWrap/>
            <w:vAlign w:val="bottom"/>
            <w:hideMark/>
          </w:tcPr>
          <w:p w14:paraId="76BBFA46" w14:textId="0FCB52E1" w:rsidR="008C6EC8" w:rsidRPr="008E4612" w:rsidRDefault="008C6EC8" w:rsidP="008C6EC8">
            <w:pPr>
              <w:spacing w:after="0" w:line="240" w:lineRule="auto"/>
              <w:jc w:val="center"/>
              <w:rPr>
                <w:rFonts w:ascii="Calibri" w:eastAsia="Times New Roman" w:hAnsi="Calibri" w:cs="Calibri"/>
                <w:b/>
                <w:bCs/>
                <w:color w:val="FF0000"/>
                <w:sz w:val="20"/>
                <w:szCs w:val="20"/>
                <w:lang w:eastAsia="hr-HR"/>
              </w:rPr>
            </w:pPr>
            <w:r>
              <w:rPr>
                <w:rFonts w:ascii="Calibri" w:hAnsi="Calibri" w:cs="Calibri"/>
                <w:b/>
                <w:bCs/>
                <w:sz w:val="20"/>
                <w:szCs w:val="20"/>
              </w:rPr>
              <w:t>312.200</w:t>
            </w:r>
          </w:p>
        </w:tc>
        <w:tc>
          <w:tcPr>
            <w:tcW w:w="1463"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247D3A48" w14:textId="6AE41795" w:rsidR="008C6EC8" w:rsidRPr="008C6EC8" w:rsidRDefault="008C6EC8" w:rsidP="008C6EC8">
            <w:pPr>
              <w:spacing w:after="0" w:line="240" w:lineRule="auto"/>
              <w:jc w:val="right"/>
              <w:rPr>
                <w:rFonts w:ascii="Calibri" w:eastAsia="Times New Roman" w:hAnsi="Calibri" w:cs="Calibri"/>
                <w:b/>
                <w:bCs/>
                <w:color w:val="FF0000"/>
                <w:sz w:val="20"/>
                <w:szCs w:val="20"/>
                <w:lang w:eastAsia="hr-HR"/>
              </w:rPr>
            </w:pPr>
            <w:r w:rsidRPr="008C6EC8">
              <w:rPr>
                <w:rFonts w:ascii="Calibri" w:hAnsi="Calibri" w:cs="Calibri"/>
                <w:b/>
                <w:bCs/>
                <w:color w:val="000000"/>
                <w:sz w:val="20"/>
                <w:szCs w:val="20"/>
              </w:rPr>
              <w:t>100%</w:t>
            </w:r>
          </w:p>
        </w:tc>
      </w:tr>
    </w:tbl>
    <w:p w14:paraId="3D0F18EC" w14:textId="2F9FDB04" w:rsidR="00C5602F" w:rsidRPr="00C72005" w:rsidRDefault="00C5602F" w:rsidP="00C5602F">
      <w:pPr>
        <w:rPr>
          <w:color w:val="D9D9D9" w:themeColor="background1" w:themeShade="D9"/>
        </w:rPr>
      </w:pPr>
    </w:p>
    <w:p w14:paraId="75A96BAB" w14:textId="77777777" w:rsidR="00407172" w:rsidRPr="008E4612" w:rsidRDefault="00906F2D" w:rsidP="00906F2D">
      <w:pPr>
        <w:jc w:val="right"/>
        <w:rPr>
          <w:color w:val="FF0000"/>
        </w:rPr>
      </w:pPr>
      <w:r w:rsidRPr="008E4612">
        <w:rPr>
          <w:color w:val="FF0000"/>
        </w:rPr>
        <w:tab/>
      </w:r>
      <w:r w:rsidRPr="008E4612">
        <w:rPr>
          <w:color w:val="FF0000"/>
        </w:rPr>
        <w:tab/>
      </w:r>
      <w:r w:rsidRPr="008E4612">
        <w:rPr>
          <w:color w:val="FF0000"/>
        </w:rPr>
        <w:tab/>
      </w:r>
      <w:r w:rsidRPr="008E4612">
        <w:rPr>
          <w:color w:val="FF0000"/>
        </w:rPr>
        <w:tab/>
      </w:r>
    </w:p>
    <w:p w14:paraId="7B0E5120" w14:textId="77777777" w:rsidR="00407172" w:rsidRDefault="00407172" w:rsidP="00906F2D">
      <w:pPr>
        <w:jc w:val="right"/>
        <w:rPr>
          <w:color w:val="FF0000"/>
        </w:rPr>
      </w:pPr>
    </w:p>
    <w:p w14:paraId="45BEFF1F" w14:textId="77777777" w:rsidR="00A576C9" w:rsidRDefault="00A576C9">
      <w:pPr>
        <w:rPr>
          <w:color w:val="FF0000"/>
        </w:rPr>
      </w:pPr>
      <w:r>
        <w:rPr>
          <w:color w:val="FF0000"/>
        </w:rPr>
        <w:br w:type="page"/>
      </w:r>
    </w:p>
    <w:p w14:paraId="4B4E1750" w14:textId="14EABCE0" w:rsidR="00A576C9" w:rsidRPr="005112B9" w:rsidRDefault="00A576C9" w:rsidP="005A3821">
      <w:pPr>
        <w:pStyle w:val="Heading2"/>
      </w:pPr>
      <w:bookmarkStart w:id="93" w:name="_Toc200094298"/>
      <w:r w:rsidRPr="005112B9">
        <w:lastRenderedPageBreak/>
        <w:t xml:space="preserve">5. </w:t>
      </w:r>
      <w:r w:rsidR="005112B9" w:rsidRPr="005112B9">
        <w:t>INSPEKCIJSKI NADZORI, IZVLAŠTENJA I SUDSKI POSTUPCI</w:t>
      </w:r>
      <w:bookmarkEnd w:id="93"/>
    </w:p>
    <w:p w14:paraId="0DE123BE" w14:textId="77777777" w:rsidR="00A576C9" w:rsidRDefault="00A576C9" w:rsidP="00A576C9">
      <w:bookmarkStart w:id="94" w:name="_Hlk198208883"/>
    </w:p>
    <w:bookmarkEnd w:id="94"/>
    <w:p w14:paraId="6E7079F6" w14:textId="77777777" w:rsidR="005D6E33" w:rsidRPr="00EE056B" w:rsidRDefault="005D6E33" w:rsidP="005D6E33">
      <w:pPr>
        <w:pStyle w:val="NoSpacing"/>
        <w:spacing w:before="120" w:after="120" w:line="360" w:lineRule="auto"/>
        <w:jc w:val="both"/>
      </w:pPr>
      <w:r w:rsidRPr="00EE056B">
        <w:t xml:space="preserve">U 2024. godini izvršena su dva </w:t>
      </w:r>
      <w:r w:rsidRPr="00341E81">
        <w:rPr>
          <w:b/>
          <w:bCs/>
        </w:rPr>
        <w:t>inspekcijska nadzora</w:t>
      </w:r>
      <w:r w:rsidRPr="00EE056B">
        <w:t xml:space="preserve"> od strane Državnog inspektorata iz područja zaštite okoliša, zaštite od požara, eksploziva i oružja, te je doneseno jedno rješenje. U 2024. godini Državni inspektorat nije donio rješenje kojim bi se Društvu ili odgovornoj osobi izrekla novčana kazna.</w:t>
      </w:r>
    </w:p>
    <w:p w14:paraId="6C03D21E" w14:textId="77777777" w:rsidR="005D6E33" w:rsidRPr="00EE056B" w:rsidRDefault="005D6E33" w:rsidP="005D6E33">
      <w:pPr>
        <w:pStyle w:val="NoSpacing"/>
        <w:spacing w:before="120" w:after="120" w:line="360" w:lineRule="auto"/>
        <w:jc w:val="both"/>
      </w:pPr>
      <w:r w:rsidRPr="00341E81">
        <w:rPr>
          <w:b/>
          <w:bCs/>
        </w:rPr>
        <w:t>Postupci izvlaštenja zemljišta</w:t>
      </w:r>
      <w:r w:rsidRPr="00EE056B">
        <w:t xml:space="preserve"> osam vlasnika, započeti još 2004. godine pri nadležnom Uredu državne uprave nastavljeni su u žalbenim postupcima, gdje angažirani odvjetnički ured aktivno sudjeluje, a sve kako bi se postupci izvlaštenja dovršili izdavanjem pravomoćnih rješenja te konačnim isplatama vlasnicima i upisom prava vlasništva Društva na preostalim česticama. Upravni postupci još uvijek su u tijeku zbog višekratnog utvrđivanja visine naknade, uz brojne žalbe stranaka i ponovljena vještačenja. Tijekom 2024. godine održana su ročišta, provedena dodatna vještačenja,</w:t>
      </w:r>
      <w:r>
        <w:t xml:space="preserve"> te se</w:t>
      </w:r>
      <w:r w:rsidRPr="00EE056B">
        <w:t xml:space="preserve"> očekuje se nastavak žalbenih postupaka. Okončanje ovih upravnih postupaka nema izravan utjecaj na valjanost izdanih dozvola za rad CGO Marišćina.</w:t>
      </w:r>
    </w:p>
    <w:p w14:paraId="1E1CEEDA" w14:textId="77777777" w:rsidR="00CC2CCE" w:rsidRPr="00341E81" w:rsidRDefault="00CC2CCE" w:rsidP="00CC2CCE">
      <w:pPr>
        <w:spacing w:before="240" w:after="240" w:line="360" w:lineRule="auto"/>
        <w:jc w:val="both"/>
        <w:rPr>
          <w:rFonts w:cstheme="minorHAnsi"/>
          <w:b/>
          <w:bCs/>
        </w:rPr>
      </w:pPr>
      <w:r w:rsidRPr="00341E81">
        <w:rPr>
          <w:rFonts w:cstheme="minorHAnsi"/>
          <w:b/>
          <w:bCs/>
        </w:rPr>
        <w:t>Protiv Društva su se u 2024. godini vodila 4 prekršajna postupka.</w:t>
      </w:r>
    </w:p>
    <w:p w14:paraId="5703F1D1" w14:textId="77777777" w:rsidR="00CC2CCE" w:rsidRPr="002719EA" w:rsidRDefault="00CC2CCE" w:rsidP="00CC2CCE">
      <w:pPr>
        <w:spacing w:after="0" w:line="360" w:lineRule="auto"/>
        <w:jc w:val="both"/>
        <w:rPr>
          <w:rFonts w:cstheme="minorHAnsi"/>
        </w:rPr>
      </w:pPr>
      <w:r w:rsidRPr="002719EA">
        <w:rPr>
          <w:rFonts w:cstheme="minorHAnsi"/>
        </w:rPr>
        <w:t>Prekršajni postupak</w:t>
      </w:r>
      <w:r>
        <w:rPr>
          <w:rFonts w:cstheme="minorHAnsi"/>
        </w:rPr>
        <w:t xml:space="preserve"> započet 2020. godine</w:t>
      </w:r>
      <w:r w:rsidRPr="002719EA">
        <w:rPr>
          <w:rFonts w:cstheme="minorHAnsi"/>
        </w:rPr>
        <w:t xml:space="preserve"> koji se pred Općinskim sudom u Rijeci, Prekršajnim odjelom, vodi temeljem optužnog prijedloga tužitelja ODO iz Rijeke, protiv okrivljenika trgovačkog društva Ekoplus d.o.o. i odgovorne osobe u pravnoj osobi, radi prekršaja iz članka 443. Zakona o javnoj nabavi. U navedenom postupku je dana 12. siječnja 2023. godine donesena presuda kojom su Ekoplus d.o.o. i odgovorna osoba u pravnoj osobi po točki 1. proglašene krivim (neprovođenje javne nabave za prekrivanje plohe 1A), međutim oslobađaju se od kazne, a po točki 2. su Ekoplus d.o.o. i odgovorna osoba u pravnoj osobi oslobođene od optužbe (neprovođenje postupka javne nabave za agencijske radnike). Na navedenu presudu, odnosno na točku 1. iste je uložena žalba te se očekuje donošenje drugostupanjske presude.</w:t>
      </w:r>
    </w:p>
    <w:p w14:paraId="4D60C9D9" w14:textId="77777777" w:rsidR="00CC2CCE" w:rsidRPr="002719EA" w:rsidRDefault="00CC2CCE" w:rsidP="00CC2CCE">
      <w:pPr>
        <w:spacing w:after="0" w:line="360" w:lineRule="auto"/>
        <w:jc w:val="both"/>
        <w:rPr>
          <w:rFonts w:cstheme="minorHAnsi"/>
        </w:rPr>
      </w:pPr>
      <w:r w:rsidRPr="002719EA">
        <w:rPr>
          <w:rFonts w:cstheme="minorHAnsi"/>
        </w:rPr>
        <w:t xml:space="preserve">Prekršajni postupak </w:t>
      </w:r>
      <w:r w:rsidRPr="008728FB">
        <w:rPr>
          <w:rFonts w:cstheme="minorHAnsi"/>
        </w:rPr>
        <w:t xml:space="preserve">započet 2020. godine </w:t>
      </w:r>
      <w:r w:rsidRPr="002719EA">
        <w:rPr>
          <w:rFonts w:cstheme="minorHAnsi"/>
        </w:rPr>
        <w:t>koji se pred Općinskim sudom u Rijeci, Prekršajnim odjelom, vodi temeljem prekršajnog naloga tužitelja Državnog inspektorata, protiv okrivljenika trgovačkog društva Ekoplus d.o.o. i odgovorne osobe u pravnoj osobi, radi prekršaja iz članka 98. Zakona o zaštiti na radu. U navedenom postupku je dana 10. siječnja 2023. godine donesena presuda kojom su Ekoplus d.o.o. i odgovorna osoba u pravnoj osobi oslobađaju od optužbe. Na navedenu presudu je Državni inspektorat uložio žalbu, Visoki prekršajni sud RH je prihvatio žalbu, ukinuo presudu te se postupak nastavio pred prvostupanjskim sudom. Prvostupanjski sud je dana 22.04.2024. godine donio presudu kojom se optužba odbija.</w:t>
      </w:r>
    </w:p>
    <w:p w14:paraId="152C6B64" w14:textId="77777777" w:rsidR="00CC2CCE" w:rsidRDefault="00CC2CCE" w:rsidP="00CC2CCE">
      <w:pPr>
        <w:spacing w:after="0" w:line="360" w:lineRule="auto"/>
        <w:jc w:val="both"/>
        <w:rPr>
          <w:rFonts w:cstheme="minorHAnsi"/>
        </w:rPr>
      </w:pPr>
      <w:r w:rsidRPr="002719EA">
        <w:rPr>
          <w:rFonts w:cstheme="minorHAnsi"/>
        </w:rPr>
        <w:t xml:space="preserve">Prekršajni postupak </w:t>
      </w:r>
      <w:r w:rsidRPr="008728FB">
        <w:rPr>
          <w:rFonts w:cstheme="minorHAnsi"/>
        </w:rPr>
        <w:t xml:space="preserve">započet 2020. godine </w:t>
      </w:r>
      <w:r w:rsidRPr="002719EA">
        <w:rPr>
          <w:rFonts w:cstheme="minorHAnsi"/>
        </w:rPr>
        <w:t xml:space="preserve">koji se pred Općinskim sudom u Rijeci, Prekršajnim odjelom, vodio temeljem prekršajnog naloga tužitelja Državnog inspektorata, protiv okrivljenika trgovačkog </w:t>
      </w:r>
      <w:r w:rsidRPr="002719EA">
        <w:rPr>
          <w:rFonts w:cstheme="minorHAnsi"/>
        </w:rPr>
        <w:lastRenderedPageBreak/>
        <w:t>društva Ekoplus d.o.o. i odgovorne osobe u pravnoj osobi, radi prekršaja iz članka 228. Zakona o radu. U navedenom postupku je dana 05. svibnja 2023. godine donesena presuda kojom su Ekoplus d.o.o. i odgovorna osoba u pravnoj osobi proglašene krivim. Na navedenu presudu je uložena žalba, međutim Visoki prekršajni sud RH je odbio žalbu kao neosnovanu te potvrdio prvostupanjsku presudu.</w:t>
      </w:r>
    </w:p>
    <w:p w14:paraId="5A3A7EAA" w14:textId="701FF093" w:rsidR="00CC2CCE" w:rsidRPr="00CC2CCE" w:rsidRDefault="00CC2CCE" w:rsidP="007065AA">
      <w:pPr>
        <w:spacing w:after="240" w:line="360" w:lineRule="auto"/>
        <w:jc w:val="both"/>
        <w:rPr>
          <w:rFonts w:cstheme="minorHAnsi"/>
        </w:rPr>
      </w:pPr>
      <w:r w:rsidRPr="002719EA">
        <w:rPr>
          <w:rFonts w:cstheme="minorHAnsi"/>
        </w:rPr>
        <w:t>Prekršajni postupak</w:t>
      </w:r>
      <w:r w:rsidRPr="008728FB">
        <w:t xml:space="preserve"> </w:t>
      </w:r>
      <w:r w:rsidRPr="008728FB">
        <w:rPr>
          <w:rFonts w:cstheme="minorHAnsi"/>
        </w:rPr>
        <w:t>započet 202</w:t>
      </w:r>
      <w:r>
        <w:rPr>
          <w:rFonts w:cstheme="minorHAnsi"/>
        </w:rPr>
        <w:t>2</w:t>
      </w:r>
      <w:r w:rsidRPr="008728FB">
        <w:rPr>
          <w:rFonts w:cstheme="minorHAnsi"/>
        </w:rPr>
        <w:t>. godine</w:t>
      </w:r>
      <w:r w:rsidRPr="002719EA">
        <w:rPr>
          <w:rFonts w:cstheme="minorHAnsi"/>
        </w:rPr>
        <w:t xml:space="preserve"> koji se pred Općinskim sudom u Rijeci, Prekršajnim odjelom, vodi temeljem optužnog prijedloga tužitelja Državnog inspektorata, protiv okrivljenika trgovačkog društva Ekoplus d.o.o. i odgovorne osobe u pravnoj osobi, radi prekršaja iz članka 127. stavak 1. točka 4. i stavak 2. Zakona o državnom inspektoratu. U navedenom postupku je dana 27. veljače 2024. godine održano ročište te se očekuje nastavak prvostupanjskog postupka.</w:t>
      </w:r>
      <w:r w:rsidRPr="008728FB">
        <w:rPr>
          <w:rFonts w:cstheme="minorHAnsi"/>
        </w:rPr>
        <w:t xml:space="preserve"> </w:t>
      </w:r>
    </w:p>
    <w:p w14:paraId="79A0AFEC" w14:textId="7BBC9AEE" w:rsidR="005D6E33" w:rsidRPr="00341E81" w:rsidRDefault="005D6E33" w:rsidP="005D6E33">
      <w:pPr>
        <w:spacing w:line="360" w:lineRule="auto"/>
        <w:jc w:val="both"/>
        <w:rPr>
          <w:b/>
          <w:bCs/>
        </w:rPr>
      </w:pPr>
      <w:r w:rsidRPr="00341E81">
        <w:rPr>
          <w:b/>
          <w:bCs/>
        </w:rPr>
        <w:t>Protiv Društva se vodi 1 radni spor.</w:t>
      </w:r>
    </w:p>
    <w:p w14:paraId="2489DA29" w14:textId="77777777" w:rsidR="005D6E33" w:rsidRPr="00516435" w:rsidRDefault="005D6E33" w:rsidP="005D6E33">
      <w:pPr>
        <w:spacing w:line="360" w:lineRule="auto"/>
        <w:jc w:val="both"/>
      </w:pPr>
      <w:r w:rsidRPr="00516435">
        <w:t xml:space="preserve">Uprava Društva je u siječnju 2020. godine donijela odluku redovitom otkazu ugovora o radu (poslovno uvjetovan otkaz) s ponudom izmijenjenog ugovora, koju ponudu je radnik koji je obavljao poslove radnog mjesta Voditelj transporta odbio, te je istome otkazan ugovor o radu. Protiv navedene odluke radnik koji je obavljao poslove radnog mjesta Voditelj transporta je podnio tužbu. Općinski sud u Rijeci je dana 27. lipnja 2022. godine donio presudu kojom se utvrđuje nedopuštena i nezakonita Odluka o redovitom otkazu ugovora o radu. Protiv presude je uložena žalba te je navedena presuda ukinuta i postupak je vraćen na ponovno suđenje. </w:t>
      </w:r>
      <w:r>
        <w:t>Dana 06. rujna 2024. godine je donesena presuda kojom se odbija tužbeni zahtjev tužitelja, na koju presudu je tužitelj uložio žalbu. Očekuje se donošenje drugostupanjske presude.</w:t>
      </w:r>
    </w:p>
    <w:p w14:paraId="35282808" w14:textId="77777777" w:rsidR="005F052B" w:rsidRPr="00341E81" w:rsidRDefault="005F052B" w:rsidP="007065AA">
      <w:pPr>
        <w:spacing w:before="240" w:after="240" w:line="360" w:lineRule="auto"/>
        <w:jc w:val="both"/>
        <w:rPr>
          <w:rFonts w:cstheme="minorHAnsi"/>
          <w:b/>
          <w:bCs/>
        </w:rPr>
      </w:pPr>
      <w:r w:rsidRPr="00341E81">
        <w:rPr>
          <w:rFonts w:cstheme="minorHAnsi"/>
          <w:b/>
          <w:bCs/>
        </w:rPr>
        <w:t>Protiv Društva je Protiv Društva se vode 4 spora za naknadu štete.</w:t>
      </w:r>
    </w:p>
    <w:p w14:paraId="60949DCF" w14:textId="77777777" w:rsidR="005F052B" w:rsidRPr="002719EA" w:rsidRDefault="005F052B" w:rsidP="005F052B">
      <w:pPr>
        <w:spacing w:before="240" w:after="240" w:line="360" w:lineRule="auto"/>
        <w:jc w:val="both"/>
        <w:rPr>
          <w:rFonts w:cstheme="minorHAnsi"/>
        </w:rPr>
      </w:pPr>
      <w:r w:rsidRPr="002719EA">
        <w:rPr>
          <w:rFonts w:cstheme="minorHAnsi"/>
        </w:rPr>
        <w:t>Protiv Društva je pred Općinskim sudom u Rijeci</w:t>
      </w:r>
      <w:r>
        <w:rPr>
          <w:rFonts w:cstheme="minorHAnsi"/>
        </w:rPr>
        <w:t xml:space="preserve"> 2022. godine</w:t>
      </w:r>
      <w:r w:rsidRPr="002719EA">
        <w:rPr>
          <w:rFonts w:cstheme="minorHAnsi"/>
        </w:rPr>
        <w:t xml:space="preserve"> podnesena tužba za naknadu štete od bivšeg radnika koji je otišao u starosnu mirovinu i njegove supruge, a sve radi povrede prava osobnosti</w:t>
      </w:r>
      <w:r>
        <w:rPr>
          <w:rFonts w:cstheme="minorHAnsi"/>
        </w:rPr>
        <w:t xml:space="preserve"> iz 2019. godine</w:t>
      </w:r>
      <w:r w:rsidRPr="002719EA">
        <w:rPr>
          <w:rFonts w:cstheme="minorHAnsi"/>
        </w:rPr>
        <w:t>. Na predmetnu tužbu je dostavljen odgovor na tužbu te se provodi prvostupanjski postupak.</w:t>
      </w:r>
    </w:p>
    <w:p w14:paraId="40770569" w14:textId="77777777" w:rsidR="005F052B" w:rsidRPr="002719EA" w:rsidRDefault="005F052B" w:rsidP="005F052B">
      <w:pPr>
        <w:spacing w:before="240" w:after="240" w:line="360" w:lineRule="auto"/>
        <w:jc w:val="both"/>
        <w:rPr>
          <w:rFonts w:cstheme="minorHAnsi"/>
        </w:rPr>
      </w:pPr>
      <w:r w:rsidRPr="002719EA">
        <w:rPr>
          <w:rFonts w:cstheme="minorHAnsi"/>
        </w:rPr>
        <w:t>Protiv Društva je pred Općinskim sudom u Rijeci</w:t>
      </w:r>
      <w:r>
        <w:rPr>
          <w:rFonts w:cstheme="minorHAnsi"/>
        </w:rPr>
        <w:t xml:space="preserve"> 2023. i 2024. godine</w:t>
      </w:r>
      <w:r w:rsidRPr="002719EA">
        <w:rPr>
          <w:rFonts w:cstheme="minorHAnsi"/>
        </w:rPr>
        <w:t xml:space="preserve"> podnesene 2 tužbe za naknadu štete od bivših radnika</w:t>
      </w:r>
      <w:r>
        <w:rPr>
          <w:rFonts w:cstheme="minorHAnsi"/>
        </w:rPr>
        <w:t xml:space="preserve"> radi događaja iz 2017. i 2022. godine</w:t>
      </w:r>
      <w:r w:rsidRPr="002719EA">
        <w:rPr>
          <w:rFonts w:cstheme="minorHAnsi"/>
        </w:rPr>
        <w:t>. Na predmetne tužbe su dostavljeni odgovori na tužbu te se provode prvostupanjski postupci.</w:t>
      </w:r>
    </w:p>
    <w:p w14:paraId="3117669C" w14:textId="77777777" w:rsidR="005F052B" w:rsidRPr="002719EA" w:rsidRDefault="005F052B" w:rsidP="005F052B">
      <w:pPr>
        <w:spacing w:before="240" w:after="240" w:line="360" w:lineRule="auto"/>
        <w:jc w:val="both"/>
        <w:rPr>
          <w:rFonts w:cstheme="minorHAnsi"/>
        </w:rPr>
      </w:pPr>
      <w:r w:rsidRPr="002719EA">
        <w:rPr>
          <w:rFonts w:cstheme="minorHAnsi"/>
        </w:rPr>
        <w:t xml:space="preserve">Protiv Društva je pred Općinskim sudom u Rijeci </w:t>
      </w:r>
      <w:r>
        <w:rPr>
          <w:rFonts w:cstheme="minorHAnsi"/>
        </w:rPr>
        <w:t xml:space="preserve">2023. godine </w:t>
      </w:r>
      <w:r w:rsidRPr="002719EA">
        <w:rPr>
          <w:rFonts w:cstheme="minorHAnsi"/>
        </w:rPr>
        <w:t>podnesena tužba za naknadu štete od radnika koji je pretrpio ozljedu na radu 2020. godine. Na predmetnu tužbu je dostavljen odgovor na tužbu te se provodi prvostupanjski postupak.</w:t>
      </w:r>
    </w:p>
    <w:p w14:paraId="31EC4E25" w14:textId="3E51A701" w:rsidR="00E74DFE" w:rsidRDefault="005D6E33" w:rsidP="005D6E33">
      <w:pPr>
        <w:spacing w:line="360" w:lineRule="auto"/>
        <w:jc w:val="both"/>
      </w:pPr>
      <w:r w:rsidRPr="00516435">
        <w:lastRenderedPageBreak/>
        <w:t xml:space="preserve">Društvo je u siječnju 2022. godine zaprimilo Optužnicu povodom ozljeda na radu koje su se dogodile u travnju 2020. godine. Optužnica je podnesena protiv 4. osobe i protiv Društva. Temeljem Zakona o odgovornosti pravnih osoba za kaznena djela odgovornost pravne osobe se temelji na odgovornosti odgovorne osobe. U optužnici se navodi da je odgovorna osoba propustila osigurati da se radovi </w:t>
      </w:r>
      <w:r w:rsidR="00A576C9" w:rsidRPr="00516435">
        <w:t>obavljaju u skladu sa pravilima zaštite na radu pri čemu je došlo do teških tjelesnih ozljeda 2 radnika. Društvo je uložilo odgovor na optužnicu te će se postupak nastaviti pred Općinskim sudom u Rijeci.</w:t>
      </w:r>
    </w:p>
    <w:p w14:paraId="4B86D88F" w14:textId="77777777" w:rsidR="00773B83" w:rsidRDefault="00773B83" w:rsidP="00B6442E"/>
    <w:p w14:paraId="0E7805F5" w14:textId="77777777" w:rsidR="00773B83" w:rsidRDefault="00773B83" w:rsidP="00906F2D">
      <w:pPr>
        <w:jc w:val="right"/>
      </w:pPr>
    </w:p>
    <w:p w14:paraId="03FDF7E5" w14:textId="77777777" w:rsidR="00773B83" w:rsidRDefault="00773B83" w:rsidP="00906F2D">
      <w:pPr>
        <w:jc w:val="right"/>
      </w:pPr>
    </w:p>
    <w:p w14:paraId="6107CF9E" w14:textId="77777777" w:rsidR="00773B83" w:rsidRPr="00C72005" w:rsidRDefault="00773B83" w:rsidP="00906F2D">
      <w:pPr>
        <w:jc w:val="right"/>
      </w:pPr>
    </w:p>
    <w:p w14:paraId="315C0CB3" w14:textId="5D0F8853" w:rsidR="00C5602F" w:rsidRDefault="00C131E2" w:rsidP="00C131E2">
      <w:pPr>
        <w:jc w:val="center"/>
        <w:rPr>
          <w:b/>
          <w:bCs/>
        </w:rPr>
      </w:pPr>
      <w:r>
        <w:rPr>
          <w:b/>
          <w:bCs/>
        </w:rPr>
        <w:t xml:space="preserve">                                                                                                                                     </w:t>
      </w:r>
      <w:r w:rsidR="00906F2D" w:rsidRPr="00C72005">
        <w:rPr>
          <w:b/>
          <w:bCs/>
        </w:rPr>
        <w:t>Predsjednik uprave</w:t>
      </w:r>
    </w:p>
    <w:p w14:paraId="650A2878" w14:textId="1D7EA238" w:rsidR="00C72005" w:rsidRPr="00C72005" w:rsidRDefault="00C72005" w:rsidP="00906F2D">
      <w:pPr>
        <w:jc w:val="right"/>
        <w:rPr>
          <w:b/>
          <w:bCs/>
        </w:rPr>
      </w:pPr>
      <w:r>
        <w:rPr>
          <w:b/>
          <w:bCs/>
        </w:rPr>
        <w:t>_________________</w:t>
      </w:r>
      <w:r w:rsidR="00C131E2">
        <w:rPr>
          <w:b/>
          <w:bCs/>
        </w:rPr>
        <w:t>_______</w:t>
      </w:r>
      <w:r>
        <w:rPr>
          <w:b/>
          <w:bCs/>
        </w:rPr>
        <w:t>_</w:t>
      </w:r>
    </w:p>
    <w:p w14:paraId="0618C022" w14:textId="11271564" w:rsidR="00C5602F" w:rsidRPr="00C72005" w:rsidRDefault="00FD5921" w:rsidP="00906F2D">
      <w:pPr>
        <w:jc w:val="right"/>
        <w:rPr>
          <w:b/>
          <w:bCs/>
        </w:rPr>
      </w:pPr>
      <w:r w:rsidRPr="00C72005">
        <w:rPr>
          <w:b/>
          <w:bCs/>
        </w:rPr>
        <w:t>Kristian Gašparini</w:t>
      </w:r>
      <w:r w:rsidR="00C131E2">
        <w:rPr>
          <w:b/>
          <w:bCs/>
        </w:rPr>
        <w:t>, dipl. oec.</w:t>
      </w:r>
    </w:p>
    <w:p w14:paraId="0C19B9C3" w14:textId="5A26857A" w:rsidR="00185057" w:rsidRPr="008E4612" w:rsidRDefault="00185057" w:rsidP="00906F2D">
      <w:pPr>
        <w:jc w:val="right"/>
        <w:rPr>
          <w:b/>
          <w:bCs/>
          <w:color w:val="FF0000"/>
        </w:rPr>
      </w:pPr>
    </w:p>
    <w:p w14:paraId="12DB6CCB" w14:textId="620B3FD2" w:rsidR="00185057" w:rsidRDefault="00185057" w:rsidP="00906F2D">
      <w:pPr>
        <w:jc w:val="right"/>
        <w:rPr>
          <w:b/>
          <w:bCs/>
        </w:rPr>
      </w:pPr>
    </w:p>
    <w:p w14:paraId="649C3A12" w14:textId="7B68D5B2" w:rsidR="00185057" w:rsidRDefault="00185057" w:rsidP="00906F2D">
      <w:pPr>
        <w:jc w:val="right"/>
        <w:rPr>
          <w:b/>
          <w:bCs/>
        </w:rPr>
      </w:pPr>
    </w:p>
    <w:p w14:paraId="79CBAF71" w14:textId="3B08542A" w:rsidR="00185057" w:rsidRDefault="00185057" w:rsidP="0096355D">
      <w:pPr>
        <w:rPr>
          <w:b/>
          <w:bCs/>
        </w:rPr>
      </w:pPr>
    </w:p>
    <w:p w14:paraId="5C6DD831" w14:textId="6AFCBD4F" w:rsidR="007D7CC6" w:rsidRDefault="0083369C" w:rsidP="0096355D">
      <w:pPr>
        <w:rPr>
          <w:b/>
          <w:bCs/>
        </w:rPr>
      </w:pPr>
      <w:r>
        <w:rPr>
          <w:b/>
          <w:bCs/>
        </w:rPr>
        <w:br w:type="page"/>
      </w:r>
    </w:p>
    <w:p w14:paraId="184C5429" w14:textId="432F735D" w:rsidR="00185057" w:rsidRPr="00840E6B" w:rsidRDefault="00185057" w:rsidP="00BE2656">
      <w:pPr>
        <w:pStyle w:val="Heading1"/>
        <w:rPr>
          <w:rFonts w:cstheme="minorHAnsi"/>
          <w:b w:val="0"/>
          <w:color w:val="00B050"/>
          <w:sz w:val="24"/>
          <w:szCs w:val="24"/>
        </w:rPr>
      </w:pPr>
      <w:bookmarkStart w:id="95" w:name="_Toc200094299"/>
      <w:r w:rsidRPr="00840E6B">
        <w:rPr>
          <w:rFonts w:cstheme="minorHAnsi"/>
          <w:sz w:val="24"/>
          <w:szCs w:val="24"/>
        </w:rPr>
        <w:lastRenderedPageBreak/>
        <w:t>Popis tablica</w:t>
      </w:r>
      <w:r w:rsidR="009053DD">
        <w:rPr>
          <w:rFonts w:cstheme="minorHAnsi"/>
          <w:sz w:val="24"/>
          <w:szCs w:val="24"/>
        </w:rPr>
        <w:t>:</w:t>
      </w:r>
      <w:bookmarkEnd w:id="95"/>
      <w:r w:rsidRPr="00840E6B">
        <w:rPr>
          <w:rFonts w:cstheme="minorHAnsi"/>
          <w:sz w:val="24"/>
          <w:szCs w:val="24"/>
        </w:rPr>
        <w:t xml:space="preserve"> </w:t>
      </w:r>
    </w:p>
    <w:p w14:paraId="54EDF522" w14:textId="77777777" w:rsidR="00185057" w:rsidRDefault="00185057">
      <w:pPr>
        <w:pStyle w:val="TableofFigures"/>
        <w:tabs>
          <w:tab w:val="right" w:leader="dot" w:pos="9062"/>
        </w:tabs>
        <w:rPr>
          <w:b/>
          <w:bCs/>
        </w:rPr>
      </w:pPr>
    </w:p>
    <w:p w14:paraId="69B33FEA" w14:textId="77777777" w:rsidR="00185057" w:rsidRDefault="00185057">
      <w:pPr>
        <w:pStyle w:val="TableofFigures"/>
        <w:tabs>
          <w:tab w:val="right" w:leader="dot" w:pos="9062"/>
        </w:tabs>
        <w:rPr>
          <w:b/>
          <w:bCs/>
        </w:rPr>
      </w:pPr>
    </w:p>
    <w:p w14:paraId="0ABC2DD6" w14:textId="3FD0A4F3" w:rsidR="00D45947" w:rsidRPr="00D45947" w:rsidRDefault="00185057">
      <w:pPr>
        <w:pStyle w:val="TableofFigures"/>
        <w:tabs>
          <w:tab w:val="right" w:leader="dot" w:pos="9060"/>
        </w:tabs>
        <w:rPr>
          <w:rFonts w:eastAsiaTheme="minorEastAsia"/>
          <w:noProof/>
          <w:kern w:val="2"/>
          <w:sz w:val="24"/>
          <w:szCs w:val="24"/>
          <w:lang w:eastAsia="hr-HR"/>
          <w14:ligatures w14:val="standardContextual"/>
        </w:rPr>
      </w:pPr>
      <w:r w:rsidRPr="00367E52">
        <w:rPr>
          <w:rFonts w:cstheme="minorHAnsi"/>
        </w:rPr>
        <w:fldChar w:fldCharType="begin"/>
      </w:r>
      <w:r w:rsidRPr="00367E52">
        <w:rPr>
          <w:rFonts w:cstheme="minorHAnsi"/>
        </w:rPr>
        <w:instrText xml:space="preserve"> TOC \h \z \c "Tablica" </w:instrText>
      </w:r>
      <w:r w:rsidRPr="00367E52">
        <w:rPr>
          <w:rFonts w:cstheme="minorHAnsi"/>
        </w:rPr>
        <w:fldChar w:fldCharType="separate"/>
      </w:r>
      <w:hyperlink w:anchor="_Toc200366439" w:history="1">
        <w:r w:rsidR="00D45947" w:rsidRPr="00D45947">
          <w:rPr>
            <w:rStyle w:val="Hyperlink"/>
            <w:rFonts w:eastAsia="Times New Roman" w:cstheme="minorHAnsi"/>
            <w:noProof/>
          </w:rPr>
          <w:t>Tablica 1.</w:t>
        </w:r>
        <w:r w:rsidR="00D45947" w:rsidRPr="00D45947">
          <w:rPr>
            <w:rStyle w:val="Hyperlink"/>
            <w:rFonts w:ascii="Times New Roman" w:eastAsia="Times New Roman" w:hAnsi="Times New Roman" w:cstheme="minorHAnsi"/>
            <w:noProof/>
          </w:rPr>
          <w:t xml:space="preserve"> </w:t>
        </w:r>
        <w:r w:rsidR="00D45947" w:rsidRPr="00D45947">
          <w:rPr>
            <w:rStyle w:val="Hyperlink"/>
            <w:rFonts w:eastAsia="Times New Roman" w:cstheme="minorHAnsi"/>
            <w:noProof/>
          </w:rPr>
          <w:t>Aktiva</w:t>
        </w:r>
        <w:r w:rsidR="00D45947" w:rsidRPr="00D45947">
          <w:rPr>
            <w:noProof/>
            <w:webHidden/>
          </w:rPr>
          <w:tab/>
        </w:r>
        <w:r w:rsidR="00D45947" w:rsidRPr="00D45947">
          <w:rPr>
            <w:noProof/>
            <w:webHidden/>
          </w:rPr>
          <w:fldChar w:fldCharType="begin"/>
        </w:r>
        <w:r w:rsidR="00D45947" w:rsidRPr="00D45947">
          <w:rPr>
            <w:noProof/>
            <w:webHidden/>
          </w:rPr>
          <w:instrText xml:space="preserve"> PAGEREF _Toc200366439 \h </w:instrText>
        </w:r>
        <w:r w:rsidR="00D45947" w:rsidRPr="00D45947">
          <w:rPr>
            <w:noProof/>
            <w:webHidden/>
          </w:rPr>
        </w:r>
        <w:r w:rsidR="00D45947" w:rsidRPr="00D45947">
          <w:rPr>
            <w:noProof/>
            <w:webHidden/>
          </w:rPr>
          <w:fldChar w:fldCharType="separate"/>
        </w:r>
        <w:r w:rsidR="00A1075A">
          <w:rPr>
            <w:noProof/>
            <w:webHidden/>
          </w:rPr>
          <w:t>6</w:t>
        </w:r>
        <w:r w:rsidR="00D45947" w:rsidRPr="00D45947">
          <w:rPr>
            <w:noProof/>
            <w:webHidden/>
          </w:rPr>
          <w:fldChar w:fldCharType="end"/>
        </w:r>
      </w:hyperlink>
    </w:p>
    <w:p w14:paraId="70371ED1" w14:textId="4DD3D2F9"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0" w:history="1">
        <w:r w:rsidRPr="00D45947">
          <w:rPr>
            <w:rStyle w:val="Hyperlink"/>
            <w:rFonts w:cstheme="minorHAnsi"/>
            <w:noProof/>
          </w:rPr>
          <w:t>Tablica 2. Popunjenost ploha na dan 31.12.2024. godine</w:t>
        </w:r>
        <w:r w:rsidRPr="00D45947">
          <w:rPr>
            <w:noProof/>
            <w:webHidden/>
          </w:rPr>
          <w:tab/>
        </w:r>
        <w:r w:rsidRPr="00D45947">
          <w:rPr>
            <w:noProof/>
            <w:webHidden/>
          </w:rPr>
          <w:fldChar w:fldCharType="begin"/>
        </w:r>
        <w:r w:rsidRPr="00D45947">
          <w:rPr>
            <w:noProof/>
            <w:webHidden/>
          </w:rPr>
          <w:instrText xml:space="preserve"> PAGEREF _Toc200366440 \h </w:instrText>
        </w:r>
        <w:r w:rsidRPr="00D45947">
          <w:rPr>
            <w:noProof/>
            <w:webHidden/>
          </w:rPr>
        </w:r>
        <w:r w:rsidRPr="00D45947">
          <w:rPr>
            <w:noProof/>
            <w:webHidden/>
          </w:rPr>
          <w:fldChar w:fldCharType="separate"/>
        </w:r>
        <w:r w:rsidR="00A1075A">
          <w:rPr>
            <w:noProof/>
            <w:webHidden/>
          </w:rPr>
          <w:t>7</w:t>
        </w:r>
        <w:r w:rsidRPr="00D45947">
          <w:rPr>
            <w:noProof/>
            <w:webHidden/>
          </w:rPr>
          <w:fldChar w:fldCharType="end"/>
        </w:r>
      </w:hyperlink>
    </w:p>
    <w:p w14:paraId="0DA61AFC" w14:textId="1A2F360D"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1" w:history="1">
        <w:r w:rsidRPr="00D45947">
          <w:rPr>
            <w:rStyle w:val="Hyperlink"/>
            <w:rFonts w:cstheme="minorHAnsi"/>
            <w:noProof/>
          </w:rPr>
          <w:t>Tablica 3. Pasiva</w:t>
        </w:r>
        <w:r w:rsidRPr="00D45947">
          <w:rPr>
            <w:noProof/>
            <w:webHidden/>
          </w:rPr>
          <w:tab/>
        </w:r>
        <w:r w:rsidRPr="00D45947">
          <w:rPr>
            <w:noProof/>
            <w:webHidden/>
          </w:rPr>
          <w:fldChar w:fldCharType="begin"/>
        </w:r>
        <w:r w:rsidRPr="00D45947">
          <w:rPr>
            <w:noProof/>
            <w:webHidden/>
          </w:rPr>
          <w:instrText xml:space="preserve"> PAGEREF _Toc200366441 \h </w:instrText>
        </w:r>
        <w:r w:rsidRPr="00D45947">
          <w:rPr>
            <w:noProof/>
            <w:webHidden/>
          </w:rPr>
        </w:r>
        <w:r w:rsidRPr="00D45947">
          <w:rPr>
            <w:noProof/>
            <w:webHidden/>
          </w:rPr>
          <w:fldChar w:fldCharType="separate"/>
        </w:r>
        <w:r w:rsidR="00A1075A">
          <w:rPr>
            <w:noProof/>
            <w:webHidden/>
          </w:rPr>
          <w:t>11</w:t>
        </w:r>
        <w:r w:rsidRPr="00D45947">
          <w:rPr>
            <w:noProof/>
            <w:webHidden/>
          </w:rPr>
          <w:fldChar w:fldCharType="end"/>
        </w:r>
      </w:hyperlink>
    </w:p>
    <w:p w14:paraId="3865EE1E" w14:textId="51B7B627"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2" w:history="1">
        <w:r w:rsidRPr="00D45947">
          <w:rPr>
            <w:rStyle w:val="Hyperlink"/>
            <w:rFonts w:cstheme="minorHAnsi"/>
            <w:noProof/>
          </w:rPr>
          <w:t>Tablica 4. Račun dobiti i gubitka za 2024. godinu</w:t>
        </w:r>
        <w:r w:rsidRPr="00D45947">
          <w:rPr>
            <w:noProof/>
            <w:webHidden/>
          </w:rPr>
          <w:tab/>
        </w:r>
        <w:r w:rsidRPr="00D45947">
          <w:rPr>
            <w:noProof/>
            <w:webHidden/>
          </w:rPr>
          <w:fldChar w:fldCharType="begin"/>
        </w:r>
        <w:r w:rsidRPr="00D45947">
          <w:rPr>
            <w:noProof/>
            <w:webHidden/>
          </w:rPr>
          <w:instrText xml:space="preserve"> PAGEREF _Toc200366442 \h </w:instrText>
        </w:r>
        <w:r w:rsidRPr="00D45947">
          <w:rPr>
            <w:noProof/>
            <w:webHidden/>
          </w:rPr>
        </w:r>
        <w:r w:rsidRPr="00D45947">
          <w:rPr>
            <w:noProof/>
            <w:webHidden/>
          </w:rPr>
          <w:fldChar w:fldCharType="separate"/>
        </w:r>
        <w:r w:rsidR="00A1075A">
          <w:rPr>
            <w:noProof/>
            <w:webHidden/>
          </w:rPr>
          <w:t>15</w:t>
        </w:r>
        <w:r w:rsidRPr="00D45947">
          <w:rPr>
            <w:noProof/>
            <w:webHidden/>
          </w:rPr>
          <w:fldChar w:fldCharType="end"/>
        </w:r>
      </w:hyperlink>
    </w:p>
    <w:p w14:paraId="396CD40F" w14:textId="4DD0F806"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3" w:history="1">
        <w:r w:rsidRPr="00D45947">
          <w:rPr>
            <w:rStyle w:val="Hyperlink"/>
            <w:rFonts w:cstheme="minorHAnsi"/>
            <w:noProof/>
          </w:rPr>
          <w:t>Tablica 5. Novčani tok</w:t>
        </w:r>
        <w:r w:rsidRPr="00D45947">
          <w:rPr>
            <w:noProof/>
            <w:webHidden/>
          </w:rPr>
          <w:tab/>
        </w:r>
        <w:r w:rsidRPr="00D45947">
          <w:rPr>
            <w:noProof/>
            <w:webHidden/>
          </w:rPr>
          <w:fldChar w:fldCharType="begin"/>
        </w:r>
        <w:r w:rsidRPr="00D45947">
          <w:rPr>
            <w:noProof/>
            <w:webHidden/>
          </w:rPr>
          <w:instrText xml:space="preserve"> PAGEREF _Toc200366443 \h </w:instrText>
        </w:r>
        <w:r w:rsidRPr="00D45947">
          <w:rPr>
            <w:noProof/>
            <w:webHidden/>
          </w:rPr>
        </w:r>
        <w:r w:rsidRPr="00D45947">
          <w:rPr>
            <w:noProof/>
            <w:webHidden/>
          </w:rPr>
          <w:fldChar w:fldCharType="separate"/>
        </w:r>
        <w:r w:rsidR="00A1075A">
          <w:rPr>
            <w:noProof/>
            <w:webHidden/>
          </w:rPr>
          <w:t>20</w:t>
        </w:r>
        <w:r w:rsidRPr="00D45947">
          <w:rPr>
            <w:noProof/>
            <w:webHidden/>
          </w:rPr>
          <w:fldChar w:fldCharType="end"/>
        </w:r>
      </w:hyperlink>
    </w:p>
    <w:p w14:paraId="1F101127" w14:textId="640A0EB7"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4" w:history="1">
        <w:r w:rsidRPr="00D45947">
          <w:rPr>
            <w:rStyle w:val="Hyperlink"/>
            <w:rFonts w:cstheme="minorHAnsi"/>
            <w:noProof/>
          </w:rPr>
          <w:t>Tablica 6. Promjena kapitala</w:t>
        </w:r>
        <w:r w:rsidRPr="00D45947">
          <w:rPr>
            <w:noProof/>
            <w:webHidden/>
          </w:rPr>
          <w:tab/>
        </w:r>
        <w:r w:rsidRPr="00D45947">
          <w:rPr>
            <w:noProof/>
            <w:webHidden/>
          </w:rPr>
          <w:fldChar w:fldCharType="begin"/>
        </w:r>
        <w:r w:rsidRPr="00D45947">
          <w:rPr>
            <w:noProof/>
            <w:webHidden/>
          </w:rPr>
          <w:instrText xml:space="preserve"> PAGEREF _Toc200366444 \h </w:instrText>
        </w:r>
        <w:r w:rsidRPr="00D45947">
          <w:rPr>
            <w:noProof/>
            <w:webHidden/>
          </w:rPr>
        </w:r>
        <w:r w:rsidRPr="00D45947">
          <w:rPr>
            <w:noProof/>
            <w:webHidden/>
          </w:rPr>
          <w:fldChar w:fldCharType="separate"/>
        </w:r>
        <w:r w:rsidR="00A1075A">
          <w:rPr>
            <w:noProof/>
            <w:webHidden/>
          </w:rPr>
          <w:t>22</w:t>
        </w:r>
        <w:r w:rsidRPr="00D45947">
          <w:rPr>
            <w:noProof/>
            <w:webHidden/>
          </w:rPr>
          <w:fldChar w:fldCharType="end"/>
        </w:r>
      </w:hyperlink>
    </w:p>
    <w:p w14:paraId="466EC681" w14:textId="61AC35AB"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5" w:history="1">
        <w:r w:rsidRPr="00D45947">
          <w:rPr>
            <w:rStyle w:val="Hyperlink"/>
            <w:rFonts w:cstheme="minorHAnsi"/>
            <w:noProof/>
          </w:rPr>
          <w:t>Tablica 7. Pokazatelji likvidnosti</w:t>
        </w:r>
        <w:r w:rsidRPr="00D45947">
          <w:rPr>
            <w:noProof/>
            <w:webHidden/>
          </w:rPr>
          <w:tab/>
        </w:r>
        <w:r w:rsidRPr="00D45947">
          <w:rPr>
            <w:noProof/>
            <w:webHidden/>
          </w:rPr>
          <w:fldChar w:fldCharType="begin"/>
        </w:r>
        <w:r w:rsidRPr="00D45947">
          <w:rPr>
            <w:noProof/>
            <w:webHidden/>
          </w:rPr>
          <w:instrText xml:space="preserve"> PAGEREF _Toc200366445 \h </w:instrText>
        </w:r>
        <w:r w:rsidRPr="00D45947">
          <w:rPr>
            <w:noProof/>
            <w:webHidden/>
          </w:rPr>
        </w:r>
        <w:r w:rsidRPr="00D45947">
          <w:rPr>
            <w:noProof/>
            <w:webHidden/>
          </w:rPr>
          <w:fldChar w:fldCharType="separate"/>
        </w:r>
        <w:r w:rsidR="00A1075A">
          <w:rPr>
            <w:noProof/>
            <w:webHidden/>
          </w:rPr>
          <w:t>23</w:t>
        </w:r>
        <w:r w:rsidRPr="00D45947">
          <w:rPr>
            <w:noProof/>
            <w:webHidden/>
          </w:rPr>
          <w:fldChar w:fldCharType="end"/>
        </w:r>
      </w:hyperlink>
    </w:p>
    <w:p w14:paraId="22C22BB1" w14:textId="101B9724"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6" w:history="1">
        <w:r w:rsidRPr="00D45947">
          <w:rPr>
            <w:rStyle w:val="Hyperlink"/>
            <w:rFonts w:cstheme="minorHAnsi"/>
            <w:noProof/>
          </w:rPr>
          <w:t>Tablica 8. Pokazatelji zaduženosti</w:t>
        </w:r>
        <w:r w:rsidRPr="00D45947">
          <w:rPr>
            <w:noProof/>
            <w:webHidden/>
          </w:rPr>
          <w:tab/>
        </w:r>
        <w:r w:rsidRPr="00D45947">
          <w:rPr>
            <w:noProof/>
            <w:webHidden/>
          </w:rPr>
          <w:fldChar w:fldCharType="begin"/>
        </w:r>
        <w:r w:rsidRPr="00D45947">
          <w:rPr>
            <w:noProof/>
            <w:webHidden/>
          </w:rPr>
          <w:instrText xml:space="preserve"> PAGEREF _Toc200366446 \h </w:instrText>
        </w:r>
        <w:r w:rsidRPr="00D45947">
          <w:rPr>
            <w:noProof/>
            <w:webHidden/>
          </w:rPr>
        </w:r>
        <w:r w:rsidRPr="00D45947">
          <w:rPr>
            <w:noProof/>
            <w:webHidden/>
          </w:rPr>
          <w:fldChar w:fldCharType="separate"/>
        </w:r>
        <w:r w:rsidR="00A1075A">
          <w:rPr>
            <w:noProof/>
            <w:webHidden/>
          </w:rPr>
          <w:t>24</w:t>
        </w:r>
        <w:r w:rsidRPr="00D45947">
          <w:rPr>
            <w:noProof/>
            <w:webHidden/>
          </w:rPr>
          <w:fldChar w:fldCharType="end"/>
        </w:r>
      </w:hyperlink>
    </w:p>
    <w:p w14:paraId="0E12DD33" w14:textId="4E77941A"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7" w:history="1">
        <w:r w:rsidRPr="00D45947">
          <w:rPr>
            <w:rStyle w:val="Hyperlink"/>
            <w:rFonts w:cstheme="minorHAnsi"/>
            <w:noProof/>
          </w:rPr>
          <w:t>Tablica 9. Pokazatelji aktivnosti</w:t>
        </w:r>
        <w:r w:rsidRPr="00D45947">
          <w:rPr>
            <w:noProof/>
            <w:webHidden/>
          </w:rPr>
          <w:tab/>
        </w:r>
        <w:r w:rsidRPr="00D45947">
          <w:rPr>
            <w:noProof/>
            <w:webHidden/>
          </w:rPr>
          <w:fldChar w:fldCharType="begin"/>
        </w:r>
        <w:r w:rsidRPr="00D45947">
          <w:rPr>
            <w:noProof/>
            <w:webHidden/>
          </w:rPr>
          <w:instrText xml:space="preserve"> PAGEREF _Toc200366447 \h </w:instrText>
        </w:r>
        <w:r w:rsidRPr="00D45947">
          <w:rPr>
            <w:noProof/>
            <w:webHidden/>
          </w:rPr>
        </w:r>
        <w:r w:rsidRPr="00D45947">
          <w:rPr>
            <w:noProof/>
            <w:webHidden/>
          </w:rPr>
          <w:fldChar w:fldCharType="separate"/>
        </w:r>
        <w:r w:rsidR="00A1075A">
          <w:rPr>
            <w:noProof/>
            <w:webHidden/>
          </w:rPr>
          <w:t>25</w:t>
        </w:r>
        <w:r w:rsidRPr="00D45947">
          <w:rPr>
            <w:noProof/>
            <w:webHidden/>
          </w:rPr>
          <w:fldChar w:fldCharType="end"/>
        </w:r>
      </w:hyperlink>
    </w:p>
    <w:p w14:paraId="04BCB457" w14:textId="3C0D606F"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8" w:history="1">
        <w:r w:rsidRPr="00D45947">
          <w:rPr>
            <w:rStyle w:val="Hyperlink"/>
            <w:rFonts w:cstheme="minorHAnsi"/>
            <w:noProof/>
          </w:rPr>
          <w:t>Tablica 10. Pokazatelj uspješnosti</w:t>
        </w:r>
        <w:r w:rsidRPr="00D45947">
          <w:rPr>
            <w:noProof/>
            <w:webHidden/>
          </w:rPr>
          <w:tab/>
        </w:r>
        <w:r w:rsidRPr="00D45947">
          <w:rPr>
            <w:noProof/>
            <w:webHidden/>
          </w:rPr>
          <w:fldChar w:fldCharType="begin"/>
        </w:r>
        <w:r w:rsidRPr="00D45947">
          <w:rPr>
            <w:noProof/>
            <w:webHidden/>
          </w:rPr>
          <w:instrText xml:space="preserve"> PAGEREF _Toc200366448 \h </w:instrText>
        </w:r>
        <w:r w:rsidRPr="00D45947">
          <w:rPr>
            <w:noProof/>
            <w:webHidden/>
          </w:rPr>
        </w:r>
        <w:r w:rsidRPr="00D45947">
          <w:rPr>
            <w:noProof/>
            <w:webHidden/>
          </w:rPr>
          <w:fldChar w:fldCharType="separate"/>
        </w:r>
        <w:r w:rsidR="00A1075A">
          <w:rPr>
            <w:noProof/>
            <w:webHidden/>
          </w:rPr>
          <w:t>26</w:t>
        </w:r>
        <w:r w:rsidRPr="00D45947">
          <w:rPr>
            <w:noProof/>
            <w:webHidden/>
          </w:rPr>
          <w:fldChar w:fldCharType="end"/>
        </w:r>
      </w:hyperlink>
    </w:p>
    <w:p w14:paraId="565F13AB" w14:textId="7B9748AB"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49" w:history="1">
        <w:r w:rsidRPr="00D45947">
          <w:rPr>
            <w:rStyle w:val="Hyperlink"/>
            <w:rFonts w:cstheme="minorHAnsi"/>
            <w:noProof/>
          </w:rPr>
          <w:t>Tablica 11. Ukupan broj osoba zaposlenih po mjesecima i spolu</w:t>
        </w:r>
        <w:r w:rsidRPr="00D45947">
          <w:rPr>
            <w:noProof/>
            <w:webHidden/>
          </w:rPr>
          <w:tab/>
        </w:r>
        <w:r w:rsidRPr="00D45947">
          <w:rPr>
            <w:noProof/>
            <w:webHidden/>
          </w:rPr>
          <w:fldChar w:fldCharType="begin"/>
        </w:r>
        <w:r w:rsidRPr="00D45947">
          <w:rPr>
            <w:noProof/>
            <w:webHidden/>
          </w:rPr>
          <w:instrText xml:space="preserve"> PAGEREF _Toc200366449 \h </w:instrText>
        </w:r>
        <w:r w:rsidRPr="00D45947">
          <w:rPr>
            <w:noProof/>
            <w:webHidden/>
          </w:rPr>
        </w:r>
        <w:r w:rsidRPr="00D45947">
          <w:rPr>
            <w:noProof/>
            <w:webHidden/>
          </w:rPr>
          <w:fldChar w:fldCharType="separate"/>
        </w:r>
        <w:r w:rsidR="00A1075A">
          <w:rPr>
            <w:noProof/>
            <w:webHidden/>
          </w:rPr>
          <w:t>33</w:t>
        </w:r>
        <w:r w:rsidRPr="00D45947">
          <w:rPr>
            <w:noProof/>
            <w:webHidden/>
          </w:rPr>
          <w:fldChar w:fldCharType="end"/>
        </w:r>
      </w:hyperlink>
    </w:p>
    <w:p w14:paraId="18826B74" w14:textId="248378E7"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0" w:history="1">
        <w:r w:rsidRPr="00D45947">
          <w:rPr>
            <w:rStyle w:val="Hyperlink"/>
            <w:rFonts w:cstheme="minorHAnsi"/>
            <w:noProof/>
          </w:rPr>
          <w:t>Tablica 12. Ukupan broj zaposlenih prema stručnoj spremi</w:t>
        </w:r>
        <w:r w:rsidRPr="00D45947">
          <w:rPr>
            <w:noProof/>
            <w:webHidden/>
          </w:rPr>
          <w:tab/>
        </w:r>
        <w:r w:rsidRPr="00D45947">
          <w:rPr>
            <w:noProof/>
            <w:webHidden/>
          </w:rPr>
          <w:fldChar w:fldCharType="begin"/>
        </w:r>
        <w:r w:rsidRPr="00D45947">
          <w:rPr>
            <w:noProof/>
            <w:webHidden/>
          </w:rPr>
          <w:instrText xml:space="preserve"> PAGEREF _Toc200366450 \h </w:instrText>
        </w:r>
        <w:r w:rsidRPr="00D45947">
          <w:rPr>
            <w:noProof/>
            <w:webHidden/>
          </w:rPr>
        </w:r>
        <w:r w:rsidRPr="00D45947">
          <w:rPr>
            <w:noProof/>
            <w:webHidden/>
          </w:rPr>
          <w:fldChar w:fldCharType="separate"/>
        </w:r>
        <w:r w:rsidR="00A1075A">
          <w:rPr>
            <w:noProof/>
            <w:webHidden/>
          </w:rPr>
          <w:t>33</w:t>
        </w:r>
        <w:r w:rsidRPr="00D45947">
          <w:rPr>
            <w:noProof/>
            <w:webHidden/>
          </w:rPr>
          <w:fldChar w:fldCharType="end"/>
        </w:r>
      </w:hyperlink>
    </w:p>
    <w:p w14:paraId="5E60FCEF" w14:textId="47C6EF76"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1" w:history="1">
        <w:r w:rsidRPr="00D45947">
          <w:rPr>
            <w:rStyle w:val="Hyperlink"/>
            <w:rFonts w:cstheme="minorHAnsi"/>
            <w:noProof/>
          </w:rPr>
          <w:t>Tablica 13. Plan kadrova za 2024. godinu i realizacija do 31.12.2024. godine</w:t>
        </w:r>
        <w:r w:rsidRPr="00D45947">
          <w:rPr>
            <w:noProof/>
            <w:webHidden/>
          </w:rPr>
          <w:tab/>
        </w:r>
        <w:r w:rsidRPr="00D45947">
          <w:rPr>
            <w:noProof/>
            <w:webHidden/>
          </w:rPr>
          <w:fldChar w:fldCharType="begin"/>
        </w:r>
        <w:r w:rsidRPr="00D45947">
          <w:rPr>
            <w:noProof/>
            <w:webHidden/>
          </w:rPr>
          <w:instrText xml:space="preserve"> PAGEREF _Toc200366451 \h </w:instrText>
        </w:r>
        <w:r w:rsidRPr="00D45947">
          <w:rPr>
            <w:noProof/>
            <w:webHidden/>
          </w:rPr>
        </w:r>
        <w:r w:rsidRPr="00D45947">
          <w:rPr>
            <w:noProof/>
            <w:webHidden/>
          </w:rPr>
          <w:fldChar w:fldCharType="separate"/>
        </w:r>
        <w:r w:rsidR="00A1075A">
          <w:rPr>
            <w:noProof/>
            <w:webHidden/>
          </w:rPr>
          <w:t>34</w:t>
        </w:r>
        <w:r w:rsidRPr="00D45947">
          <w:rPr>
            <w:noProof/>
            <w:webHidden/>
          </w:rPr>
          <w:fldChar w:fldCharType="end"/>
        </w:r>
      </w:hyperlink>
    </w:p>
    <w:p w14:paraId="49D434B7" w14:textId="09223446"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2" w:history="1">
        <w:r w:rsidRPr="00D45947">
          <w:rPr>
            <w:rStyle w:val="Hyperlink"/>
            <w:rFonts w:cstheme="minorHAnsi"/>
            <w:noProof/>
          </w:rPr>
          <w:t>Tablica 14. Iskorištenost radnog vremena u satima</w:t>
        </w:r>
        <w:r w:rsidRPr="00D45947">
          <w:rPr>
            <w:noProof/>
            <w:webHidden/>
          </w:rPr>
          <w:tab/>
        </w:r>
        <w:r w:rsidRPr="00D45947">
          <w:rPr>
            <w:noProof/>
            <w:webHidden/>
          </w:rPr>
          <w:fldChar w:fldCharType="begin"/>
        </w:r>
        <w:r w:rsidRPr="00D45947">
          <w:rPr>
            <w:noProof/>
            <w:webHidden/>
          </w:rPr>
          <w:instrText xml:space="preserve"> PAGEREF _Toc200366452 \h </w:instrText>
        </w:r>
        <w:r w:rsidRPr="00D45947">
          <w:rPr>
            <w:noProof/>
            <w:webHidden/>
          </w:rPr>
        </w:r>
        <w:r w:rsidRPr="00D45947">
          <w:rPr>
            <w:noProof/>
            <w:webHidden/>
          </w:rPr>
          <w:fldChar w:fldCharType="separate"/>
        </w:r>
        <w:r w:rsidR="00A1075A">
          <w:rPr>
            <w:noProof/>
            <w:webHidden/>
          </w:rPr>
          <w:t>35</w:t>
        </w:r>
        <w:r w:rsidRPr="00D45947">
          <w:rPr>
            <w:noProof/>
            <w:webHidden/>
          </w:rPr>
          <w:fldChar w:fldCharType="end"/>
        </w:r>
      </w:hyperlink>
    </w:p>
    <w:p w14:paraId="6CF72CCA" w14:textId="1B59E133"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3" w:history="1">
        <w:r w:rsidRPr="00D45947">
          <w:rPr>
            <w:rStyle w:val="Hyperlink"/>
            <w:rFonts w:cstheme="minorHAnsi"/>
            <w:noProof/>
          </w:rPr>
          <w:t>Tablica 15. Realizacija plana prihoda i rashoda u 2024. godini</w:t>
        </w:r>
        <w:r w:rsidRPr="00D45947">
          <w:rPr>
            <w:noProof/>
            <w:webHidden/>
          </w:rPr>
          <w:tab/>
        </w:r>
        <w:r w:rsidRPr="00D45947">
          <w:rPr>
            <w:noProof/>
            <w:webHidden/>
          </w:rPr>
          <w:fldChar w:fldCharType="begin"/>
        </w:r>
        <w:r w:rsidRPr="00D45947">
          <w:rPr>
            <w:noProof/>
            <w:webHidden/>
          </w:rPr>
          <w:instrText xml:space="preserve"> PAGEREF _Toc200366453 \h </w:instrText>
        </w:r>
        <w:r w:rsidRPr="00D45947">
          <w:rPr>
            <w:noProof/>
            <w:webHidden/>
          </w:rPr>
        </w:r>
        <w:r w:rsidRPr="00D45947">
          <w:rPr>
            <w:noProof/>
            <w:webHidden/>
          </w:rPr>
          <w:fldChar w:fldCharType="separate"/>
        </w:r>
        <w:r w:rsidR="00A1075A">
          <w:rPr>
            <w:noProof/>
            <w:webHidden/>
          </w:rPr>
          <w:t>37</w:t>
        </w:r>
        <w:r w:rsidRPr="00D45947">
          <w:rPr>
            <w:noProof/>
            <w:webHidden/>
          </w:rPr>
          <w:fldChar w:fldCharType="end"/>
        </w:r>
      </w:hyperlink>
    </w:p>
    <w:p w14:paraId="617E3931" w14:textId="2A35672A"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4" w:history="1">
        <w:r w:rsidRPr="00D45947">
          <w:rPr>
            <w:rStyle w:val="Hyperlink"/>
            <w:rFonts w:cstheme="minorHAnsi"/>
            <w:noProof/>
          </w:rPr>
          <w:t>Tablica 16. Struktura prihoda ostvarenih u 2024. godini</w:t>
        </w:r>
        <w:r w:rsidRPr="00D45947">
          <w:rPr>
            <w:noProof/>
            <w:webHidden/>
          </w:rPr>
          <w:tab/>
        </w:r>
        <w:r w:rsidRPr="00D45947">
          <w:rPr>
            <w:noProof/>
            <w:webHidden/>
          </w:rPr>
          <w:fldChar w:fldCharType="begin"/>
        </w:r>
        <w:r w:rsidRPr="00D45947">
          <w:rPr>
            <w:noProof/>
            <w:webHidden/>
          </w:rPr>
          <w:instrText xml:space="preserve"> PAGEREF _Toc200366454 \h </w:instrText>
        </w:r>
        <w:r w:rsidRPr="00D45947">
          <w:rPr>
            <w:noProof/>
            <w:webHidden/>
          </w:rPr>
        </w:r>
        <w:r w:rsidRPr="00D45947">
          <w:rPr>
            <w:noProof/>
            <w:webHidden/>
          </w:rPr>
          <w:fldChar w:fldCharType="separate"/>
        </w:r>
        <w:r w:rsidR="00A1075A">
          <w:rPr>
            <w:noProof/>
            <w:webHidden/>
          </w:rPr>
          <w:t>38</w:t>
        </w:r>
        <w:r w:rsidRPr="00D45947">
          <w:rPr>
            <w:noProof/>
            <w:webHidden/>
          </w:rPr>
          <w:fldChar w:fldCharType="end"/>
        </w:r>
      </w:hyperlink>
    </w:p>
    <w:p w14:paraId="4264F7B9" w14:textId="30767809"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5" w:history="1">
        <w:r w:rsidRPr="00D45947">
          <w:rPr>
            <w:rStyle w:val="Hyperlink"/>
            <w:rFonts w:cstheme="minorHAnsi"/>
            <w:noProof/>
          </w:rPr>
          <w:t>Tablica 17. Količine otpada specificirane prema ključnim brojevima</w:t>
        </w:r>
        <w:r w:rsidRPr="00D45947">
          <w:rPr>
            <w:noProof/>
            <w:webHidden/>
          </w:rPr>
          <w:tab/>
        </w:r>
        <w:r w:rsidRPr="00D45947">
          <w:rPr>
            <w:noProof/>
            <w:webHidden/>
          </w:rPr>
          <w:fldChar w:fldCharType="begin"/>
        </w:r>
        <w:r w:rsidRPr="00D45947">
          <w:rPr>
            <w:noProof/>
            <w:webHidden/>
          </w:rPr>
          <w:instrText xml:space="preserve"> PAGEREF _Toc200366455 \h </w:instrText>
        </w:r>
        <w:r w:rsidRPr="00D45947">
          <w:rPr>
            <w:noProof/>
            <w:webHidden/>
          </w:rPr>
        </w:r>
        <w:r w:rsidRPr="00D45947">
          <w:rPr>
            <w:noProof/>
            <w:webHidden/>
          </w:rPr>
          <w:fldChar w:fldCharType="separate"/>
        </w:r>
        <w:r w:rsidR="00A1075A">
          <w:rPr>
            <w:noProof/>
            <w:webHidden/>
          </w:rPr>
          <w:t>40</w:t>
        </w:r>
        <w:r w:rsidRPr="00D45947">
          <w:rPr>
            <w:noProof/>
            <w:webHidden/>
          </w:rPr>
          <w:fldChar w:fldCharType="end"/>
        </w:r>
      </w:hyperlink>
    </w:p>
    <w:p w14:paraId="368055C4" w14:textId="12852F98"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6" w:history="1">
        <w:r w:rsidRPr="00D45947">
          <w:rPr>
            <w:rStyle w:val="Hyperlink"/>
            <w:rFonts w:cstheme="minorHAnsi"/>
            <w:noProof/>
          </w:rPr>
          <w:t>Tablica 18. Struktura ostvarenih rashoda u 2024. godini</w:t>
        </w:r>
        <w:r w:rsidRPr="00D45947">
          <w:rPr>
            <w:noProof/>
            <w:webHidden/>
          </w:rPr>
          <w:tab/>
        </w:r>
        <w:r w:rsidRPr="00D45947">
          <w:rPr>
            <w:noProof/>
            <w:webHidden/>
          </w:rPr>
          <w:fldChar w:fldCharType="begin"/>
        </w:r>
        <w:r w:rsidRPr="00D45947">
          <w:rPr>
            <w:noProof/>
            <w:webHidden/>
          </w:rPr>
          <w:instrText xml:space="preserve"> PAGEREF _Toc200366456 \h </w:instrText>
        </w:r>
        <w:r w:rsidRPr="00D45947">
          <w:rPr>
            <w:noProof/>
            <w:webHidden/>
          </w:rPr>
        </w:r>
        <w:r w:rsidRPr="00D45947">
          <w:rPr>
            <w:noProof/>
            <w:webHidden/>
          </w:rPr>
          <w:fldChar w:fldCharType="separate"/>
        </w:r>
        <w:r w:rsidR="00A1075A">
          <w:rPr>
            <w:noProof/>
            <w:webHidden/>
          </w:rPr>
          <w:t>42</w:t>
        </w:r>
        <w:r w:rsidRPr="00D45947">
          <w:rPr>
            <w:noProof/>
            <w:webHidden/>
          </w:rPr>
          <w:fldChar w:fldCharType="end"/>
        </w:r>
      </w:hyperlink>
    </w:p>
    <w:p w14:paraId="746706B5" w14:textId="2B51ACFE"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7" w:history="1">
        <w:r w:rsidRPr="00D45947">
          <w:rPr>
            <w:rStyle w:val="Hyperlink"/>
            <w:rFonts w:cstheme="minorHAnsi"/>
            <w:noProof/>
          </w:rPr>
          <w:t>Tablica 19. Troškovi sirovina i materijala</w:t>
        </w:r>
        <w:r w:rsidRPr="00D45947">
          <w:rPr>
            <w:noProof/>
            <w:webHidden/>
          </w:rPr>
          <w:tab/>
        </w:r>
        <w:r w:rsidRPr="00D45947">
          <w:rPr>
            <w:noProof/>
            <w:webHidden/>
          </w:rPr>
          <w:fldChar w:fldCharType="begin"/>
        </w:r>
        <w:r w:rsidRPr="00D45947">
          <w:rPr>
            <w:noProof/>
            <w:webHidden/>
          </w:rPr>
          <w:instrText xml:space="preserve"> PAGEREF _Toc200366457 \h </w:instrText>
        </w:r>
        <w:r w:rsidRPr="00D45947">
          <w:rPr>
            <w:noProof/>
            <w:webHidden/>
          </w:rPr>
        </w:r>
        <w:r w:rsidRPr="00D45947">
          <w:rPr>
            <w:noProof/>
            <w:webHidden/>
          </w:rPr>
          <w:fldChar w:fldCharType="separate"/>
        </w:r>
        <w:r w:rsidR="00A1075A">
          <w:rPr>
            <w:noProof/>
            <w:webHidden/>
          </w:rPr>
          <w:t>43</w:t>
        </w:r>
        <w:r w:rsidRPr="00D45947">
          <w:rPr>
            <w:noProof/>
            <w:webHidden/>
          </w:rPr>
          <w:fldChar w:fldCharType="end"/>
        </w:r>
      </w:hyperlink>
    </w:p>
    <w:p w14:paraId="2F794B09" w14:textId="2AED204D"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8" w:history="1">
        <w:r w:rsidRPr="00D45947">
          <w:rPr>
            <w:rStyle w:val="Hyperlink"/>
            <w:rFonts w:cstheme="minorHAnsi"/>
            <w:noProof/>
          </w:rPr>
          <w:t>Tablica 20. Ostali vanjski troškovi</w:t>
        </w:r>
        <w:r w:rsidRPr="00D45947">
          <w:rPr>
            <w:noProof/>
            <w:webHidden/>
          </w:rPr>
          <w:tab/>
        </w:r>
        <w:r w:rsidRPr="00D45947">
          <w:rPr>
            <w:noProof/>
            <w:webHidden/>
          </w:rPr>
          <w:fldChar w:fldCharType="begin"/>
        </w:r>
        <w:r w:rsidRPr="00D45947">
          <w:rPr>
            <w:noProof/>
            <w:webHidden/>
          </w:rPr>
          <w:instrText xml:space="preserve"> PAGEREF _Toc200366458 \h </w:instrText>
        </w:r>
        <w:r w:rsidRPr="00D45947">
          <w:rPr>
            <w:noProof/>
            <w:webHidden/>
          </w:rPr>
        </w:r>
        <w:r w:rsidRPr="00D45947">
          <w:rPr>
            <w:noProof/>
            <w:webHidden/>
          </w:rPr>
          <w:fldChar w:fldCharType="separate"/>
        </w:r>
        <w:r w:rsidR="00A1075A">
          <w:rPr>
            <w:noProof/>
            <w:webHidden/>
          </w:rPr>
          <w:t>44</w:t>
        </w:r>
        <w:r w:rsidRPr="00D45947">
          <w:rPr>
            <w:noProof/>
            <w:webHidden/>
          </w:rPr>
          <w:fldChar w:fldCharType="end"/>
        </w:r>
      </w:hyperlink>
    </w:p>
    <w:p w14:paraId="5B4066B8" w14:textId="3271C34F"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59" w:history="1">
        <w:r w:rsidRPr="00D45947">
          <w:rPr>
            <w:rStyle w:val="Hyperlink"/>
            <w:rFonts w:cstheme="minorHAnsi"/>
            <w:noProof/>
          </w:rPr>
          <w:t>Tablica 21. Troškovi telefona, prijevoza i sl.</w:t>
        </w:r>
        <w:r w:rsidRPr="00D45947">
          <w:rPr>
            <w:noProof/>
            <w:webHidden/>
          </w:rPr>
          <w:tab/>
        </w:r>
        <w:r w:rsidRPr="00D45947">
          <w:rPr>
            <w:noProof/>
            <w:webHidden/>
          </w:rPr>
          <w:fldChar w:fldCharType="begin"/>
        </w:r>
        <w:r w:rsidRPr="00D45947">
          <w:rPr>
            <w:noProof/>
            <w:webHidden/>
          </w:rPr>
          <w:instrText xml:space="preserve"> PAGEREF _Toc200366459 \h </w:instrText>
        </w:r>
        <w:r w:rsidRPr="00D45947">
          <w:rPr>
            <w:noProof/>
            <w:webHidden/>
          </w:rPr>
        </w:r>
        <w:r w:rsidRPr="00D45947">
          <w:rPr>
            <w:noProof/>
            <w:webHidden/>
          </w:rPr>
          <w:fldChar w:fldCharType="separate"/>
        </w:r>
        <w:r w:rsidR="00A1075A">
          <w:rPr>
            <w:noProof/>
            <w:webHidden/>
          </w:rPr>
          <w:t>45</w:t>
        </w:r>
        <w:r w:rsidRPr="00D45947">
          <w:rPr>
            <w:noProof/>
            <w:webHidden/>
          </w:rPr>
          <w:fldChar w:fldCharType="end"/>
        </w:r>
      </w:hyperlink>
    </w:p>
    <w:p w14:paraId="50B18180" w14:textId="3306C4DB"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0" w:history="1">
        <w:r w:rsidRPr="00D45947">
          <w:rPr>
            <w:rStyle w:val="Hyperlink"/>
            <w:rFonts w:cstheme="minorHAnsi"/>
            <w:noProof/>
          </w:rPr>
          <w:t>Tablica 22. Usluge rada vanjskog osoblja i geodetske usluge</w:t>
        </w:r>
        <w:r w:rsidRPr="00D45947">
          <w:rPr>
            <w:noProof/>
            <w:webHidden/>
          </w:rPr>
          <w:tab/>
        </w:r>
        <w:r w:rsidRPr="00D45947">
          <w:rPr>
            <w:noProof/>
            <w:webHidden/>
          </w:rPr>
          <w:fldChar w:fldCharType="begin"/>
        </w:r>
        <w:r w:rsidRPr="00D45947">
          <w:rPr>
            <w:noProof/>
            <w:webHidden/>
          </w:rPr>
          <w:instrText xml:space="preserve"> PAGEREF _Toc200366460 \h </w:instrText>
        </w:r>
        <w:r w:rsidRPr="00D45947">
          <w:rPr>
            <w:noProof/>
            <w:webHidden/>
          </w:rPr>
        </w:r>
        <w:r w:rsidRPr="00D45947">
          <w:rPr>
            <w:noProof/>
            <w:webHidden/>
          </w:rPr>
          <w:fldChar w:fldCharType="separate"/>
        </w:r>
        <w:r w:rsidR="00A1075A">
          <w:rPr>
            <w:noProof/>
            <w:webHidden/>
          </w:rPr>
          <w:t>46</w:t>
        </w:r>
        <w:r w:rsidRPr="00D45947">
          <w:rPr>
            <w:noProof/>
            <w:webHidden/>
          </w:rPr>
          <w:fldChar w:fldCharType="end"/>
        </w:r>
      </w:hyperlink>
    </w:p>
    <w:p w14:paraId="44C1F17A" w14:textId="0D5E1AA0"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1" w:history="1">
        <w:r w:rsidRPr="00D45947">
          <w:rPr>
            <w:rStyle w:val="Hyperlink"/>
            <w:rFonts w:cstheme="minorHAnsi"/>
            <w:noProof/>
          </w:rPr>
          <w:t>Tablica 23. Usluge tekućeg održavanja</w:t>
        </w:r>
        <w:r w:rsidRPr="00D45947">
          <w:rPr>
            <w:noProof/>
            <w:webHidden/>
          </w:rPr>
          <w:tab/>
        </w:r>
        <w:r w:rsidRPr="00D45947">
          <w:rPr>
            <w:noProof/>
            <w:webHidden/>
          </w:rPr>
          <w:fldChar w:fldCharType="begin"/>
        </w:r>
        <w:r w:rsidRPr="00D45947">
          <w:rPr>
            <w:noProof/>
            <w:webHidden/>
          </w:rPr>
          <w:instrText xml:space="preserve"> PAGEREF _Toc200366461 \h </w:instrText>
        </w:r>
        <w:r w:rsidRPr="00D45947">
          <w:rPr>
            <w:noProof/>
            <w:webHidden/>
          </w:rPr>
        </w:r>
        <w:r w:rsidRPr="00D45947">
          <w:rPr>
            <w:noProof/>
            <w:webHidden/>
          </w:rPr>
          <w:fldChar w:fldCharType="separate"/>
        </w:r>
        <w:r w:rsidR="00A1075A">
          <w:rPr>
            <w:noProof/>
            <w:webHidden/>
          </w:rPr>
          <w:t>46</w:t>
        </w:r>
        <w:r w:rsidRPr="00D45947">
          <w:rPr>
            <w:noProof/>
            <w:webHidden/>
          </w:rPr>
          <w:fldChar w:fldCharType="end"/>
        </w:r>
      </w:hyperlink>
    </w:p>
    <w:p w14:paraId="5F59B753" w14:textId="4994CD75"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2" w:history="1">
        <w:r w:rsidRPr="00D45947">
          <w:rPr>
            <w:rStyle w:val="Hyperlink"/>
            <w:rFonts w:cstheme="minorHAnsi"/>
            <w:noProof/>
          </w:rPr>
          <w:t>Tablica 24. Usluge održavanja i zaštite</w:t>
        </w:r>
        <w:r w:rsidRPr="00D45947">
          <w:rPr>
            <w:noProof/>
            <w:webHidden/>
          </w:rPr>
          <w:tab/>
        </w:r>
        <w:r w:rsidRPr="00D45947">
          <w:rPr>
            <w:noProof/>
            <w:webHidden/>
          </w:rPr>
          <w:fldChar w:fldCharType="begin"/>
        </w:r>
        <w:r w:rsidRPr="00D45947">
          <w:rPr>
            <w:noProof/>
            <w:webHidden/>
          </w:rPr>
          <w:instrText xml:space="preserve"> PAGEREF _Toc200366462 \h </w:instrText>
        </w:r>
        <w:r w:rsidRPr="00D45947">
          <w:rPr>
            <w:noProof/>
            <w:webHidden/>
          </w:rPr>
        </w:r>
        <w:r w:rsidRPr="00D45947">
          <w:rPr>
            <w:noProof/>
            <w:webHidden/>
          </w:rPr>
          <w:fldChar w:fldCharType="separate"/>
        </w:r>
        <w:r w:rsidR="00A1075A">
          <w:rPr>
            <w:noProof/>
            <w:webHidden/>
          </w:rPr>
          <w:t>47</w:t>
        </w:r>
        <w:r w:rsidRPr="00D45947">
          <w:rPr>
            <w:noProof/>
            <w:webHidden/>
          </w:rPr>
          <w:fldChar w:fldCharType="end"/>
        </w:r>
      </w:hyperlink>
    </w:p>
    <w:p w14:paraId="0FDADB79" w14:textId="0E55F431"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3" w:history="1">
        <w:r w:rsidRPr="00D45947">
          <w:rPr>
            <w:rStyle w:val="Hyperlink"/>
            <w:rFonts w:cstheme="minorHAnsi"/>
            <w:noProof/>
          </w:rPr>
          <w:t>Tablica 25. Troškovi registracije, licenci i pristojbi</w:t>
        </w:r>
        <w:r w:rsidRPr="00D45947">
          <w:rPr>
            <w:noProof/>
            <w:webHidden/>
          </w:rPr>
          <w:tab/>
        </w:r>
        <w:r w:rsidRPr="00D45947">
          <w:rPr>
            <w:noProof/>
            <w:webHidden/>
          </w:rPr>
          <w:fldChar w:fldCharType="begin"/>
        </w:r>
        <w:r w:rsidRPr="00D45947">
          <w:rPr>
            <w:noProof/>
            <w:webHidden/>
          </w:rPr>
          <w:instrText xml:space="preserve"> PAGEREF _Toc200366463 \h </w:instrText>
        </w:r>
        <w:r w:rsidRPr="00D45947">
          <w:rPr>
            <w:noProof/>
            <w:webHidden/>
          </w:rPr>
        </w:r>
        <w:r w:rsidRPr="00D45947">
          <w:rPr>
            <w:noProof/>
            <w:webHidden/>
          </w:rPr>
          <w:fldChar w:fldCharType="separate"/>
        </w:r>
        <w:r w:rsidR="00A1075A">
          <w:rPr>
            <w:noProof/>
            <w:webHidden/>
          </w:rPr>
          <w:t>48</w:t>
        </w:r>
        <w:r w:rsidRPr="00D45947">
          <w:rPr>
            <w:noProof/>
            <w:webHidden/>
          </w:rPr>
          <w:fldChar w:fldCharType="end"/>
        </w:r>
      </w:hyperlink>
    </w:p>
    <w:p w14:paraId="5A226F25" w14:textId="2FB2F0AC"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4" w:history="1">
        <w:r w:rsidRPr="00D45947">
          <w:rPr>
            <w:rStyle w:val="Hyperlink"/>
            <w:rFonts w:cstheme="minorHAnsi"/>
            <w:noProof/>
          </w:rPr>
          <w:t>Tablica 26. Troškovi zakupa/leasinga</w:t>
        </w:r>
        <w:r w:rsidRPr="00D45947">
          <w:rPr>
            <w:noProof/>
            <w:webHidden/>
          </w:rPr>
          <w:tab/>
        </w:r>
        <w:r w:rsidRPr="00D45947">
          <w:rPr>
            <w:noProof/>
            <w:webHidden/>
          </w:rPr>
          <w:fldChar w:fldCharType="begin"/>
        </w:r>
        <w:r w:rsidRPr="00D45947">
          <w:rPr>
            <w:noProof/>
            <w:webHidden/>
          </w:rPr>
          <w:instrText xml:space="preserve"> PAGEREF _Toc200366464 \h </w:instrText>
        </w:r>
        <w:r w:rsidRPr="00D45947">
          <w:rPr>
            <w:noProof/>
            <w:webHidden/>
          </w:rPr>
        </w:r>
        <w:r w:rsidRPr="00D45947">
          <w:rPr>
            <w:noProof/>
            <w:webHidden/>
          </w:rPr>
          <w:fldChar w:fldCharType="separate"/>
        </w:r>
        <w:r w:rsidR="00A1075A">
          <w:rPr>
            <w:noProof/>
            <w:webHidden/>
          </w:rPr>
          <w:t>48</w:t>
        </w:r>
        <w:r w:rsidRPr="00D45947">
          <w:rPr>
            <w:noProof/>
            <w:webHidden/>
          </w:rPr>
          <w:fldChar w:fldCharType="end"/>
        </w:r>
      </w:hyperlink>
    </w:p>
    <w:p w14:paraId="760ED580" w14:textId="4E17C54C"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5" w:history="1">
        <w:r w:rsidRPr="00D45947">
          <w:rPr>
            <w:rStyle w:val="Hyperlink"/>
            <w:rFonts w:cstheme="minorHAnsi"/>
            <w:noProof/>
          </w:rPr>
          <w:t>Tablica 27. Troškovi promidžbe</w:t>
        </w:r>
        <w:r w:rsidRPr="00D45947">
          <w:rPr>
            <w:noProof/>
            <w:webHidden/>
          </w:rPr>
          <w:tab/>
        </w:r>
        <w:r w:rsidRPr="00D45947">
          <w:rPr>
            <w:noProof/>
            <w:webHidden/>
          </w:rPr>
          <w:fldChar w:fldCharType="begin"/>
        </w:r>
        <w:r w:rsidRPr="00D45947">
          <w:rPr>
            <w:noProof/>
            <w:webHidden/>
          </w:rPr>
          <w:instrText xml:space="preserve"> PAGEREF _Toc200366465 \h </w:instrText>
        </w:r>
        <w:r w:rsidRPr="00D45947">
          <w:rPr>
            <w:noProof/>
            <w:webHidden/>
          </w:rPr>
        </w:r>
        <w:r w:rsidRPr="00D45947">
          <w:rPr>
            <w:noProof/>
            <w:webHidden/>
          </w:rPr>
          <w:fldChar w:fldCharType="separate"/>
        </w:r>
        <w:r w:rsidR="00A1075A">
          <w:rPr>
            <w:noProof/>
            <w:webHidden/>
          </w:rPr>
          <w:t>49</w:t>
        </w:r>
        <w:r w:rsidRPr="00D45947">
          <w:rPr>
            <w:noProof/>
            <w:webHidden/>
          </w:rPr>
          <w:fldChar w:fldCharType="end"/>
        </w:r>
      </w:hyperlink>
    </w:p>
    <w:p w14:paraId="32218164" w14:textId="62997485"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6" w:history="1">
        <w:r w:rsidRPr="00D45947">
          <w:rPr>
            <w:rStyle w:val="Hyperlink"/>
            <w:rFonts w:cstheme="minorHAnsi"/>
            <w:noProof/>
          </w:rPr>
          <w:t>Tablica 28. Troškovi intelektualnih usluga</w:t>
        </w:r>
        <w:r w:rsidRPr="00D45947">
          <w:rPr>
            <w:noProof/>
            <w:webHidden/>
          </w:rPr>
          <w:tab/>
        </w:r>
        <w:r w:rsidRPr="00D45947">
          <w:rPr>
            <w:noProof/>
            <w:webHidden/>
          </w:rPr>
          <w:fldChar w:fldCharType="begin"/>
        </w:r>
        <w:r w:rsidRPr="00D45947">
          <w:rPr>
            <w:noProof/>
            <w:webHidden/>
          </w:rPr>
          <w:instrText xml:space="preserve"> PAGEREF _Toc200366466 \h </w:instrText>
        </w:r>
        <w:r w:rsidRPr="00D45947">
          <w:rPr>
            <w:noProof/>
            <w:webHidden/>
          </w:rPr>
        </w:r>
        <w:r w:rsidRPr="00D45947">
          <w:rPr>
            <w:noProof/>
            <w:webHidden/>
          </w:rPr>
          <w:fldChar w:fldCharType="separate"/>
        </w:r>
        <w:r w:rsidR="00A1075A">
          <w:rPr>
            <w:noProof/>
            <w:webHidden/>
          </w:rPr>
          <w:t>49</w:t>
        </w:r>
        <w:r w:rsidRPr="00D45947">
          <w:rPr>
            <w:noProof/>
            <w:webHidden/>
          </w:rPr>
          <w:fldChar w:fldCharType="end"/>
        </w:r>
      </w:hyperlink>
    </w:p>
    <w:p w14:paraId="4A6DB6C3" w14:textId="15C2CC8C"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7" w:history="1">
        <w:r w:rsidRPr="00D45947">
          <w:rPr>
            <w:rStyle w:val="Hyperlink"/>
            <w:rFonts w:cstheme="minorHAnsi"/>
            <w:noProof/>
          </w:rPr>
          <w:t>Tablica 29. Troškovi komunalnih i sličnih usluga</w:t>
        </w:r>
        <w:r w:rsidRPr="00D45947">
          <w:rPr>
            <w:noProof/>
            <w:webHidden/>
          </w:rPr>
          <w:tab/>
        </w:r>
        <w:r w:rsidRPr="00D45947">
          <w:rPr>
            <w:noProof/>
            <w:webHidden/>
          </w:rPr>
          <w:fldChar w:fldCharType="begin"/>
        </w:r>
        <w:r w:rsidRPr="00D45947">
          <w:rPr>
            <w:noProof/>
            <w:webHidden/>
          </w:rPr>
          <w:instrText xml:space="preserve"> PAGEREF _Toc200366467 \h </w:instrText>
        </w:r>
        <w:r w:rsidRPr="00D45947">
          <w:rPr>
            <w:noProof/>
            <w:webHidden/>
          </w:rPr>
        </w:r>
        <w:r w:rsidRPr="00D45947">
          <w:rPr>
            <w:noProof/>
            <w:webHidden/>
          </w:rPr>
          <w:fldChar w:fldCharType="separate"/>
        </w:r>
        <w:r w:rsidR="00A1075A">
          <w:rPr>
            <w:noProof/>
            <w:webHidden/>
          </w:rPr>
          <w:t>50</w:t>
        </w:r>
        <w:r w:rsidRPr="00D45947">
          <w:rPr>
            <w:noProof/>
            <w:webHidden/>
          </w:rPr>
          <w:fldChar w:fldCharType="end"/>
        </w:r>
      </w:hyperlink>
    </w:p>
    <w:p w14:paraId="6E094415" w14:textId="13D45318"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8" w:history="1">
        <w:r w:rsidRPr="00D45947">
          <w:rPr>
            <w:rStyle w:val="Hyperlink"/>
            <w:rFonts w:cstheme="minorHAnsi"/>
            <w:noProof/>
          </w:rPr>
          <w:t>Tablica 30. Trošak zbrinjavanja goriva iz otpada</w:t>
        </w:r>
        <w:r w:rsidRPr="00D45947">
          <w:rPr>
            <w:noProof/>
            <w:webHidden/>
          </w:rPr>
          <w:tab/>
        </w:r>
        <w:r w:rsidRPr="00D45947">
          <w:rPr>
            <w:noProof/>
            <w:webHidden/>
          </w:rPr>
          <w:fldChar w:fldCharType="begin"/>
        </w:r>
        <w:r w:rsidRPr="00D45947">
          <w:rPr>
            <w:noProof/>
            <w:webHidden/>
          </w:rPr>
          <w:instrText xml:space="preserve"> PAGEREF _Toc200366468 \h </w:instrText>
        </w:r>
        <w:r w:rsidRPr="00D45947">
          <w:rPr>
            <w:noProof/>
            <w:webHidden/>
          </w:rPr>
        </w:r>
        <w:r w:rsidRPr="00D45947">
          <w:rPr>
            <w:noProof/>
            <w:webHidden/>
          </w:rPr>
          <w:fldChar w:fldCharType="separate"/>
        </w:r>
        <w:r w:rsidR="00A1075A">
          <w:rPr>
            <w:noProof/>
            <w:webHidden/>
          </w:rPr>
          <w:t>51</w:t>
        </w:r>
        <w:r w:rsidRPr="00D45947">
          <w:rPr>
            <w:noProof/>
            <w:webHidden/>
          </w:rPr>
          <w:fldChar w:fldCharType="end"/>
        </w:r>
      </w:hyperlink>
    </w:p>
    <w:p w14:paraId="7485D362" w14:textId="1C9D0752"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69" w:history="1">
        <w:r w:rsidRPr="00D45947">
          <w:rPr>
            <w:rStyle w:val="Hyperlink"/>
            <w:rFonts w:cstheme="minorHAnsi"/>
            <w:noProof/>
          </w:rPr>
          <w:t>Tablica 31. Troškovi reprezentacije</w:t>
        </w:r>
        <w:r w:rsidRPr="00D45947">
          <w:rPr>
            <w:noProof/>
            <w:webHidden/>
          </w:rPr>
          <w:tab/>
        </w:r>
        <w:r w:rsidRPr="00D45947">
          <w:rPr>
            <w:noProof/>
            <w:webHidden/>
          </w:rPr>
          <w:fldChar w:fldCharType="begin"/>
        </w:r>
        <w:r w:rsidRPr="00D45947">
          <w:rPr>
            <w:noProof/>
            <w:webHidden/>
          </w:rPr>
          <w:instrText xml:space="preserve"> PAGEREF _Toc200366469 \h </w:instrText>
        </w:r>
        <w:r w:rsidRPr="00D45947">
          <w:rPr>
            <w:noProof/>
            <w:webHidden/>
          </w:rPr>
        </w:r>
        <w:r w:rsidRPr="00D45947">
          <w:rPr>
            <w:noProof/>
            <w:webHidden/>
          </w:rPr>
          <w:fldChar w:fldCharType="separate"/>
        </w:r>
        <w:r w:rsidR="00A1075A">
          <w:rPr>
            <w:noProof/>
            <w:webHidden/>
          </w:rPr>
          <w:t>51</w:t>
        </w:r>
        <w:r w:rsidRPr="00D45947">
          <w:rPr>
            <w:noProof/>
            <w:webHidden/>
          </w:rPr>
          <w:fldChar w:fldCharType="end"/>
        </w:r>
      </w:hyperlink>
    </w:p>
    <w:p w14:paraId="4D0B5D3F" w14:textId="47BE23E9"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0" w:history="1">
        <w:r w:rsidRPr="00D45947">
          <w:rPr>
            <w:rStyle w:val="Hyperlink"/>
            <w:rFonts w:cstheme="minorHAnsi"/>
            <w:noProof/>
          </w:rPr>
          <w:t>Tablica 32. Troškovi ostalih vanjskih usluga</w:t>
        </w:r>
        <w:r w:rsidRPr="00D45947">
          <w:rPr>
            <w:noProof/>
            <w:webHidden/>
          </w:rPr>
          <w:tab/>
        </w:r>
        <w:r w:rsidRPr="00D45947">
          <w:rPr>
            <w:noProof/>
            <w:webHidden/>
          </w:rPr>
          <w:fldChar w:fldCharType="begin"/>
        </w:r>
        <w:r w:rsidRPr="00D45947">
          <w:rPr>
            <w:noProof/>
            <w:webHidden/>
          </w:rPr>
          <w:instrText xml:space="preserve"> PAGEREF _Toc200366470 \h </w:instrText>
        </w:r>
        <w:r w:rsidRPr="00D45947">
          <w:rPr>
            <w:noProof/>
            <w:webHidden/>
          </w:rPr>
        </w:r>
        <w:r w:rsidRPr="00D45947">
          <w:rPr>
            <w:noProof/>
            <w:webHidden/>
          </w:rPr>
          <w:fldChar w:fldCharType="separate"/>
        </w:r>
        <w:r w:rsidR="00A1075A">
          <w:rPr>
            <w:noProof/>
            <w:webHidden/>
          </w:rPr>
          <w:t>52</w:t>
        </w:r>
        <w:r w:rsidRPr="00D45947">
          <w:rPr>
            <w:noProof/>
            <w:webHidden/>
          </w:rPr>
          <w:fldChar w:fldCharType="end"/>
        </w:r>
      </w:hyperlink>
    </w:p>
    <w:p w14:paraId="48052376" w14:textId="617EAF11"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1" w:history="1">
        <w:r w:rsidRPr="00D45947">
          <w:rPr>
            <w:rStyle w:val="Hyperlink"/>
            <w:rFonts w:cstheme="minorHAnsi"/>
            <w:noProof/>
          </w:rPr>
          <w:t>Tablica 33. Troškovi osoblja</w:t>
        </w:r>
        <w:r w:rsidRPr="00D45947">
          <w:rPr>
            <w:noProof/>
            <w:webHidden/>
          </w:rPr>
          <w:tab/>
        </w:r>
        <w:r w:rsidRPr="00D45947">
          <w:rPr>
            <w:noProof/>
            <w:webHidden/>
          </w:rPr>
          <w:fldChar w:fldCharType="begin"/>
        </w:r>
        <w:r w:rsidRPr="00D45947">
          <w:rPr>
            <w:noProof/>
            <w:webHidden/>
          </w:rPr>
          <w:instrText xml:space="preserve"> PAGEREF _Toc200366471 \h </w:instrText>
        </w:r>
        <w:r w:rsidRPr="00D45947">
          <w:rPr>
            <w:noProof/>
            <w:webHidden/>
          </w:rPr>
        </w:r>
        <w:r w:rsidRPr="00D45947">
          <w:rPr>
            <w:noProof/>
            <w:webHidden/>
          </w:rPr>
          <w:fldChar w:fldCharType="separate"/>
        </w:r>
        <w:r w:rsidR="00A1075A">
          <w:rPr>
            <w:noProof/>
            <w:webHidden/>
          </w:rPr>
          <w:t>53</w:t>
        </w:r>
        <w:r w:rsidRPr="00D45947">
          <w:rPr>
            <w:noProof/>
            <w:webHidden/>
          </w:rPr>
          <w:fldChar w:fldCharType="end"/>
        </w:r>
      </w:hyperlink>
    </w:p>
    <w:p w14:paraId="082E3D16" w14:textId="5DB31D47"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2" w:history="1">
        <w:r w:rsidRPr="00D45947">
          <w:rPr>
            <w:rStyle w:val="Hyperlink"/>
            <w:rFonts w:cstheme="minorHAnsi"/>
            <w:noProof/>
          </w:rPr>
          <w:t>Tablica 34. Trošak amortizacije</w:t>
        </w:r>
        <w:r w:rsidRPr="00D45947">
          <w:rPr>
            <w:noProof/>
            <w:webHidden/>
          </w:rPr>
          <w:tab/>
        </w:r>
        <w:r w:rsidRPr="00D45947">
          <w:rPr>
            <w:noProof/>
            <w:webHidden/>
          </w:rPr>
          <w:fldChar w:fldCharType="begin"/>
        </w:r>
        <w:r w:rsidRPr="00D45947">
          <w:rPr>
            <w:noProof/>
            <w:webHidden/>
          </w:rPr>
          <w:instrText xml:space="preserve"> PAGEREF _Toc200366472 \h </w:instrText>
        </w:r>
        <w:r w:rsidRPr="00D45947">
          <w:rPr>
            <w:noProof/>
            <w:webHidden/>
          </w:rPr>
        </w:r>
        <w:r w:rsidRPr="00D45947">
          <w:rPr>
            <w:noProof/>
            <w:webHidden/>
          </w:rPr>
          <w:fldChar w:fldCharType="separate"/>
        </w:r>
        <w:r w:rsidR="00A1075A">
          <w:rPr>
            <w:noProof/>
            <w:webHidden/>
          </w:rPr>
          <w:t>53</w:t>
        </w:r>
        <w:r w:rsidRPr="00D45947">
          <w:rPr>
            <w:noProof/>
            <w:webHidden/>
          </w:rPr>
          <w:fldChar w:fldCharType="end"/>
        </w:r>
      </w:hyperlink>
    </w:p>
    <w:p w14:paraId="70EA38F3" w14:textId="63DE1D23"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3" w:history="1">
        <w:r w:rsidRPr="00D45947">
          <w:rPr>
            <w:rStyle w:val="Hyperlink"/>
            <w:rFonts w:cstheme="minorHAnsi"/>
            <w:noProof/>
          </w:rPr>
          <w:t>Tablica 35. Ostali troškovi poslovanja</w:t>
        </w:r>
        <w:r w:rsidRPr="00D45947">
          <w:rPr>
            <w:noProof/>
            <w:webHidden/>
          </w:rPr>
          <w:tab/>
        </w:r>
        <w:r w:rsidRPr="00D45947">
          <w:rPr>
            <w:noProof/>
            <w:webHidden/>
          </w:rPr>
          <w:fldChar w:fldCharType="begin"/>
        </w:r>
        <w:r w:rsidRPr="00D45947">
          <w:rPr>
            <w:noProof/>
            <w:webHidden/>
          </w:rPr>
          <w:instrText xml:space="preserve"> PAGEREF _Toc200366473 \h </w:instrText>
        </w:r>
        <w:r w:rsidRPr="00D45947">
          <w:rPr>
            <w:noProof/>
            <w:webHidden/>
          </w:rPr>
        </w:r>
        <w:r w:rsidRPr="00D45947">
          <w:rPr>
            <w:noProof/>
            <w:webHidden/>
          </w:rPr>
          <w:fldChar w:fldCharType="separate"/>
        </w:r>
        <w:r w:rsidR="00A1075A">
          <w:rPr>
            <w:noProof/>
            <w:webHidden/>
          </w:rPr>
          <w:t>54</w:t>
        </w:r>
        <w:r w:rsidRPr="00D45947">
          <w:rPr>
            <w:noProof/>
            <w:webHidden/>
          </w:rPr>
          <w:fldChar w:fldCharType="end"/>
        </w:r>
      </w:hyperlink>
    </w:p>
    <w:p w14:paraId="6497B8D0" w14:textId="2B992DA7"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4" w:history="1">
        <w:r w:rsidRPr="00D45947">
          <w:rPr>
            <w:rStyle w:val="Hyperlink"/>
            <w:rFonts w:cstheme="minorHAnsi"/>
            <w:noProof/>
          </w:rPr>
          <w:t>Tablica 36. Vrijednosna usklađenja</w:t>
        </w:r>
        <w:r w:rsidRPr="00D45947">
          <w:rPr>
            <w:noProof/>
            <w:webHidden/>
          </w:rPr>
          <w:tab/>
        </w:r>
        <w:r w:rsidRPr="00D45947">
          <w:rPr>
            <w:noProof/>
            <w:webHidden/>
          </w:rPr>
          <w:fldChar w:fldCharType="begin"/>
        </w:r>
        <w:r w:rsidRPr="00D45947">
          <w:rPr>
            <w:noProof/>
            <w:webHidden/>
          </w:rPr>
          <w:instrText xml:space="preserve"> PAGEREF _Toc200366474 \h </w:instrText>
        </w:r>
        <w:r w:rsidRPr="00D45947">
          <w:rPr>
            <w:noProof/>
            <w:webHidden/>
          </w:rPr>
        </w:r>
        <w:r w:rsidRPr="00D45947">
          <w:rPr>
            <w:noProof/>
            <w:webHidden/>
          </w:rPr>
          <w:fldChar w:fldCharType="separate"/>
        </w:r>
        <w:r w:rsidR="00A1075A">
          <w:rPr>
            <w:noProof/>
            <w:webHidden/>
          </w:rPr>
          <w:t>55</w:t>
        </w:r>
        <w:r w:rsidRPr="00D45947">
          <w:rPr>
            <w:noProof/>
            <w:webHidden/>
          </w:rPr>
          <w:fldChar w:fldCharType="end"/>
        </w:r>
      </w:hyperlink>
    </w:p>
    <w:p w14:paraId="2B99EB31" w14:textId="775BB30A"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5" w:history="1">
        <w:r w:rsidRPr="00D45947">
          <w:rPr>
            <w:rStyle w:val="Hyperlink"/>
            <w:rFonts w:cstheme="minorHAnsi"/>
            <w:noProof/>
          </w:rPr>
          <w:t>Tablica 37. Rezerviranja</w:t>
        </w:r>
        <w:r w:rsidRPr="00D45947">
          <w:rPr>
            <w:noProof/>
            <w:webHidden/>
          </w:rPr>
          <w:tab/>
        </w:r>
        <w:r w:rsidRPr="00D45947">
          <w:rPr>
            <w:noProof/>
            <w:webHidden/>
          </w:rPr>
          <w:fldChar w:fldCharType="begin"/>
        </w:r>
        <w:r w:rsidRPr="00D45947">
          <w:rPr>
            <w:noProof/>
            <w:webHidden/>
          </w:rPr>
          <w:instrText xml:space="preserve"> PAGEREF _Toc200366475 \h </w:instrText>
        </w:r>
        <w:r w:rsidRPr="00D45947">
          <w:rPr>
            <w:noProof/>
            <w:webHidden/>
          </w:rPr>
        </w:r>
        <w:r w:rsidRPr="00D45947">
          <w:rPr>
            <w:noProof/>
            <w:webHidden/>
          </w:rPr>
          <w:fldChar w:fldCharType="separate"/>
        </w:r>
        <w:r w:rsidR="00A1075A">
          <w:rPr>
            <w:noProof/>
            <w:webHidden/>
          </w:rPr>
          <w:t>55</w:t>
        </w:r>
        <w:r w:rsidRPr="00D45947">
          <w:rPr>
            <w:noProof/>
            <w:webHidden/>
          </w:rPr>
          <w:fldChar w:fldCharType="end"/>
        </w:r>
      </w:hyperlink>
    </w:p>
    <w:p w14:paraId="4AE0724B" w14:textId="0C57DE2B"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6" w:history="1">
        <w:r w:rsidRPr="00D45947">
          <w:rPr>
            <w:rStyle w:val="Hyperlink"/>
            <w:rFonts w:cstheme="minorHAnsi"/>
            <w:noProof/>
          </w:rPr>
          <w:t>Tablica 38. Ostali poslovni rashodi</w:t>
        </w:r>
        <w:r w:rsidRPr="00D45947">
          <w:rPr>
            <w:noProof/>
            <w:webHidden/>
          </w:rPr>
          <w:tab/>
        </w:r>
        <w:r w:rsidRPr="00D45947">
          <w:rPr>
            <w:noProof/>
            <w:webHidden/>
          </w:rPr>
          <w:fldChar w:fldCharType="begin"/>
        </w:r>
        <w:r w:rsidRPr="00D45947">
          <w:rPr>
            <w:noProof/>
            <w:webHidden/>
          </w:rPr>
          <w:instrText xml:space="preserve"> PAGEREF _Toc200366476 \h </w:instrText>
        </w:r>
        <w:r w:rsidRPr="00D45947">
          <w:rPr>
            <w:noProof/>
            <w:webHidden/>
          </w:rPr>
        </w:r>
        <w:r w:rsidRPr="00D45947">
          <w:rPr>
            <w:noProof/>
            <w:webHidden/>
          </w:rPr>
          <w:fldChar w:fldCharType="separate"/>
        </w:r>
        <w:r w:rsidR="00A1075A">
          <w:rPr>
            <w:noProof/>
            <w:webHidden/>
          </w:rPr>
          <w:t>56</w:t>
        </w:r>
        <w:r w:rsidRPr="00D45947">
          <w:rPr>
            <w:noProof/>
            <w:webHidden/>
          </w:rPr>
          <w:fldChar w:fldCharType="end"/>
        </w:r>
      </w:hyperlink>
    </w:p>
    <w:p w14:paraId="1F8D89A1" w14:textId="78A8C3CC"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7" w:history="1">
        <w:r w:rsidRPr="00D45947">
          <w:rPr>
            <w:rStyle w:val="Hyperlink"/>
            <w:rFonts w:cstheme="minorHAnsi"/>
            <w:noProof/>
          </w:rPr>
          <w:t>Tablica 39. Financijski rashodi</w:t>
        </w:r>
        <w:r w:rsidRPr="00D45947">
          <w:rPr>
            <w:noProof/>
            <w:webHidden/>
          </w:rPr>
          <w:tab/>
        </w:r>
        <w:r w:rsidRPr="00D45947">
          <w:rPr>
            <w:noProof/>
            <w:webHidden/>
          </w:rPr>
          <w:fldChar w:fldCharType="begin"/>
        </w:r>
        <w:r w:rsidRPr="00D45947">
          <w:rPr>
            <w:noProof/>
            <w:webHidden/>
          </w:rPr>
          <w:instrText xml:space="preserve"> PAGEREF _Toc200366477 \h </w:instrText>
        </w:r>
        <w:r w:rsidRPr="00D45947">
          <w:rPr>
            <w:noProof/>
            <w:webHidden/>
          </w:rPr>
        </w:r>
        <w:r w:rsidRPr="00D45947">
          <w:rPr>
            <w:noProof/>
            <w:webHidden/>
          </w:rPr>
          <w:fldChar w:fldCharType="separate"/>
        </w:r>
        <w:r w:rsidR="00A1075A">
          <w:rPr>
            <w:noProof/>
            <w:webHidden/>
          </w:rPr>
          <w:t>56</w:t>
        </w:r>
        <w:r w:rsidRPr="00D45947">
          <w:rPr>
            <w:noProof/>
            <w:webHidden/>
          </w:rPr>
          <w:fldChar w:fldCharType="end"/>
        </w:r>
      </w:hyperlink>
    </w:p>
    <w:p w14:paraId="13E5ABED" w14:textId="40FD2BCF" w:rsidR="00D45947" w:rsidRP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8" w:history="1">
        <w:r w:rsidRPr="00D45947">
          <w:rPr>
            <w:rStyle w:val="Hyperlink"/>
            <w:rFonts w:cstheme="minorHAnsi"/>
            <w:noProof/>
          </w:rPr>
          <w:t>Tablica 40. Investicijska ulaganja 2024.g</w:t>
        </w:r>
        <w:r w:rsidRPr="00D45947">
          <w:rPr>
            <w:noProof/>
            <w:webHidden/>
          </w:rPr>
          <w:tab/>
        </w:r>
        <w:r w:rsidRPr="00D45947">
          <w:rPr>
            <w:noProof/>
            <w:webHidden/>
          </w:rPr>
          <w:fldChar w:fldCharType="begin"/>
        </w:r>
        <w:r w:rsidRPr="00D45947">
          <w:rPr>
            <w:noProof/>
            <w:webHidden/>
          </w:rPr>
          <w:instrText xml:space="preserve"> PAGEREF _Toc200366478 \h </w:instrText>
        </w:r>
        <w:r w:rsidRPr="00D45947">
          <w:rPr>
            <w:noProof/>
            <w:webHidden/>
          </w:rPr>
        </w:r>
        <w:r w:rsidRPr="00D45947">
          <w:rPr>
            <w:noProof/>
            <w:webHidden/>
          </w:rPr>
          <w:fldChar w:fldCharType="separate"/>
        </w:r>
        <w:r w:rsidR="00A1075A">
          <w:rPr>
            <w:noProof/>
            <w:webHidden/>
          </w:rPr>
          <w:t>58</w:t>
        </w:r>
        <w:r w:rsidRPr="00D45947">
          <w:rPr>
            <w:noProof/>
            <w:webHidden/>
          </w:rPr>
          <w:fldChar w:fldCharType="end"/>
        </w:r>
      </w:hyperlink>
    </w:p>
    <w:p w14:paraId="6D014CAE" w14:textId="02EB884F" w:rsidR="00D45947" w:rsidRDefault="00D45947">
      <w:pPr>
        <w:pStyle w:val="TableofFigures"/>
        <w:tabs>
          <w:tab w:val="right" w:leader="dot" w:pos="9060"/>
        </w:tabs>
        <w:rPr>
          <w:rFonts w:eastAsiaTheme="minorEastAsia"/>
          <w:noProof/>
          <w:kern w:val="2"/>
          <w:sz w:val="24"/>
          <w:szCs w:val="24"/>
          <w:lang w:eastAsia="hr-HR"/>
          <w14:ligatures w14:val="standardContextual"/>
        </w:rPr>
      </w:pPr>
      <w:hyperlink w:anchor="_Toc200366479" w:history="1">
        <w:r w:rsidRPr="00D45947">
          <w:rPr>
            <w:rStyle w:val="Hyperlink"/>
            <w:rFonts w:cstheme="minorHAnsi"/>
            <w:noProof/>
          </w:rPr>
          <w:t>Tablica 41. Otplate anuiteta u 2024. godini - ZAJAM MINISTARSTVA FINANCIJA</w:t>
        </w:r>
        <w:r w:rsidRPr="00D45947">
          <w:rPr>
            <w:noProof/>
            <w:webHidden/>
          </w:rPr>
          <w:tab/>
        </w:r>
        <w:r w:rsidRPr="00D45947">
          <w:rPr>
            <w:noProof/>
            <w:webHidden/>
          </w:rPr>
          <w:fldChar w:fldCharType="begin"/>
        </w:r>
        <w:r w:rsidRPr="00D45947">
          <w:rPr>
            <w:noProof/>
            <w:webHidden/>
          </w:rPr>
          <w:instrText xml:space="preserve"> PAGEREF _Toc200366479 \h </w:instrText>
        </w:r>
        <w:r w:rsidRPr="00D45947">
          <w:rPr>
            <w:noProof/>
            <w:webHidden/>
          </w:rPr>
        </w:r>
        <w:r w:rsidRPr="00D45947">
          <w:rPr>
            <w:noProof/>
            <w:webHidden/>
          </w:rPr>
          <w:fldChar w:fldCharType="separate"/>
        </w:r>
        <w:r w:rsidR="00A1075A">
          <w:rPr>
            <w:noProof/>
            <w:webHidden/>
          </w:rPr>
          <w:t>60</w:t>
        </w:r>
        <w:r w:rsidRPr="00D45947">
          <w:rPr>
            <w:noProof/>
            <w:webHidden/>
          </w:rPr>
          <w:fldChar w:fldCharType="end"/>
        </w:r>
      </w:hyperlink>
    </w:p>
    <w:p w14:paraId="4991B28A" w14:textId="65E7A825" w:rsidR="00185057" w:rsidRPr="00367E52" w:rsidRDefault="00185057" w:rsidP="00255556">
      <w:pPr>
        <w:spacing w:before="240" w:line="360" w:lineRule="auto"/>
        <w:jc w:val="both"/>
        <w:rPr>
          <w:rFonts w:cstheme="minorHAnsi"/>
        </w:rPr>
      </w:pPr>
      <w:r w:rsidRPr="00367E52">
        <w:rPr>
          <w:rFonts w:cstheme="minorHAnsi"/>
        </w:rPr>
        <w:fldChar w:fldCharType="end"/>
      </w:r>
    </w:p>
    <w:sectPr w:rsidR="00185057" w:rsidRPr="00367E52" w:rsidSect="00A576C9">
      <w:footerReference w:type="first" r:id="rId2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B2A10" w14:textId="77777777" w:rsidR="00B54123" w:rsidRDefault="00B54123" w:rsidP="00C803B7">
      <w:pPr>
        <w:spacing w:after="0" w:line="240" w:lineRule="auto"/>
      </w:pPr>
      <w:r>
        <w:separator/>
      </w:r>
    </w:p>
  </w:endnote>
  <w:endnote w:type="continuationSeparator" w:id="0">
    <w:p w14:paraId="46D8A5D2" w14:textId="77777777" w:rsidR="00B54123" w:rsidRDefault="00B54123" w:rsidP="00C80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9170618"/>
      <w:docPartObj>
        <w:docPartGallery w:val="Page Numbers (Bottom of Page)"/>
        <w:docPartUnique/>
      </w:docPartObj>
    </w:sdtPr>
    <w:sdtEndPr>
      <w:rPr>
        <w:noProof/>
      </w:rPr>
    </w:sdtEndPr>
    <w:sdtContent>
      <w:p w14:paraId="009B61C7" w14:textId="77777777" w:rsidR="00F30F13" w:rsidRDefault="00F30F13">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6402CD1B" w14:textId="77777777" w:rsidR="00F30F13" w:rsidRDefault="00F30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B0AEE" w14:textId="77777777" w:rsidR="00F30F13" w:rsidRDefault="00F30F13">
    <w:pPr>
      <w:pStyle w:val="Footer"/>
      <w:jc w:val="right"/>
    </w:pPr>
  </w:p>
  <w:p w14:paraId="7F9EF9A4" w14:textId="77777777" w:rsidR="00F30F13" w:rsidRDefault="00F30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4234"/>
      <w:docPartObj>
        <w:docPartGallery w:val="Page Numbers (Bottom of Page)"/>
        <w:docPartUnique/>
      </w:docPartObj>
    </w:sdtPr>
    <w:sdtEndPr>
      <w:rPr>
        <w:noProof/>
      </w:rPr>
    </w:sdtEndPr>
    <w:sdtContent>
      <w:p w14:paraId="3EF9189C" w14:textId="3748DAF4" w:rsidR="00F1744F" w:rsidRDefault="00F1744F">
        <w:pPr>
          <w:pStyle w:val="Footer"/>
          <w:jc w:val="right"/>
        </w:pPr>
        <w:r>
          <w:fldChar w:fldCharType="begin"/>
        </w:r>
        <w:r>
          <w:instrText xml:space="preserve"> PAGE   \* MERGEFORMAT </w:instrText>
        </w:r>
        <w:r>
          <w:fldChar w:fldCharType="separate"/>
        </w:r>
        <w:r w:rsidR="00320512">
          <w:rPr>
            <w:noProof/>
          </w:rPr>
          <w:t>16</w:t>
        </w:r>
        <w:r>
          <w:rPr>
            <w:noProof/>
          </w:rPr>
          <w:fldChar w:fldCharType="end"/>
        </w:r>
      </w:p>
    </w:sdtContent>
  </w:sdt>
  <w:p w14:paraId="7AE9BC2E" w14:textId="77777777" w:rsidR="00F1744F" w:rsidRDefault="00F174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99C6" w14:textId="02BFDFF3" w:rsidR="000D41E5" w:rsidRDefault="00667B2F">
    <w:pPr>
      <w:pStyle w:val="Footer"/>
      <w:jc w:val="right"/>
    </w:pPr>
    <w:r>
      <w:t>30</w:t>
    </w:r>
  </w:p>
  <w:p w14:paraId="318875C6" w14:textId="77777777" w:rsidR="00F1744F" w:rsidRDefault="00F1744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ACA6" w14:textId="02FD156E" w:rsidR="002C1053" w:rsidRDefault="002C1053">
    <w:pPr>
      <w:pStyle w:val="Footer"/>
      <w:jc w:val="right"/>
    </w:pPr>
    <w:r>
      <w:t>3</w:t>
    </w:r>
    <w:r w:rsidR="00667B2F">
      <w:t>5</w:t>
    </w:r>
  </w:p>
  <w:p w14:paraId="6C8A7B02" w14:textId="77777777" w:rsidR="002C1053" w:rsidRDefault="002C1053" w:rsidP="002C1053">
    <w:pPr>
      <w:pStyle w:val="Footer"/>
      <w:jc w:val="center"/>
    </w:pPr>
  </w:p>
  <w:p w14:paraId="252659A9" w14:textId="77777777" w:rsidR="002C1053" w:rsidRDefault="002C105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D74A" w14:textId="67F62547" w:rsidR="002C1053" w:rsidRDefault="00667B2F">
    <w:pPr>
      <w:pStyle w:val="Footer"/>
      <w:jc w:val="right"/>
    </w:pPr>
    <w:r>
      <w:t>58</w:t>
    </w:r>
  </w:p>
  <w:p w14:paraId="5E9D17DC" w14:textId="77777777" w:rsidR="002C1053" w:rsidRDefault="002C1053" w:rsidP="002C1053">
    <w:pPr>
      <w:pStyle w:val="Footer"/>
      <w:jc w:val="center"/>
    </w:pPr>
  </w:p>
  <w:p w14:paraId="4BA934ED" w14:textId="77777777" w:rsidR="002C1053" w:rsidRDefault="002C1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6203" w14:textId="77777777" w:rsidR="00B54123" w:rsidRDefault="00B54123" w:rsidP="00C803B7">
      <w:pPr>
        <w:spacing w:after="0" w:line="240" w:lineRule="auto"/>
      </w:pPr>
      <w:r>
        <w:separator/>
      </w:r>
    </w:p>
  </w:footnote>
  <w:footnote w:type="continuationSeparator" w:id="0">
    <w:p w14:paraId="64D5F43C" w14:textId="77777777" w:rsidR="00B54123" w:rsidRDefault="00B54123" w:rsidP="00C80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13589"/>
    <w:multiLevelType w:val="hybridMultilevel"/>
    <w:tmpl w:val="F3081A0C"/>
    <w:lvl w:ilvl="0" w:tplc="33D287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B1D6A72"/>
    <w:multiLevelType w:val="hybridMultilevel"/>
    <w:tmpl w:val="45507DA6"/>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1A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C5E7457"/>
    <w:multiLevelType w:val="multilevel"/>
    <w:tmpl w:val="E8A482FE"/>
    <w:lvl w:ilvl="0">
      <w:start w:val="40"/>
      <w:numFmt w:val="decimal"/>
      <w:lvlText w:val="%1"/>
      <w:lvlJc w:val="left"/>
      <w:pPr>
        <w:tabs>
          <w:tab w:val="num" w:pos="720"/>
        </w:tabs>
        <w:ind w:left="720" w:hanging="720"/>
      </w:pPr>
      <w:rPr>
        <w:rFonts w:hint="default"/>
      </w:rPr>
    </w:lvl>
    <w:lvl w:ilvl="1">
      <w:start w:val="2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DA15E4D"/>
    <w:multiLevelType w:val="hybridMultilevel"/>
    <w:tmpl w:val="08620502"/>
    <w:lvl w:ilvl="0" w:tplc="041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1601188"/>
    <w:multiLevelType w:val="hybridMultilevel"/>
    <w:tmpl w:val="0D1677F2"/>
    <w:lvl w:ilvl="0" w:tplc="3DFA1C72">
      <w:start w:val="37"/>
      <w:numFmt w:val="decimal"/>
      <w:lvlText w:val="%1"/>
      <w:lvlJc w:val="left"/>
      <w:pPr>
        <w:tabs>
          <w:tab w:val="num" w:pos="1440"/>
        </w:tabs>
        <w:ind w:left="1440" w:hanging="720"/>
      </w:pPr>
      <w:rPr>
        <w:rFonts w:hint="default"/>
      </w:rPr>
    </w:lvl>
    <w:lvl w:ilvl="1" w:tplc="F9B09464">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A15716"/>
    <w:multiLevelType w:val="hybridMultilevel"/>
    <w:tmpl w:val="76F29A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7C5B7A"/>
    <w:multiLevelType w:val="hybridMultilevel"/>
    <w:tmpl w:val="09A4440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041A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F729DF"/>
    <w:multiLevelType w:val="hybridMultilevel"/>
    <w:tmpl w:val="13FE3BA4"/>
    <w:lvl w:ilvl="0" w:tplc="F9B0946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77A1545"/>
    <w:multiLevelType w:val="hybridMultilevel"/>
    <w:tmpl w:val="3CACFFCE"/>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45DA0516"/>
    <w:multiLevelType w:val="hybridMultilevel"/>
    <w:tmpl w:val="B1FA6F0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1A0001">
      <w:start w:val="1"/>
      <w:numFmt w:val="bullet"/>
      <w:lvlText w:val=""/>
      <w:lvlJc w:val="left"/>
      <w:pPr>
        <w:ind w:left="360" w:hanging="360"/>
      </w:pPr>
      <w:rPr>
        <w:rFonts w:ascii="Symbol" w:hAnsi="Symbo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7DB50BB"/>
    <w:multiLevelType w:val="multilevel"/>
    <w:tmpl w:val="0EBEC9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36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21220"/>
    <w:multiLevelType w:val="hybridMultilevel"/>
    <w:tmpl w:val="A796932C"/>
    <w:lvl w:ilvl="0" w:tplc="FEC0D8BE">
      <w:numFmt w:val="bullet"/>
      <w:lvlText w:val="-"/>
      <w:lvlJc w:val="left"/>
      <w:pPr>
        <w:ind w:left="1065" w:hanging="360"/>
      </w:pPr>
      <w:rPr>
        <w:rFonts w:ascii="Calibri" w:eastAsia="Times New Roman" w:hAnsi="Calibri" w:cs="Calibr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cs="Wingdings" w:hint="default"/>
      </w:rPr>
    </w:lvl>
    <w:lvl w:ilvl="3" w:tplc="041A0001" w:tentative="1">
      <w:start w:val="1"/>
      <w:numFmt w:val="bullet"/>
      <w:lvlText w:val=""/>
      <w:lvlJc w:val="left"/>
      <w:pPr>
        <w:ind w:left="3225" w:hanging="360"/>
      </w:pPr>
      <w:rPr>
        <w:rFonts w:ascii="Symbol" w:hAnsi="Symbol" w:cs="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cs="Wingdings" w:hint="default"/>
      </w:rPr>
    </w:lvl>
    <w:lvl w:ilvl="6" w:tplc="041A0001" w:tentative="1">
      <w:start w:val="1"/>
      <w:numFmt w:val="bullet"/>
      <w:lvlText w:val=""/>
      <w:lvlJc w:val="left"/>
      <w:pPr>
        <w:ind w:left="5385" w:hanging="360"/>
      </w:pPr>
      <w:rPr>
        <w:rFonts w:ascii="Symbol" w:hAnsi="Symbol" w:cs="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cs="Wingdings" w:hint="default"/>
      </w:rPr>
    </w:lvl>
  </w:abstractNum>
  <w:abstractNum w:abstractNumId="12" w15:restartNumberingAfterBreak="0">
    <w:nsid w:val="4C231690"/>
    <w:multiLevelType w:val="multilevel"/>
    <w:tmpl w:val="9248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1608BD"/>
    <w:multiLevelType w:val="multilevel"/>
    <w:tmpl w:val="7D6AB7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72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AD2364"/>
    <w:multiLevelType w:val="multilevel"/>
    <w:tmpl w:val="C336A962"/>
    <w:lvl w:ilvl="0">
      <w:start w:val="40"/>
      <w:numFmt w:val="decimal"/>
      <w:lvlText w:val="%1"/>
      <w:lvlJc w:val="left"/>
      <w:pPr>
        <w:tabs>
          <w:tab w:val="num" w:pos="720"/>
        </w:tabs>
        <w:ind w:left="720" w:hanging="720"/>
      </w:pPr>
      <w:rPr>
        <w:rFonts w:hint="default"/>
      </w:rPr>
    </w:lvl>
    <w:lvl w:ilvl="1">
      <w:start w:val="30"/>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5A250769"/>
    <w:multiLevelType w:val="multilevel"/>
    <w:tmpl w:val="ADB22192"/>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465CE"/>
    <w:multiLevelType w:val="hybridMultilevel"/>
    <w:tmpl w:val="285A8EB6"/>
    <w:lvl w:ilvl="0" w:tplc="FFFFFFFF">
      <w:start w:val="1"/>
      <w:numFmt w:val="bullet"/>
      <w:lvlText w:val=""/>
      <w:lvlJc w:val="left"/>
      <w:pPr>
        <w:ind w:left="720" w:hanging="360"/>
      </w:pPr>
      <w:rPr>
        <w:rFonts w:ascii="Symbol" w:hAnsi="Symbol" w:hint="default"/>
      </w:rPr>
    </w:lvl>
    <w:lvl w:ilvl="1" w:tplc="041A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D85BDF"/>
    <w:multiLevelType w:val="hybridMultilevel"/>
    <w:tmpl w:val="A4B8CED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5C1D19C1"/>
    <w:multiLevelType w:val="multilevel"/>
    <w:tmpl w:val="91A0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881A73"/>
    <w:multiLevelType w:val="multilevel"/>
    <w:tmpl w:val="B14E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D661D"/>
    <w:multiLevelType w:val="multilevel"/>
    <w:tmpl w:val="0AA22E14"/>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042A68"/>
    <w:multiLevelType w:val="multilevel"/>
    <w:tmpl w:val="7E8429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16751248">
    <w:abstractNumId w:val="4"/>
  </w:num>
  <w:num w:numId="2" w16cid:durableId="235282587">
    <w:abstractNumId w:val="2"/>
  </w:num>
  <w:num w:numId="3" w16cid:durableId="1700935496">
    <w:abstractNumId w:val="14"/>
  </w:num>
  <w:num w:numId="4" w16cid:durableId="574778620">
    <w:abstractNumId w:val="11"/>
  </w:num>
  <w:num w:numId="5" w16cid:durableId="1359041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597475">
    <w:abstractNumId w:val="17"/>
  </w:num>
  <w:num w:numId="7" w16cid:durableId="150146912">
    <w:abstractNumId w:val="3"/>
  </w:num>
  <w:num w:numId="8" w16cid:durableId="1664314085">
    <w:abstractNumId w:val="1"/>
  </w:num>
  <w:num w:numId="9" w16cid:durableId="1591892736">
    <w:abstractNumId w:val="9"/>
  </w:num>
  <w:num w:numId="10" w16cid:durableId="1251617968">
    <w:abstractNumId w:val="16"/>
  </w:num>
  <w:num w:numId="11" w16cid:durableId="54402191">
    <w:abstractNumId w:val="21"/>
  </w:num>
  <w:num w:numId="12" w16cid:durableId="1333099586">
    <w:abstractNumId w:val="8"/>
  </w:num>
  <w:num w:numId="13" w16cid:durableId="426342271">
    <w:abstractNumId w:val="6"/>
  </w:num>
  <w:num w:numId="14" w16cid:durableId="100344624">
    <w:abstractNumId w:val="19"/>
  </w:num>
  <w:num w:numId="15" w16cid:durableId="382172659">
    <w:abstractNumId w:val="7"/>
  </w:num>
  <w:num w:numId="16" w16cid:durableId="1961064841">
    <w:abstractNumId w:val="13"/>
  </w:num>
  <w:num w:numId="17" w16cid:durableId="1640115426">
    <w:abstractNumId w:val="10"/>
  </w:num>
  <w:num w:numId="18" w16cid:durableId="700589448">
    <w:abstractNumId w:val="20"/>
  </w:num>
  <w:num w:numId="19" w16cid:durableId="1438410292">
    <w:abstractNumId w:val="5"/>
  </w:num>
  <w:num w:numId="20" w16cid:durableId="1111319105">
    <w:abstractNumId w:val="12"/>
  </w:num>
  <w:num w:numId="21" w16cid:durableId="1274629103">
    <w:abstractNumId w:val="0"/>
  </w:num>
  <w:num w:numId="22" w16cid:durableId="1979262900">
    <w:abstractNumId w:val="15"/>
  </w:num>
  <w:num w:numId="23" w16cid:durableId="2044013546">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864"/>
    <w:rsid w:val="0000040F"/>
    <w:rsid w:val="0000045C"/>
    <w:rsid w:val="000005DC"/>
    <w:rsid w:val="00002E5B"/>
    <w:rsid w:val="000031A8"/>
    <w:rsid w:val="000031C3"/>
    <w:rsid w:val="00004259"/>
    <w:rsid w:val="00004731"/>
    <w:rsid w:val="000056B6"/>
    <w:rsid w:val="00006263"/>
    <w:rsid w:val="000070A4"/>
    <w:rsid w:val="0000741E"/>
    <w:rsid w:val="00007A58"/>
    <w:rsid w:val="00010174"/>
    <w:rsid w:val="00010B7C"/>
    <w:rsid w:val="000118F2"/>
    <w:rsid w:val="00012873"/>
    <w:rsid w:val="000137A0"/>
    <w:rsid w:val="00014227"/>
    <w:rsid w:val="00014E89"/>
    <w:rsid w:val="00015485"/>
    <w:rsid w:val="0001588B"/>
    <w:rsid w:val="00016438"/>
    <w:rsid w:val="00016A28"/>
    <w:rsid w:val="000206C1"/>
    <w:rsid w:val="00020EDF"/>
    <w:rsid w:val="00022BCE"/>
    <w:rsid w:val="00023FFD"/>
    <w:rsid w:val="000249F2"/>
    <w:rsid w:val="00024D45"/>
    <w:rsid w:val="0002530D"/>
    <w:rsid w:val="000253B4"/>
    <w:rsid w:val="000258B7"/>
    <w:rsid w:val="00030D3D"/>
    <w:rsid w:val="000324E8"/>
    <w:rsid w:val="000331B3"/>
    <w:rsid w:val="000333AC"/>
    <w:rsid w:val="000336CD"/>
    <w:rsid w:val="00035996"/>
    <w:rsid w:val="000367A0"/>
    <w:rsid w:val="00036CCC"/>
    <w:rsid w:val="00040DD2"/>
    <w:rsid w:val="000416C9"/>
    <w:rsid w:val="00042232"/>
    <w:rsid w:val="00042245"/>
    <w:rsid w:val="00042A76"/>
    <w:rsid w:val="00043D31"/>
    <w:rsid w:val="00043D3C"/>
    <w:rsid w:val="0004483F"/>
    <w:rsid w:val="00044BE9"/>
    <w:rsid w:val="000468D7"/>
    <w:rsid w:val="00047236"/>
    <w:rsid w:val="00050E2B"/>
    <w:rsid w:val="00050EFE"/>
    <w:rsid w:val="0005122B"/>
    <w:rsid w:val="000521E8"/>
    <w:rsid w:val="00052ADB"/>
    <w:rsid w:val="000555AC"/>
    <w:rsid w:val="0005616A"/>
    <w:rsid w:val="000565E0"/>
    <w:rsid w:val="00056D4B"/>
    <w:rsid w:val="00057387"/>
    <w:rsid w:val="00057A16"/>
    <w:rsid w:val="00057E85"/>
    <w:rsid w:val="00060878"/>
    <w:rsid w:val="000612F4"/>
    <w:rsid w:val="000613B8"/>
    <w:rsid w:val="00062FF5"/>
    <w:rsid w:val="00063359"/>
    <w:rsid w:val="00064346"/>
    <w:rsid w:val="00065121"/>
    <w:rsid w:val="00065C43"/>
    <w:rsid w:val="000669AD"/>
    <w:rsid w:val="00067C77"/>
    <w:rsid w:val="00070497"/>
    <w:rsid w:val="0007247B"/>
    <w:rsid w:val="00072580"/>
    <w:rsid w:val="0007342E"/>
    <w:rsid w:val="0007348A"/>
    <w:rsid w:val="00073E1C"/>
    <w:rsid w:val="00073E28"/>
    <w:rsid w:val="00075A45"/>
    <w:rsid w:val="00076FCC"/>
    <w:rsid w:val="0007728E"/>
    <w:rsid w:val="0007744E"/>
    <w:rsid w:val="000774A1"/>
    <w:rsid w:val="00077880"/>
    <w:rsid w:val="00077DED"/>
    <w:rsid w:val="000802E9"/>
    <w:rsid w:val="0008089B"/>
    <w:rsid w:val="00080E2D"/>
    <w:rsid w:val="00081F9B"/>
    <w:rsid w:val="000826A6"/>
    <w:rsid w:val="00082990"/>
    <w:rsid w:val="000840B1"/>
    <w:rsid w:val="00084486"/>
    <w:rsid w:val="00084A8E"/>
    <w:rsid w:val="00085BDA"/>
    <w:rsid w:val="000862FB"/>
    <w:rsid w:val="00086EB4"/>
    <w:rsid w:val="00087EC1"/>
    <w:rsid w:val="00087FDF"/>
    <w:rsid w:val="00090780"/>
    <w:rsid w:val="00091B22"/>
    <w:rsid w:val="0009243B"/>
    <w:rsid w:val="00092BDA"/>
    <w:rsid w:val="00093900"/>
    <w:rsid w:val="00093CBA"/>
    <w:rsid w:val="000941D2"/>
    <w:rsid w:val="00094A50"/>
    <w:rsid w:val="00095BF3"/>
    <w:rsid w:val="00095E11"/>
    <w:rsid w:val="0009771D"/>
    <w:rsid w:val="000A1375"/>
    <w:rsid w:val="000A1E5A"/>
    <w:rsid w:val="000A1EF0"/>
    <w:rsid w:val="000A1F2E"/>
    <w:rsid w:val="000A2991"/>
    <w:rsid w:val="000A524B"/>
    <w:rsid w:val="000A58AE"/>
    <w:rsid w:val="000A5D6F"/>
    <w:rsid w:val="000A6459"/>
    <w:rsid w:val="000A7436"/>
    <w:rsid w:val="000A75AC"/>
    <w:rsid w:val="000A77D5"/>
    <w:rsid w:val="000A79EF"/>
    <w:rsid w:val="000A7E22"/>
    <w:rsid w:val="000B1275"/>
    <w:rsid w:val="000B1BF1"/>
    <w:rsid w:val="000B219C"/>
    <w:rsid w:val="000B2B6C"/>
    <w:rsid w:val="000B3158"/>
    <w:rsid w:val="000B4B76"/>
    <w:rsid w:val="000B6F5C"/>
    <w:rsid w:val="000B7086"/>
    <w:rsid w:val="000B7CA0"/>
    <w:rsid w:val="000B7CE0"/>
    <w:rsid w:val="000C2266"/>
    <w:rsid w:val="000C24A3"/>
    <w:rsid w:val="000C4120"/>
    <w:rsid w:val="000C4EEB"/>
    <w:rsid w:val="000C5124"/>
    <w:rsid w:val="000C5439"/>
    <w:rsid w:val="000C604C"/>
    <w:rsid w:val="000C63EB"/>
    <w:rsid w:val="000C6787"/>
    <w:rsid w:val="000C6E09"/>
    <w:rsid w:val="000C76D5"/>
    <w:rsid w:val="000C7DA7"/>
    <w:rsid w:val="000D04EA"/>
    <w:rsid w:val="000D41A0"/>
    <w:rsid w:val="000D41E5"/>
    <w:rsid w:val="000D425B"/>
    <w:rsid w:val="000D5D2A"/>
    <w:rsid w:val="000D6618"/>
    <w:rsid w:val="000D663E"/>
    <w:rsid w:val="000D771A"/>
    <w:rsid w:val="000D7993"/>
    <w:rsid w:val="000E3B04"/>
    <w:rsid w:val="000E424A"/>
    <w:rsid w:val="000E5C0D"/>
    <w:rsid w:val="000E5CC7"/>
    <w:rsid w:val="000E6317"/>
    <w:rsid w:val="000E6FDF"/>
    <w:rsid w:val="000E7823"/>
    <w:rsid w:val="000E7F36"/>
    <w:rsid w:val="000F1903"/>
    <w:rsid w:val="000F1B81"/>
    <w:rsid w:val="000F27AE"/>
    <w:rsid w:val="000F4D1B"/>
    <w:rsid w:val="000F5256"/>
    <w:rsid w:val="000F6564"/>
    <w:rsid w:val="000F6F01"/>
    <w:rsid w:val="000F7C0A"/>
    <w:rsid w:val="000F7F03"/>
    <w:rsid w:val="00100C18"/>
    <w:rsid w:val="001011B9"/>
    <w:rsid w:val="00101813"/>
    <w:rsid w:val="001029CC"/>
    <w:rsid w:val="00103452"/>
    <w:rsid w:val="00103CE4"/>
    <w:rsid w:val="00103D45"/>
    <w:rsid w:val="001070C7"/>
    <w:rsid w:val="00107D8B"/>
    <w:rsid w:val="00107D90"/>
    <w:rsid w:val="0011063C"/>
    <w:rsid w:val="00111DB2"/>
    <w:rsid w:val="00111F7B"/>
    <w:rsid w:val="001124C5"/>
    <w:rsid w:val="001129AE"/>
    <w:rsid w:val="00112B1B"/>
    <w:rsid w:val="0011428E"/>
    <w:rsid w:val="00114799"/>
    <w:rsid w:val="00114BD0"/>
    <w:rsid w:val="001159AD"/>
    <w:rsid w:val="00115D72"/>
    <w:rsid w:val="00116AE2"/>
    <w:rsid w:val="00117190"/>
    <w:rsid w:val="00117395"/>
    <w:rsid w:val="00117C16"/>
    <w:rsid w:val="00117EFF"/>
    <w:rsid w:val="00120231"/>
    <w:rsid w:val="0012052C"/>
    <w:rsid w:val="00120D35"/>
    <w:rsid w:val="00121055"/>
    <w:rsid w:val="001218C1"/>
    <w:rsid w:val="00121F69"/>
    <w:rsid w:val="00124352"/>
    <w:rsid w:val="001246F2"/>
    <w:rsid w:val="001255CE"/>
    <w:rsid w:val="00125CE5"/>
    <w:rsid w:val="0012609A"/>
    <w:rsid w:val="001261CE"/>
    <w:rsid w:val="001300AB"/>
    <w:rsid w:val="00130F80"/>
    <w:rsid w:val="0013113E"/>
    <w:rsid w:val="00131703"/>
    <w:rsid w:val="00131A7C"/>
    <w:rsid w:val="00131C29"/>
    <w:rsid w:val="00131DE4"/>
    <w:rsid w:val="00132470"/>
    <w:rsid w:val="001333BF"/>
    <w:rsid w:val="0013373B"/>
    <w:rsid w:val="00133AD1"/>
    <w:rsid w:val="00133E9D"/>
    <w:rsid w:val="0013449D"/>
    <w:rsid w:val="001353B9"/>
    <w:rsid w:val="001354FD"/>
    <w:rsid w:val="0013564D"/>
    <w:rsid w:val="00135C80"/>
    <w:rsid w:val="00136F0D"/>
    <w:rsid w:val="0013705A"/>
    <w:rsid w:val="00140AEB"/>
    <w:rsid w:val="00141387"/>
    <w:rsid w:val="0014219B"/>
    <w:rsid w:val="0014238C"/>
    <w:rsid w:val="001432AE"/>
    <w:rsid w:val="0014356A"/>
    <w:rsid w:val="0014682F"/>
    <w:rsid w:val="00146F09"/>
    <w:rsid w:val="00147668"/>
    <w:rsid w:val="00147F81"/>
    <w:rsid w:val="00152000"/>
    <w:rsid w:val="00152FB0"/>
    <w:rsid w:val="00153661"/>
    <w:rsid w:val="001541BB"/>
    <w:rsid w:val="001547DE"/>
    <w:rsid w:val="001562C8"/>
    <w:rsid w:val="00156F50"/>
    <w:rsid w:val="00157408"/>
    <w:rsid w:val="00160A98"/>
    <w:rsid w:val="00160B34"/>
    <w:rsid w:val="001611B1"/>
    <w:rsid w:val="0016138A"/>
    <w:rsid w:val="001618DA"/>
    <w:rsid w:val="0016193F"/>
    <w:rsid w:val="00162EDF"/>
    <w:rsid w:val="001638BE"/>
    <w:rsid w:val="0016390E"/>
    <w:rsid w:val="0016425F"/>
    <w:rsid w:val="00164A72"/>
    <w:rsid w:val="00164FA5"/>
    <w:rsid w:val="0016540B"/>
    <w:rsid w:val="001657C0"/>
    <w:rsid w:val="00167291"/>
    <w:rsid w:val="0016737B"/>
    <w:rsid w:val="00167DC7"/>
    <w:rsid w:val="00170EB2"/>
    <w:rsid w:val="00170EE2"/>
    <w:rsid w:val="00171684"/>
    <w:rsid w:val="00171998"/>
    <w:rsid w:val="00173D80"/>
    <w:rsid w:val="00174921"/>
    <w:rsid w:val="00174E19"/>
    <w:rsid w:val="0017565D"/>
    <w:rsid w:val="00175E11"/>
    <w:rsid w:val="00176157"/>
    <w:rsid w:val="00176604"/>
    <w:rsid w:val="001808FD"/>
    <w:rsid w:val="001811E9"/>
    <w:rsid w:val="00181A18"/>
    <w:rsid w:val="001825A9"/>
    <w:rsid w:val="00183028"/>
    <w:rsid w:val="00183517"/>
    <w:rsid w:val="00183AE0"/>
    <w:rsid w:val="00183F89"/>
    <w:rsid w:val="00185057"/>
    <w:rsid w:val="001869FA"/>
    <w:rsid w:val="00190AA5"/>
    <w:rsid w:val="001910E2"/>
    <w:rsid w:val="00191604"/>
    <w:rsid w:val="00191692"/>
    <w:rsid w:val="00191B2D"/>
    <w:rsid w:val="00192674"/>
    <w:rsid w:val="0019395F"/>
    <w:rsid w:val="0019467B"/>
    <w:rsid w:val="00194C13"/>
    <w:rsid w:val="001976DE"/>
    <w:rsid w:val="00197B46"/>
    <w:rsid w:val="00197F4E"/>
    <w:rsid w:val="001A0930"/>
    <w:rsid w:val="001A0EE3"/>
    <w:rsid w:val="001A1065"/>
    <w:rsid w:val="001A53E3"/>
    <w:rsid w:val="001A5456"/>
    <w:rsid w:val="001A6E28"/>
    <w:rsid w:val="001A6F49"/>
    <w:rsid w:val="001A7A37"/>
    <w:rsid w:val="001A7BE8"/>
    <w:rsid w:val="001B1113"/>
    <w:rsid w:val="001B247A"/>
    <w:rsid w:val="001B2933"/>
    <w:rsid w:val="001B51D1"/>
    <w:rsid w:val="001B5A69"/>
    <w:rsid w:val="001B5FCB"/>
    <w:rsid w:val="001B7293"/>
    <w:rsid w:val="001B7AE2"/>
    <w:rsid w:val="001C032B"/>
    <w:rsid w:val="001C095D"/>
    <w:rsid w:val="001C0DD4"/>
    <w:rsid w:val="001C0EE0"/>
    <w:rsid w:val="001C258B"/>
    <w:rsid w:val="001C2DD7"/>
    <w:rsid w:val="001C3437"/>
    <w:rsid w:val="001C3599"/>
    <w:rsid w:val="001C3622"/>
    <w:rsid w:val="001C3948"/>
    <w:rsid w:val="001C3D78"/>
    <w:rsid w:val="001C56B9"/>
    <w:rsid w:val="001C59D5"/>
    <w:rsid w:val="001C625C"/>
    <w:rsid w:val="001C64EE"/>
    <w:rsid w:val="001C68C2"/>
    <w:rsid w:val="001C758B"/>
    <w:rsid w:val="001D241A"/>
    <w:rsid w:val="001D2B14"/>
    <w:rsid w:val="001D3516"/>
    <w:rsid w:val="001D37FA"/>
    <w:rsid w:val="001D412F"/>
    <w:rsid w:val="001D4945"/>
    <w:rsid w:val="001D4E0D"/>
    <w:rsid w:val="001D5B1D"/>
    <w:rsid w:val="001D5C55"/>
    <w:rsid w:val="001D6B69"/>
    <w:rsid w:val="001E0414"/>
    <w:rsid w:val="001E07F1"/>
    <w:rsid w:val="001E1071"/>
    <w:rsid w:val="001E1785"/>
    <w:rsid w:val="001E1C56"/>
    <w:rsid w:val="001E33D5"/>
    <w:rsid w:val="001E3F54"/>
    <w:rsid w:val="001E45C2"/>
    <w:rsid w:val="001E565E"/>
    <w:rsid w:val="001E714A"/>
    <w:rsid w:val="001E76BE"/>
    <w:rsid w:val="001F13DE"/>
    <w:rsid w:val="001F25EA"/>
    <w:rsid w:val="001F2CDA"/>
    <w:rsid w:val="001F37F0"/>
    <w:rsid w:val="001F503C"/>
    <w:rsid w:val="001F584E"/>
    <w:rsid w:val="001F5978"/>
    <w:rsid w:val="001F612F"/>
    <w:rsid w:val="001F68F2"/>
    <w:rsid w:val="001F7866"/>
    <w:rsid w:val="00200033"/>
    <w:rsid w:val="0020015C"/>
    <w:rsid w:val="002003C6"/>
    <w:rsid w:val="00200A59"/>
    <w:rsid w:val="002017ED"/>
    <w:rsid w:val="00201BFF"/>
    <w:rsid w:val="00201D60"/>
    <w:rsid w:val="002020A0"/>
    <w:rsid w:val="002033B7"/>
    <w:rsid w:val="002035C0"/>
    <w:rsid w:val="00203D8F"/>
    <w:rsid w:val="0020442C"/>
    <w:rsid w:val="002054DA"/>
    <w:rsid w:val="00205A04"/>
    <w:rsid w:val="00205C93"/>
    <w:rsid w:val="00205E96"/>
    <w:rsid w:val="00206D2B"/>
    <w:rsid w:val="00206D78"/>
    <w:rsid w:val="00206F2E"/>
    <w:rsid w:val="002076FB"/>
    <w:rsid w:val="002109CE"/>
    <w:rsid w:val="00210A4F"/>
    <w:rsid w:val="002110AC"/>
    <w:rsid w:val="002122D0"/>
    <w:rsid w:val="00212F02"/>
    <w:rsid w:val="00213C79"/>
    <w:rsid w:val="00214C42"/>
    <w:rsid w:val="00215193"/>
    <w:rsid w:val="00215D18"/>
    <w:rsid w:val="00216C2A"/>
    <w:rsid w:val="00216E45"/>
    <w:rsid w:val="0021738D"/>
    <w:rsid w:val="00217732"/>
    <w:rsid w:val="0021784A"/>
    <w:rsid w:val="002178B5"/>
    <w:rsid w:val="002202DE"/>
    <w:rsid w:val="0022158E"/>
    <w:rsid w:val="0022261F"/>
    <w:rsid w:val="00222F65"/>
    <w:rsid w:val="00223C28"/>
    <w:rsid w:val="00224E04"/>
    <w:rsid w:val="0022595B"/>
    <w:rsid w:val="00226755"/>
    <w:rsid w:val="00226F0D"/>
    <w:rsid w:val="00231E08"/>
    <w:rsid w:val="00232C28"/>
    <w:rsid w:val="00233703"/>
    <w:rsid w:val="002339A5"/>
    <w:rsid w:val="00234C7C"/>
    <w:rsid w:val="002361A1"/>
    <w:rsid w:val="002362E4"/>
    <w:rsid w:val="00236942"/>
    <w:rsid w:val="002377DC"/>
    <w:rsid w:val="00240BF8"/>
    <w:rsid w:val="00240CEA"/>
    <w:rsid w:val="00240E66"/>
    <w:rsid w:val="00241E09"/>
    <w:rsid w:val="0024348F"/>
    <w:rsid w:val="0024479B"/>
    <w:rsid w:val="00244D65"/>
    <w:rsid w:val="0024645F"/>
    <w:rsid w:val="002464C2"/>
    <w:rsid w:val="00246730"/>
    <w:rsid w:val="002469BB"/>
    <w:rsid w:val="00246A35"/>
    <w:rsid w:val="00246D1F"/>
    <w:rsid w:val="00247209"/>
    <w:rsid w:val="002473DA"/>
    <w:rsid w:val="002476A4"/>
    <w:rsid w:val="00247E35"/>
    <w:rsid w:val="00250F84"/>
    <w:rsid w:val="0025147B"/>
    <w:rsid w:val="002522C7"/>
    <w:rsid w:val="00253119"/>
    <w:rsid w:val="00253612"/>
    <w:rsid w:val="00254681"/>
    <w:rsid w:val="00255218"/>
    <w:rsid w:val="00255556"/>
    <w:rsid w:val="00256090"/>
    <w:rsid w:val="00256502"/>
    <w:rsid w:val="002566C4"/>
    <w:rsid w:val="002573C3"/>
    <w:rsid w:val="00257C24"/>
    <w:rsid w:val="002601D6"/>
    <w:rsid w:val="00260718"/>
    <w:rsid w:val="0026090C"/>
    <w:rsid w:val="002609CA"/>
    <w:rsid w:val="00261E79"/>
    <w:rsid w:val="00262007"/>
    <w:rsid w:val="00263B45"/>
    <w:rsid w:val="00263E05"/>
    <w:rsid w:val="00264869"/>
    <w:rsid w:val="0026517D"/>
    <w:rsid w:val="00265AA4"/>
    <w:rsid w:val="00266C52"/>
    <w:rsid w:val="00266C86"/>
    <w:rsid w:val="00270565"/>
    <w:rsid w:val="0027198A"/>
    <w:rsid w:val="00271C7C"/>
    <w:rsid w:val="002724EE"/>
    <w:rsid w:val="00273111"/>
    <w:rsid w:val="00275339"/>
    <w:rsid w:val="00275873"/>
    <w:rsid w:val="002763F8"/>
    <w:rsid w:val="00276445"/>
    <w:rsid w:val="00276AF9"/>
    <w:rsid w:val="00276C48"/>
    <w:rsid w:val="002772CC"/>
    <w:rsid w:val="00277735"/>
    <w:rsid w:val="002812ED"/>
    <w:rsid w:val="002813A6"/>
    <w:rsid w:val="00281AC3"/>
    <w:rsid w:val="00281FBE"/>
    <w:rsid w:val="0028216E"/>
    <w:rsid w:val="00282262"/>
    <w:rsid w:val="00283CB8"/>
    <w:rsid w:val="00287426"/>
    <w:rsid w:val="0028778C"/>
    <w:rsid w:val="002902F1"/>
    <w:rsid w:val="00290328"/>
    <w:rsid w:val="0029053C"/>
    <w:rsid w:val="002909CE"/>
    <w:rsid w:val="00291CFB"/>
    <w:rsid w:val="002920A9"/>
    <w:rsid w:val="002929F0"/>
    <w:rsid w:val="00293CBF"/>
    <w:rsid w:val="002940E7"/>
    <w:rsid w:val="0029514B"/>
    <w:rsid w:val="0029548C"/>
    <w:rsid w:val="002956AE"/>
    <w:rsid w:val="002A1701"/>
    <w:rsid w:val="002A1D81"/>
    <w:rsid w:val="002A1E55"/>
    <w:rsid w:val="002A2193"/>
    <w:rsid w:val="002A461C"/>
    <w:rsid w:val="002A484D"/>
    <w:rsid w:val="002A4E1B"/>
    <w:rsid w:val="002A4F94"/>
    <w:rsid w:val="002A5139"/>
    <w:rsid w:val="002A55ED"/>
    <w:rsid w:val="002A567A"/>
    <w:rsid w:val="002A58FB"/>
    <w:rsid w:val="002A6430"/>
    <w:rsid w:val="002A6C9E"/>
    <w:rsid w:val="002B0446"/>
    <w:rsid w:val="002B04B1"/>
    <w:rsid w:val="002B1385"/>
    <w:rsid w:val="002B2520"/>
    <w:rsid w:val="002B2DAB"/>
    <w:rsid w:val="002B3E3A"/>
    <w:rsid w:val="002B3FF1"/>
    <w:rsid w:val="002B6274"/>
    <w:rsid w:val="002B7C2F"/>
    <w:rsid w:val="002C0230"/>
    <w:rsid w:val="002C0244"/>
    <w:rsid w:val="002C1053"/>
    <w:rsid w:val="002C11E9"/>
    <w:rsid w:val="002C1983"/>
    <w:rsid w:val="002C2771"/>
    <w:rsid w:val="002C2FA7"/>
    <w:rsid w:val="002C357F"/>
    <w:rsid w:val="002C3AAC"/>
    <w:rsid w:val="002C3C71"/>
    <w:rsid w:val="002C3FBF"/>
    <w:rsid w:val="002C4240"/>
    <w:rsid w:val="002C4768"/>
    <w:rsid w:val="002C4E6C"/>
    <w:rsid w:val="002C5063"/>
    <w:rsid w:val="002C55AF"/>
    <w:rsid w:val="002C5908"/>
    <w:rsid w:val="002C6624"/>
    <w:rsid w:val="002C718F"/>
    <w:rsid w:val="002C7A46"/>
    <w:rsid w:val="002C7D98"/>
    <w:rsid w:val="002D05C9"/>
    <w:rsid w:val="002D1F60"/>
    <w:rsid w:val="002D276F"/>
    <w:rsid w:val="002D3F03"/>
    <w:rsid w:val="002D4FED"/>
    <w:rsid w:val="002D51DF"/>
    <w:rsid w:val="002D52C4"/>
    <w:rsid w:val="002D6DCE"/>
    <w:rsid w:val="002E0058"/>
    <w:rsid w:val="002E04C2"/>
    <w:rsid w:val="002E0A3B"/>
    <w:rsid w:val="002E0A49"/>
    <w:rsid w:val="002E0ADE"/>
    <w:rsid w:val="002E0BE6"/>
    <w:rsid w:val="002E21A8"/>
    <w:rsid w:val="002E2286"/>
    <w:rsid w:val="002E27A0"/>
    <w:rsid w:val="002E2F62"/>
    <w:rsid w:val="002E3496"/>
    <w:rsid w:val="002E3BFD"/>
    <w:rsid w:val="002E3C3A"/>
    <w:rsid w:val="002E44E7"/>
    <w:rsid w:val="002E4CEC"/>
    <w:rsid w:val="002E54A6"/>
    <w:rsid w:val="002E5815"/>
    <w:rsid w:val="002E792B"/>
    <w:rsid w:val="002F1654"/>
    <w:rsid w:val="002F1EEA"/>
    <w:rsid w:val="002F251C"/>
    <w:rsid w:val="002F31F5"/>
    <w:rsid w:val="002F4966"/>
    <w:rsid w:val="002F51AF"/>
    <w:rsid w:val="002F632E"/>
    <w:rsid w:val="002F69D6"/>
    <w:rsid w:val="002F74B1"/>
    <w:rsid w:val="002F7DCD"/>
    <w:rsid w:val="003002E7"/>
    <w:rsid w:val="003009B4"/>
    <w:rsid w:val="003010AA"/>
    <w:rsid w:val="00302097"/>
    <w:rsid w:val="003020F5"/>
    <w:rsid w:val="003027A3"/>
    <w:rsid w:val="00302E89"/>
    <w:rsid w:val="00302EDA"/>
    <w:rsid w:val="003033FB"/>
    <w:rsid w:val="003050AD"/>
    <w:rsid w:val="003055CA"/>
    <w:rsid w:val="003072A7"/>
    <w:rsid w:val="00307302"/>
    <w:rsid w:val="00307618"/>
    <w:rsid w:val="00310422"/>
    <w:rsid w:val="00311B8E"/>
    <w:rsid w:val="00313D06"/>
    <w:rsid w:val="00314A6B"/>
    <w:rsid w:val="00314C25"/>
    <w:rsid w:val="00314DA8"/>
    <w:rsid w:val="0031709E"/>
    <w:rsid w:val="003170B0"/>
    <w:rsid w:val="00320512"/>
    <w:rsid w:val="00321997"/>
    <w:rsid w:val="0032261F"/>
    <w:rsid w:val="003238F5"/>
    <w:rsid w:val="0032488C"/>
    <w:rsid w:val="00325260"/>
    <w:rsid w:val="003253BD"/>
    <w:rsid w:val="00326FB3"/>
    <w:rsid w:val="00327C56"/>
    <w:rsid w:val="00330462"/>
    <w:rsid w:val="00331061"/>
    <w:rsid w:val="003310E3"/>
    <w:rsid w:val="00331422"/>
    <w:rsid w:val="00332E6B"/>
    <w:rsid w:val="00333292"/>
    <w:rsid w:val="003334E7"/>
    <w:rsid w:val="00333B05"/>
    <w:rsid w:val="00333E82"/>
    <w:rsid w:val="00334F22"/>
    <w:rsid w:val="00335719"/>
    <w:rsid w:val="00335B99"/>
    <w:rsid w:val="00335DC6"/>
    <w:rsid w:val="00336160"/>
    <w:rsid w:val="003403CF"/>
    <w:rsid w:val="00340673"/>
    <w:rsid w:val="00340DD0"/>
    <w:rsid w:val="00341A77"/>
    <w:rsid w:val="00341D3E"/>
    <w:rsid w:val="00341E81"/>
    <w:rsid w:val="00341EBE"/>
    <w:rsid w:val="003436A1"/>
    <w:rsid w:val="0034378A"/>
    <w:rsid w:val="003437A7"/>
    <w:rsid w:val="00343AEE"/>
    <w:rsid w:val="00344E76"/>
    <w:rsid w:val="00345B0D"/>
    <w:rsid w:val="0034772F"/>
    <w:rsid w:val="00347849"/>
    <w:rsid w:val="00350DE6"/>
    <w:rsid w:val="00351176"/>
    <w:rsid w:val="00351DDA"/>
    <w:rsid w:val="00353366"/>
    <w:rsid w:val="003534E7"/>
    <w:rsid w:val="003541EF"/>
    <w:rsid w:val="00354D0C"/>
    <w:rsid w:val="00356DD9"/>
    <w:rsid w:val="003579CC"/>
    <w:rsid w:val="00360A19"/>
    <w:rsid w:val="00360AC5"/>
    <w:rsid w:val="00361974"/>
    <w:rsid w:val="003620E7"/>
    <w:rsid w:val="00364B9B"/>
    <w:rsid w:val="00364E87"/>
    <w:rsid w:val="003652AF"/>
    <w:rsid w:val="003663AB"/>
    <w:rsid w:val="0036753B"/>
    <w:rsid w:val="00367ADC"/>
    <w:rsid w:val="00367E52"/>
    <w:rsid w:val="00370E35"/>
    <w:rsid w:val="0037109D"/>
    <w:rsid w:val="00373B07"/>
    <w:rsid w:val="0037426E"/>
    <w:rsid w:val="00374441"/>
    <w:rsid w:val="0037454A"/>
    <w:rsid w:val="00374DD5"/>
    <w:rsid w:val="003750F7"/>
    <w:rsid w:val="003761FF"/>
    <w:rsid w:val="003766A9"/>
    <w:rsid w:val="00376F17"/>
    <w:rsid w:val="00381C4F"/>
    <w:rsid w:val="00381CA2"/>
    <w:rsid w:val="003825CB"/>
    <w:rsid w:val="00382D45"/>
    <w:rsid w:val="00383378"/>
    <w:rsid w:val="00383884"/>
    <w:rsid w:val="003841B1"/>
    <w:rsid w:val="003863D1"/>
    <w:rsid w:val="00386E22"/>
    <w:rsid w:val="00390B50"/>
    <w:rsid w:val="00390E3E"/>
    <w:rsid w:val="0039118F"/>
    <w:rsid w:val="00391AEB"/>
    <w:rsid w:val="00392088"/>
    <w:rsid w:val="00392416"/>
    <w:rsid w:val="003933DC"/>
    <w:rsid w:val="0039343B"/>
    <w:rsid w:val="00393641"/>
    <w:rsid w:val="003937F2"/>
    <w:rsid w:val="0039439A"/>
    <w:rsid w:val="00394600"/>
    <w:rsid w:val="00395F88"/>
    <w:rsid w:val="00396013"/>
    <w:rsid w:val="0039664A"/>
    <w:rsid w:val="003967A4"/>
    <w:rsid w:val="00396829"/>
    <w:rsid w:val="00396EE4"/>
    <w:rsid w:val="003979E2"/>
    <w:rsid w:val="003A02C2"/>
    <w:rsid w:val="003A04D4"/>
    <w:rsid w:val="003A0A07"/>
    <w:rsid w:val="003A1A0B"/>
    <w:rsid w:val="003A20C7"/>
    <w:rsid w:val="003A2E08"/>
    <w:rsid w:val="003A5F2A"/>
    <w:rsid w:val="003A6CBB"/>
    <w:rsid w:val="003A74F2"/>
    <w:rsid w:val="003A7D6F"/>
    <w:rsid w:val="003B1A0E"/>
    <w:rsid w:val="003B2998"/>
    <w:rsid w:val="003B2AD6"/>
    <w:rsid w:val="003B2C5E"/>
    <w:rsid w:val="003B31DD"/>
    <w:rsid w:val="003B5868"/>
    <w:rsid w:val="003B5A21"/>
    <w:rsid w:val="003B6C9C"/>
    <w:rsid w:val="003B6D5C"/>
    <w:rsid w:val="003B726C"/>
    <w:rsid w:val="003B7BAB"/>
    <w:rsid w:val="003B7F5C"/>
    <w:rsid w:val="003C0489"/>
    <w:rsid w:val="003C10DD"/>
    <w:rsid w:val="003C1429"/>
    <w:rsid w:val="003C22D4"/>
    <w:rsid w:val="003C2B34"/>
    <w:rsid w:val="003C2FC3"/>
    <w:rsid w:val="003C565C"/>
    <w:rsid w:val="003C6847"/>
    <w:rsid w:val="003C6CE8"/>
    <w:rsid w:val="003C79C7"/>
    <w:rsid w:val="003C7DE3"/>
    <w:rsid w:val="003D026B"/>
    <w:rsid w:val="003D0758"/>
    <w:rsid w:val="003D16BF"/>
    <w:rsid w:val="003D175A"/>
    <w:rsid w:val="003D28D1"/>
    <w:rsid w:val="003D2F39"/>
    <w:rsid w:val="003D5EB3"/>
    <w:rsid w:val="003D63B7"/>
    <w:rsid w:val="003D6652"/>
    <w:rsid w:val="003D7906"/>
    <w:rsid w:val="003E08A5"/>
    <w:rsid w:val="003E10C4"/>
    <w:rsid w:val="003E2074"/>
    <w:rsid w:val="003E3736"/>
    <w:rsid w:val="003E3869"/>
    <w:rsid w:val="003E3AB3"/>
    <w:rsid w:val="003E3D6E"/>
    <w:rsid w:val="003E4DE4"/>
    <w:rsid w:val="003E4F10"/>
    <w:rsid w:val="003E5016"/>
    <w:rsid w:val="003E555A"/>
    <w:rsid w:val="003E652E"/>
    <w:rsid w:val="003E7586"/>
    <w:rsid w:val="003E7C71"/>
    <w:rsid w:val="003F0A2A"/>
    <w:rsid w:val="003F10CD"/>
    <w:rsid w:val="003F11D7"/>
    <w:rsid w:val="003F1623"/>
    <w:rsid w:val="003F184D"/>
    <w:rsid w:val="003F1AEE"/>
    <w:rsid w:val="003F36A5"/>
    <w:rsid w:val="003F3747"/>
    <w:rsid w:val="003F3913"/>
    <w:rsid w:val="003F3E1F"/>
    <w:rsid w:val="003F4D11"/>
    <w:rsid w:val="003F799C"/>
    <w:rsid w:val="003F7AAD"/>
    <w:rsid w:val="004005B3"/>
    <w:rsid w:val="00401054"/>
    <w:rsid w:val="00401DED"/>
    <w:rsid w:val="00402B32"/>
    <w:rsid w:val="00402D23"/>
    <w:rsid w:val="00403BE8"/>
    <w:rsid w:val="00406404"/>
    <w:rsid w:val="00407172"/>
    <w:rsid w:val="00407956"/>
    <w:rsid w:val="00407E91"/>
    <w:rsid w:val="004108A8"/>
    <w:rsid w:val="0041092F"/>
    <w:rsid w:val="00411A4D"/>
    <w:rsid w:val="0041221B"/>
    <w:rsid w:val="004127F0"/>
    <w:rsid w:val="00413796"/>
    <w:rsid w:val="004143FB"/>
    <w:rsid w:val="004154B0"/>
    <w:rsid w:val="004161EC"/>
    <w:rsid w:val="0041636B"/>
    <w:rsid w:val="004166A1"/>
    <w:rsid w:val="00417CB6"/>
    <w:rsid w:val="00417F52"/>
    <w:rsid w:val="004202C6"/>
    <w:rsid w:val="00420933"/>
    <w:rsid w:val="0042132D"/>
    <w:rsid w:val="00422362"/>
    <w:rsid w:val="00422902"/>
    <w:rsid w:val="00423518"/>
    <w:rsid w:val="0042548A"/>
    <w:rsid w:val="00426100"/>
    <w:rsid w:val="00427E9E"/>
    <w:rsid w:val="004307FB"/>
    <w:rsid w:val="00430DC3"/>
    <w:rsid w:val="00430F2C"/>
    <w:rsid w:val="00431494"/>
    <w:rsid w:val="0043287D"/>
    <w:rsid w:val="00433639"/>
    <w:rsid w:val="00433E54"/>
    <w:rsid w:val="00434399"/>
    <w:rsid w:val="004353C0"/>
    <w:rsid w:val="004369AA"/>
    <w:rsid w:val="00440F44"/>
    <w:rsid w:val="00441CEF"/>
    <w:rsid w:val="004433FE"/>
    <w:rsid w:val="00443413"/>
    <w:rsid w:val="0044419A"/>
    <w:rsid w:val="004442F9"/>
    <w:rsid w:val="00444979"/>
    <w:rsid w:val="00444D8B"/>
    <w:rsid w:val="00445CDD"/>
    <w:rsid w:val="00445D27"/>
    <w:rsid w:val="00450362"/>
    <w:rsid w:val="00450873"/>
    <w:rsid w:val="004525A2"/>
    <w:rsid w:val="004536F3"/>
    <w:rsid w:val="004539AF"/>
    <w:rsid w:val="004540C2"/>
    <w:rsid w:val="00454FC8"/>
    <w:rsid w:val="00455A17"/>
    <w:rsid w:val="00455A9D"/>
    <w:rsid w:val="00455F33"/>
    <w:rsid w:val="004562B0"/>
    <w:rsid w:val="00460168"/>
    <w:rsid w:val="00460D52"/>
    <w:rsid w:val="00461E33"/>
    <w:rsid w:val="00462386"/>
    <w:rsid w:val="004625C0"/>
    <w:rsid w:val="004646FE"/>
    <w:rsid w:val="0046529F"/>
    <w:rsid w:val="0046667B"/>
    <w:rsid w:val="00467634"/>
    <w:rsid w:val="00467C7A"/>
    <w:rsid w:val="00470556"/>
    <w:rsid w:val="00470D05"/>
    <w:rsid w:val="00470D09"/>
    <w:rsid w:val="0047114D"/>
    <w:rsid w:val="00471880"/>
    <w:rsid w:val="00474439"/>
    <w:rsid w:val="00474884"/>
    <w:rsid w:val="00475BBC"/>
    <w:rsid w:val="004768A3"/>
    <w:rsid w:val="00480FF2"/>
    <w:rsid w:val="004818CA"/>
    <w:rsid w:val="0048295C"/>
    <w:rsid w:val="00482EAD"/>
    <w:rsid w:val="004838A3"/>
    <w:rsid w:val="00483BEB"/>
    <w:rsid w:val="00483CBC"/>
    <w:rsid w:val="00483EE6"/>
    <w:rsid w:val="004840A2"/>
    <w:rsid w:val="00484FAC"/>
    <w:rsid w:val="00485653"/>
    <w:rsid w:val="004867BD"/>
    <w:rsid w:val="004869EC"/>
    <w:rsid w:val="004902C5"/>
    <w:rsid w:val="0049064E"/>
    <w:rsid w:val="00491C79"/>
    <w:rsid w:val="00493BC4"/>
    <w:rsid w:val="00493DFF"/>
    <w:rsid w:val="00495CB3"/>
    <w:rsid w:val="00495FC1"/>
    <w:rsid w:val="004A12DD"/>
    <w:rsid w:val="004A130E"/>
    <w:rsid w:val="004A2150"/>
    <w:rsid w:val="004A2C18"/>
    <w:rsid w:val="004A3EE5"/>
    <w:rsid w:val="004A4902"/>
    <w:rsid w:val="004A4EDC"/>
    <w:rsid w:val="004A63B4"/>
    <w:rsid w:val="004B0BE9"/>
    <w:rsid w:val="004B0BF1"/>
    <w:rsid w:val="004B1870"/>
    <w:rsid w:val="004B2D25"/>
    <w:rsid w:val="004B2EDB"/>
    <w:rsid w:val="004B37DA"/>
    <w:rsid w:val="004B3997"/>
    <w:rsid w:val="004B39B1"/>
    <w:rsid w:val="004B40F0"/>
    <w:rsid w:val="004B46DE"/>
    <w:rsid w:val="004B5619"/>
    <w:rsid w:val="004B56EA"/>
    <w:rsid w:val="004B6D0A"/>
    <w:rsid w:val="004B7627"/>
    <w:rsid w:val="004B7A6E"/>
    <w:rsid w:val="004C038D"/>
    <w:rsid w:val="004C0F2F"/>
    <w:rsid w:val="004C1CF8"/>
    <w:rsid w:val="004C22AE"/>
    <w:rsid w:val="004C2B20"/>
    <w:rsid w:val="004C2FA2"/>
    <w:rsid w:val="004C42E7"/>
    <w:rsid w:val="004C5168"/>
    <w:rsid w:val="004C56B8"/>
    <w:rsid w:val="004C6ABD"/>
    <w:rsid w:val="004C6BB1"/>
    <w:rsid w:val="004C758B"/>
    <w:rsid w:val="004C7A46"/>
    <w:rsid w:val="004C7CF5"/>
    <w:rsid w:val="004D0484"/>
    <w:rsid w:val="004D0D61"/>
    <w:rsid w:val="004D2067"/>
    <w:rsid w:val="004D293C"/>
    <w:rsid w:val="004D38D2"/>
    <w:rsid w:val="004D42B8"/>
    <w:rsid w:val="004D4C28"/>
    <w:rsid w:val="004D55C8"/>
    <w:rsid w:val="004D710D"/>
    <w:rsid w:val="004D71F9"/>
    <w:rsid w:val="004D7C70"/>
    <w:rsid w:val="004D7F3C"/>
    <w:rsid w:val="004E0C27"/>
    <w:rsid w:val="004E1F58"/>
    <w:rsid w:val="004E2F5F"/>
    <w:rsid w:val="004E37D4"/>
    <w:rsid w:val="004E3A9A"/>
    <w:rsid w:val="004E3EF4"/>
    <w:rsid w:val="004E4EB2"/>
    <w:rsid w:val="004E4F62"/>
    <w:rsid w:val="004E5825"/>
    <w:rsid w:val="004E58DC"/>
    <w:rsid w:val="004E5C75"/>
    <w:rsid w:val="004E60A5"/>
    <w:rsid w:val="004E6719"/>
    <w:rsid w:val="004E7A05"/>
    <w:rsid w:val="004E7F13"/>
    <w:rsid w:val="004F02BB"/>
    <w:rsid w:val="004F04C2"/>
    <w:rsid w:val="004F26DF"/>
    <w:rsid w:val="004F28ED"/>
    <w:rsid w:val="004F2B5D"/>
    <w:rsid w:val="004F3673"/>
    <w:rsid w:val="004F3BA9"/>
    <w:rsid w:val="004F3EFF"/>
    <w:rsid w:val="004F4C5A"/>
    <w:rsid w:val="004F5990"/>
    <w:rsid w:val="004F5BF9"/>
    <w:rsid w:val="004F672B"/>
    <w:rsid w:val="004F6C88"/>
    <w:rsid w:val="004F7E8A"/>
    <w:rsid w:val="00500B85"/>
    <w:rsid w:val="00501FF4"/>
    <w:rsid w:val="00502562"/>
    <w:rsid w:val="005033F0"/>
    <w:rsid w:val="0050406A"/>
    <w:rsid w:val="00505599"/>
    <w:rsid w:val="00505608"/>
    <w:rsid w:val="00506074"/>
    <w:rsid w:val="00506726"/>
    <w:rsid w:val="0050726D"/>
    <w:rsid w:val="00507377"/>
    <w:rsid w:val="00507994"/>
    <w:rsid w:val="00510387"/>
    <w:rsid w:val="005112B9"/>
    <w:rsid w:val="00512D45"/>
    <w:rsid w:val="0051345F"/>
    <w:rsid w:val="005136B0"/>
    <w:rsid w:val="0051436C"/>
    <w:rsid w:val="00515EA6"/>
    <w:rsid w:val="00516B17"/>
    <w:rsid w:val="00517D8B"/>
    <w:rsid w:val="00517F21"/>
    <w:rsid w:val="00520038"/>
    <w:rsid w:val="005211E6"/>
    <w:rsid w:val="00521E7D"/>
    <w:rsid w:val="00524321"/>
    <w:rsid w:val="00524DEE"/>
    <w:rsid w:val="0052522D"/>
    <w:rsid w:val="005257A1"/>
    <w:rsid w:val="0052621B"/>
    <w:rsid w:val="005263A9"/>
    <w:rsid w:val="005266B1"/>
    <w:rsid w:val="00527366"/>
    <w:rsid w:val="0052791B"/>
    <w:rsid w:val="00527931"/>
    <w:rsid w:val="00530353"/>
    <w:rsid w:val="00530DF3"/>
    <w:rsid w:val="005316BB"/>
    <w:rsid w:val="00532068"/>
    <w:rsid w:val="00532DBA"/>
    <w:rsid w:val="00533683"/>
    <w:rsid w:val="00533CC3"/>
    <w:rsid w:val="00535ADD"/>
    <w:rsid w:val="00536033"/>
    <w:rsid w:val="005375C1"/>
    <w:rsid w:val="005401AB"/>
    <w:rsid w:val="00540942"/>
    <w:rsid w:val="00540F55"/>
    <w:rsid w:val="005416C7"/>
    <w:rsid w:val="00543BF9"/>
    <w:rsid w:val="00543E39"/>
    <w:rsid w:val="005442FA"/>
    <w:rsid w:val="005465E2"/>
    <w:rsid w:val="00546B02"/>
    <w:rsid w:val="00546CB0"/>
    <w:rsid w:val="00551546"/>
    <w:rsid w:val="0055162E"/>
    <w:rsid w:val="00552834"/>
    <w:rsid w:val="005530C7"/>
    <w:rsid w:val="00553158"/>
    <w:rsid w:val="00553FF9"/>
    <w:rsid w:val="00554B30"/>
    <w:rsid w:val="00555D45"/>
    <w:rsid w:val="005572DB"/>
    <w:rsid w:val="00557603"/>
    <w:rsid w:val="00557DED"/>
    <w:rsid w:val="00560D10"/>
    <w:rsid w:val="00561B69"/>
    <w:rsid w:val="005626BE"/>
    <w:rsid w:val="00563C12"/>
    <w:rsid w:val="00563CAA"/>
    <w:rsid w:val="00563CCE"/>
    <w:rsid w:val="00565247"/>
    <w:rsid w:val="005653A8"/>
    <w:rsid w:val="005657F8"/>
    <w:rsid w:val="005675D2"/>
    <w:rsid w:val="00567FEC"/>
    <w:rsid w:val="00570F1F"/>
    <w:rsid w:val="00571FE1"/>
    <w:rsid w:val="00572C87"/>
    <w:rsid w:val="005742C7"/>
    <w:rsid w:val="005746BD"/>
    <w:rsid w:val="00574A9F"/>
    <w:rsid w:val="00574C52"/>
    <w:rsid w:val="00575241"/>
    <w:rsid w:val="005773BD"/>
    <w:rsid w:val="005809BE"/>
    <w:rsid w:val="00580D7C"/>
    <w:rsid w:val="005814D4"/>
    <w:rsid w:val="00584699"/>
    <w:rsid w:val="005848DE"/>
    <w:rsid w:val="00584974"/>
    <w:rsid w:val="00584C40"/>
    <w:rsid w:val="00584F3D"/>
    <w:rsid w:val="00585484"/>
    <w:rsid w:val="00585E4C"/>
    <w:rsid w:val="00586729"/>
    <w:rsid w:val="005876B7"/>
    <w:rsid w:val="00587726"/>
    <w:rsid w:val="00587EB9"/>
    <w:rsid w:val="0059063D"/>
    <w:rsid w:val="00590DA8"/>
    <w:rsid w:val="005915BA"/>
    <w:rsid w:val="00591803"/>
    <w:rsid w:val="00591F22"/>
    <w:rsid w:val="0059204A"/>
    <w:rsid w:val="0059205C"/>
    <w:rsid w:val="00592289"/>
    <w:rsid w:val="0059297F"/>
    <w:rsid w:val="0059307F"/>
    <w:rsid w:val="005955A8"/>
    <w:rsid w:val="00595649"/>
    <w:rsid w:val="00595651"/>
    <w:rsid w:val="00595DF2"/>
    <w:rsid w:val="00595E82"/>
    <w:rsid w:val="005968D0"/>
    <w:rsid w:val="005970CF"/>
    <w:rsid w:val="005976DD"/>
    <w:rsid w:val="00597768"/>
    <w:rsid w:val="005A0035"/>
    <w:rsid w:val="005A0391"/>
    <w:rsid w:val="005A06DC"/>
    <w:rsid w:val="005A1156"/>
    <w:rsid w:val="005A1B37"/>
    <w:rsid w:val="005A1D24"/>
    <w:rsid w:val="005A1E13"/>
    <w:rsid w:val="005A25C2"/>
    <w:rsid w:val="005A34B0"/>
    <w:rsid w:val="005A3821"/>
    <w:rsid w:val="005A446B"/>
    <w:rsid w:val="005A46F0"/>
    <w:rsid w:val="005A5527"/>
    <w:rsid w:val="005A5A3B"/>
    <w:rsid w:val="005A5B83"/>
    <w:rsid w:val="005A5BEA"/>
    <w:rsid w:val="005A77A8"/>
    <w:rsid w:val="005A7A10"/>
    <w:rsid w:val="005B12BB"/>
    <w:rsid w:val="005B13F2"/>
    <w:rsid w:val="005B15E8"/>
    <w:rsid w:val="005B2C3B"/>
    <w:rsid w:val="005B35D7"/>
    <w:rsid w:val="005B46D8"/>
    <w:rsid w:val="005B5532"/>
    <w:rsid w:val="005B570D"/>
    <w:rsid w:val="005B630F"/>
    <w:rsid w:val="005B6310"/>
    <w:rsid w:val="005B6F7C"/>
    <w:rsid w:val="005C071F"/>
    <w:rsid w:val="005C1520"/>
    <w:rsid w:val="005C1BE1"/>
    <w:rsid w:val="005C2B23"/>
    <w:rsid w:val="005C476A"/>
    <w:rsid w:val="005C54EA"/>
    <w:rsid w:val="005C5D38"/>
    <w:rsid w:val="005C5FB3"/>
    <w:rsid w:val="005C6349"/>
    <w:rsid w:val="005C70EB"/>
    <w:rsid w:val="005C7490"/>
    <w:rsid w:val="005C74F1"/>
    <w:rsid w:val="005C759B"/>
    <w:rsid w:val="005C7C24"/>
    <w:rsid w:val="005D06B7"/>
    <w:rsid w:val="005D0C85"/>
    <w:rsid w:val="005D13AA"/>
    <w:rsid w:val="005D196C"/>
    <w:rsid w:val="005D2227"/>
    <w:rsid w:val="005D2966"/>
    <w:rsid w:val="005D54B1"/>
    <w:rsid w:val="005D6561"/>
    <w:rsid w:val="005D6E33"/>
    <w:rsid w:val="005D7AD6"/>
    <w:rsid w:val="005E0657"/>
    <w:rsid w:val="005E087F"/>
    <w:rsid w:val="005E0A4F"/>
    <w:rsid w:val="005E0CD8"/>
    <w:rsid w:val="005E2B7C"/>
    <w:rsid w:val="005E2C97"/>
    <w:rsid w:val="005E3B88"/>
    <w:rsid w:val="005E4291"/>
    <w:rsid w:val="005E4954"/>
    <w:rsid w:val="005E53F8"/>
    <w:rsid w:val="005E56E7"/>
    <w:rsid w:val="005E57EF"/>
    <w:rsid w:val="005E5DB1"/>
    <w:rsid w:val="005E62BF"/>
    <w:rsid w:val="005E671B"/>
    <w:rsid w:val="005E69B9"/>
    <w:rsid w:val="005E6C96"/>
    <w:rsid w:val="005E722A"/>
    <w:rsid w:val="005E7ACA"/>
    <w:rsid w:val="005F0025"/>
    <w:rsid w:val="005F052B"/>
    <w:rsid w:val="005F1376"/>
    <w:rsid w:val="005F1FEA"/>
    <w:rsid w:val="005F263E"/>
    <w:rsid w:val="005F27D2"/>
    <w:rsid w:val="005F3227"/>
    <w:rsid w:val="005F3BEC"/>
    <w:rsid w:val="005F3D52"/>
    <w:rsid w:val="005F453C"/>
    <w:rsid w:val="005F4950"/>
    <w:rsid w:val="005F5626"/>
    <w:rsid w:val="005F6028"/>
    <w:rsid w:val="005F6106"/>
    <w:rsid w:val="005F66A4"/>
    <w:rsid w:val="005F6B8E"/>
    <w:rsid w:val="005F6C03"/>
    <w:rsid w:val="00600DBF"/>
    <w:rsid w:val="0060121B"/>
    <w:rsid w:val="00604AC1"/>
    <w:rsid w:val="0060587B"/>
    <w:rsid w:val="006060C5"/>
    <w:rsid w:val="0060610B"/>
    <w:rsid w:val="006064A0"/>
    <w:rsid w:val="00607CA6"/>
    <w:rsid w:val="00607DAF"/>
    <w:rsid w:val="006109ED"/>
    <w:rsid w:val="0061169D"/>
    <w:rsid w:val="00611BE0"/>
    <w:rsid w:val="006123BD"/>
    <w:rsid w:val="006124CB"/>
    <w:rsid w:val="00612D4B"/>
    <w:rsid w:val="00613503"/>
    <w:rsid w:val="0061366C"/>
    <w:rsid w:val="00613DE1"/>
    <w:rsid w:val="00613E74"/>
    <w:rsid w:val="00614669"/>
    <w:rsid w:val="00614A17"/>
    <w:rsid w:val="00615524"/>
    <w:rsid w:val="00617570"/>
    <w:rsid w:val="00621049"/>
    <w:rsid w:val="00622507"/>
    <w:rsid w:val="006228A1"/>
    <w:rsid w:val="00622BB2"/>
    <w:rsid w:val="00622D77"/>
    <w:rsid w:val="006233BC"/>
    <w:rsid w:val="006253CF"/>
    <w:rsid w:val="0062550A"/>
    <w:rsid w:val="00625DD9"/>
    <w:rsid w:val="00626BC9"/>
    <w:rsid w:val="00627658"/>
    <w:rsid w:val="00627AC7"/>
    <w:rsid w:val="006303D8"/>
    <w:rsid w:val="006313C9"/>
    <w:rsid w:val="00631525"/>
    <w:rsid w:val="0063299D"/>
    <w:rsid w:val="00633BA2"/>
    <w:rsid w:val="0063596D"/>
    <w:rsid w:val="00636A64"/>
    <w:rsid w:val="00640014"/>
    <w:rsid w:val="00641806"/>
    <w:rsid w:val="00641D56"/>
    <w:rsid w:val="006436C3"/>
    <w:rsid w:val="00643741"/>
    <w:rsid w:val="00643EF4"/>
    <w:rsid w:val="00644320"/>
    <w:rsid w:val="00644C8F"/>
    <w:rsid w:val="006455F2"/>
    <w:rsid w:val="00645D93"/>
    <w:rsid w:val="00646035"/>
    <w:rsid w:val="006463B1"/>
    <w:rsid w:val="0064657A"/>
    <w:rsid w:val="00650C23"/>
    <w:rsid w:val="00650DF1"/>
    <w:rsid w:val="00652398"/>
    <w:rsid w:val="00652AF5"/>
    <w:rsid w:val="00652CE6"/>
    <w:rsid w:val="00653CDC"/>
    <w:rsid w:val="006547C2"/>
    <w:rsid w:val="0065619C"/>
    <w:rsid w:val="006569E3"/>
    <w:rsid w:val="006578AC"/>
    <w:rsid w:val="00657BBB"/>
    <w:rsid w:val="00657EBA"/>
    <w:rsid w:val="00661FC5"/>
    <w:rsid w:val="006644CB"/>
    <w:rsid w:val="0066483F"/>
    <w:rsid w:val="00665E29"/>
    <w:rsid w:val="006668D8"/>
    <w:rsid w:val="00667B2F"/>
    <w:rsid w:val="00670619"/>
    <w:rsid w:val="00670C11"/>
    <w:rsid w:val="00672979"/>
    <w:rsid w:val="00673C0E"/>
    <w:rsid w:val="00673ED4"/>
    <w:rsid w:val="00674481"/>
    <w:rsid w:val="0067473A"/>
    <w:rsid w:val="0067512A"/>
    <w:rsid w:val="00675D6A"/>
    <w:rsid w:val="006765DF"/>
    <w:rsid w:val="0067768E"/>
    <w:rsid w:val="00680FB7"/>
    <w:rsid w:val="006813D1"/>
    <w:rsid w:val="00681AAE"/>
    <w:rsid w:val="00682DAB"/>
    <w:rsid w:val="00683448"/>
    <w:rsid w:val="00684BC7"/>
    <w:rsid w:val="006853C9"/>
    <w:rsid w:val="00686C70"/>
    <w:rsid w:val="006879A2"/>
    <w:rsid w:val="00687D71"/>
    <w:rsid w:val="006902BE"/>
    <w:rsid w:val="00690925"/>
    <w:rsid w:val="00691814"/>
    <w:rsid w:val="006918D1"/>
    <w:rsid w:val="00691FFB"/>
    <w:rsid w:val="0069271B"/>
    <w:rsid w:val="006936E8"/>
    <w:rsid w:val="00694008"/>
    <w:rsid w:val="0069560B"/>
    <w:rsid w:val="0069593E"/>
    <w:rsid w:val="006969CE"/>
    <w:rsid w:val="00696A49"/>
    <w:rsid w:val="00697923"/>
    <w:rsid w:val="006A0AE7"/>
    <w:rsid w:val="006A0FD6"/>
    <w:rsid w:val="006A3294"/>
    <w:rsid w:val="006A3320"/>
    <w:rsid w:val="006A459D"/>
    <w:rsid w:val="006A5483"/>
    <w:rsid w:val="006A687F"/>
    <w:rsid w:val="006A7E6C"/>
    <w:rsid w:val="006A7EDB"/>
    <w:rsid w:val="006B0FE2"/>
    <w:rsid w:val="006B1D48"/>
    <w:rsid w:val="006B3590"/>
    <w:rsid w:val="006B408D"/>
    <w:rsid w:val="006B5121"/>
    <w:rsid w:val="006B5D27"/>
    <w:rsid w:val="006B5F9C"/>
    <w:rsid w:val="006B6049"/>
    <w:rsid w:val="006B6BC3"/>
    <w:rsid w:val="006B6F2F"/>
    <w:rsid w:val="006B7267"/>
    <w:rsid w:val="006B7EE0"/>
    <w:rsid w:val="006C17F9"/>
    <w:rsid w:val="006C1AC4"/>
    <w:rsid w:val="006C2A79"/>
    <w:rsid w:val="006C3D0A"/>
    <w:rsid w:val="006C4139"/>
    <w:rsid w:val="006C5E72"/>
    <w:rsid w:val="006C6A3B"/>
    <w:rsid w:val="006C7307"/>
    <w:rsid w:val="006D0A6A"/>
    <w:rsid w:val="006D1D14"/>
    <w:rsid w:val="006D2374"/>
    <w:rsid w:val="006D2B05"/>
    <w:rsid w:val="006D2E59"/>
    <w:rsid w:val="006D3401"/>
    <w:rsid w:val="006D373A"/>
    <w:rsid w:val="006D3FC0"/>
    <w:rsid w:val="006D5354"/>
    <w:rsid w:val="006D54A0"/>
    <w:rsid w:val="006D57B9"/>
    <w:rsid w:val="006D6CD2"/>
    <w:rsid w:val="006D767B"/>
    <w:rsid w:val="006D7C1F"/>
    <w:rsid w:val="006E10D3"/>
    <w:rsid w:val="006E2776"/>
    <w:rsid w:val="006E2B65"/>
    <w:rsid w:val="006E2C68"/>
    <w:rsid w:val="006E2DFA"/>
    <w:rsid w:val="006E3D6B"/>
    <w:rsid w:val="006E4715"/>
    <w:rsid w:val="006E4CB2"/>
    <w:rsid w:val="006E571D"/>
    <w:rsid w:val="006E6821"/>
    <w:rsid w:val="006E6E9A"/>
    <w:rsid w:val="006E70DE"/>
    <w:rsid w:val="006E7834"/>
    <w:rsid w:val="006F2224"/>
    <w:rsid w:val="006F4D92"/>
    <w:rsid w:val="006F52B4"/>
    <w:rsid w:val="006F66D6"/>
    <w:rsid w:val="00700226"/>
    <w:rsid w:val="0070134C"/>
    <w:rsid w:val="00702196"/>
    <w:rsid w:val="0070538A"/>
    <w:rsid w:val="007055EA"/>
    <w:rsid w:val="00706233"/>
    <w:rsid w:val="007065AA"/>
    <w:rsid w:val="0070697D"/>
    <w:rsid w:val="00706C39"/>
    <w:rsid w:val="00707651"/>
    <w:rsid w:val="00707E17"/>
    <w:rsid w:val="007100AB"/>
    <w:rsid w:val="0071086B"/>
    <w:rsid w:val="007117F4"/>
    <w:rsid w:val="00711EE6"/>
    <w:rsid w:val="00712082"/>
    <w:rsid w:val="00712405"/>
    <w:rsid w:val="007127B2"/>
    <w:rsid w:val="00713E2C"/>
    <w:rsid w:val="00713E51"/>
    <w:rsid w:val="007143ED"/>
    <w:rsid w:val="00714F36"/>
    <w:rsid w:val="00714FE7"/>
    <w:rsid w:val="00715DB0"/>
    <w:rsid w:val="007160DD"/>
    <w:rsid w:val="00717025"/>
    <w:rsid w:val="00720074"/>
    <w:rsid w:val="007210B1"/>
    <w:rsid w:val="0072139E"/>
    <w:rsid w:val="007213EF"/>
    <w:rsid w:val="0072155B"/>
    <w:rsid w:val="0072173A"/>
    <w:rsid w:val="00721B07"/>
    <w:rsid w:val="00721DF7"/>
    <w:rsid w:val="00722933"/>
    <w:rsid w:val="00722E41"/>
    <w:rsid w:val="00722F90"/>
    <w:rsid w:val="00723082"/>
    <w:rsid w:val="00724B38"/>
    <w:rsid w:val="0072525C"/>
    <w:rsid w:val="0072554F"/>
    <w:rsid w:val="00725F19"/>
    <w:rsid w:val="00726637"/>
    <w:rsid w:val="007268E8"/>
    <w:rsid w:val="00730E88"/>
    <w:rsid w:val="0073135E"/>
    <w:rsid w:val="007317EE"/>
    <w:rsid w:val="00731CDB"/>
    <w:rsid w:val="00731F49"/>
    <w:rsid w:val="00732D5D"/>
    <w:rsid w:val="0073441B"/>
    <w:rsid w:val="007353EF"/>
    <w:rsid w:val="007360E5"/>
    <w:rsid w:val="007367D8"/>
    <w:rsid w:val="00740280"/>
    <w:rsid w:val="00740DF1"/>
    <w:rsid w:val="00740E5B"/>
    <w:rsid w:val="00740E9B"/>
    <w:rsid w:val="00742BA0"/>
    <w:rsid w:val="00743079"/>
    <w:rsid w:val="00744459"/>
    <w:rsid w:val="00744A37"/>
    <w:rsid w:val="00744BED"/>
    <w:rsid w:val="00745437"/>
    <w:rsid w:val="007457F5"/>
    <w:rsid w:val="0074581D"/>
    <w:rsid w:val="00745BBF"/>
    <w:rsid w:val="00745C11"/>
    <w:rsid w:val="00746565"/>
    <w:rsid w:val="00747CCA"/>
    <w:rsid w:val="00747D89"/>
    <w:rsid w:val="0075196C"/>
    <w:rsid w:val="00751A24"/>
    <w:rsid w:val="00751B22"/>
    <w:rsid w:val="00751DC4"/>
    <w:rsid w:val="0075242F"/>
    <w:rsid w:val="007525D2"/>
    <w:rsid w:val="007527EB"/>
    <w:rsid w:val="00753C36"/>
    <w:rsid w:val="00753D36"/>
    <w:rsid w:val="007549F0"/>
    <w:rsid w:val="007551C3"/>
    <w:rsid w:val="00756247"/>
    <w:rsid w:val="00756AB2"/>
    <w:rsid w:val="00757104"/>
    <w:rsid w:val="00757154"/>
    <w:rsid w:val="00757426"/>
    <w:rsid w:val="00760453"/>
    <w:rsid w:val="0076046D"/>
    <w:rsid w:val="00760F41"/>
    <w:rsid w:val="00760FC8"/>
    <w:rsid w:val="00761978"/>
    <w:rsid w:val="00761A4C"/>
    <w:rsid w:val="00762C29"/>
    <w:rsid w:val="0076316D"/>
    <w:rsid w:val="007659E6"/>
    <w:rsid w:val="0076730D"/>
    <w:rsid w:val="007677F1"/>
    <w:rsid w:val="00770D86"/>
    <w:rsid w:val="007718EB"/>
    <w:rsid w:val="007722A3"/>
    <w:rsid w:val="00772736"/>
    <w:rsid w:val="00772B43"/>
    <w:rsid w:val="00772F10"/>
    <w:rsid w:val="00773372"/>
    <w:rsid w:val="00773B83"/>
    <w:rsid w:val="007760D4"/>
    <w:rsid w:val="007761FD"/>
    <w:rsid w:val="007767BA"/>
    <w:rsid w:val="00780D11"/>
    <w:rsid w:val="00780DAD"/>
    <w:rsid w:val="00782C27"/>
    <w:rsid w:val="0078370C"/>
    <w:rsid w:val="00783B3B"/>
    <w:rsid w:val="00783F60"/>
    <w:rsid w:val="0078472E"/>
    <w:rsid w:val="00784ABE"/>
    <w:rsid w:val="00785CE8"/>
    <w:rsid w:val="007867C2"/>
    <w:rsid w:val="00787202"/>
    <w:rsid w:val="00787AB5"/>
    <w:rsid w:val="00787B0B"/>
    <w:rsid w:val="0079032E"/>
    <w:rsid w:val="00790581"/>
    <w:rsid w:val="0079098C"/>
    <w:rsid w:val="00790B02"/>
    <w:rsid w:val="007918E5"/>
    <w:rsid w:val="00791C41"/>
    <w:rsid w:val="007933B8"/>
    <w:rsid w:val="00793E81"/>
    <w:rsid w:val="00794065"/>
    <w:rsid w:val="0079433C"/>
    <w:rsid w:val="007947F0"/>
    <w:rsid w:val="00794B0B"/>
    <w:rsid w:val="0079584B"/>
    <w:rsid w:val="007A2EE9"/>
    <w:rsid w:val="007A3D10"/>
    <w:rsid w:val="007A62FC"/>
    <w:rsid w:val="007A651F"/>
    <w:rsid w:val="007A67FD"/>
    <w:rsid w:val="007A71FA"/>
    <w:rsid w:val="007A7CEC"/>
    <w:rsid w:val="007A7FF1"/>
    <w:rsid w:val="007B03DA"/>
    <w:rsid w:val="007B05CF"/>
    <w:rsid w:val="007B0B8D"/>
    <w:rsid w:val="007B0BD4"/>
    <w:rsid w:val="007B0BE6"/>
    <w:rsid w:val="007B14CF"/>
    <w:rsid w:val="007B1603"/>
    <w:rsid w:val="007B1F8F"/>
    <w:rsid w:val="007B297C"/>
    <w:rsid w:val="007B3B37"/>
    <w:rsid w:val="007B3D05"/>
    <w:rsid w:val="007B3FF8"/>
    <w:rsid w:val="007B4A6B"/>
    <w:rsid w:val="007B4DAE"/>
    <w:rsid w:val="007B5431"/>
    <w:rsid w:val="007B6D1C"/>
    <w:rsid w:val="007B7654"/>
    <w:rsid w:val="007B79D9"/>
    <w:rsid w:val="007B7CE6"/>
    <w:rsid w:val="007B7D21"/>
    <w:rsid w:val="007C0373"/>
    <w:rsid w:val="007C0DA0"/>
    <w:rsid w:val="007C1325"/>
    <w:rsid w:val="007C1BAA"/>
    <w:rsid w:val="007C2469"/>
    <w:rsid w:val="007C28D9"/>
    <w:rsid w:val="007C2E37"/>
    <w:rsid w:val="007C3234"/>
    <w:rsid w:val="007C3602"/>
    <w:rsid w:val="007C412B"/>
    <w:rsid w:val="007C43E5"/>
    <w:rsid w:val="007C43EA"/>
    <w:rsid w:val="007C454E"/>
    <w:rsid w:val="007C4F8D"/>
    <w:rsid w:val="007C55F3"/>
    <w:rsid w:val="007C572C"/>
    <w:rsid w:val="007C5DB6"/>
    <w:rsid w:val="007C68C4"/>
    <w:rsid w:val="007C73AA"/>
    <w:rsid w:val="007C7C96"/>
    <w:rsid w:val="007D04B3"/>
    <w:rsid w:val="007D0E59"/>
    <w:rsid w:val="007D1605"/>
    <w:rsid w:val="007D1767"/>
    <w:rsid w:val="007D1D99"/>
    <w:rsid w:val="007D1DB5"/>
    <w:rsid w:val="007D3CBB"/>
    <w:rsid w:val="007D3D89"/>
    <w:rsid w:val="007D4089"/>
    <w:rsid w:val="007D4285"/>
    <w:rsid w:val="007D4E84"/>
    <w:rsid w:val="007D5773"/>
    <w:rsid w:val="007D6739"/>
    <w:rsid w:val="007D6CE3"/>
    <w:rsid w:val="007D7CC6"/>
    <w:rsid w:val="007E02F9"/>
    <w:rsid w:val="007E3067"/>
    <w:rsid w:val="007E3570"/>
    <w:rsid w:val="007E366E"/>
    <w:rsid w:val="007E3AFA"/>
    <w:rsid w:val="007E3D4B"/>
    <w:rsid w:val="007E5A06"/>
    <w:rsid w:val="007E6DA7"/>
    <w:rsid w:val="007E6DFC"/>
    <w:rsid w:val="007E6F51"/>
    <w:rsid w:val="007E7B60"/>
    <w:rsid w:val="007F016E"/>
    <w:rsid w:val="007F1967"/>
    <w:rsid w:val="007F1BB3"/>
    <w:rsid w:val="007F2E67"/>
    <w:rsid w:val="007F4530"/>
    <w:rsid w:val="007F4D6D"/>
    <w:rsid w:val="007F4EEE"/>
    <w:rsid w:val="007F4F07"/>
    <w:rsid w:val="007F51A0"/>
    <w:rsid w:val="007F7279"/>
    <w:rsid w:val="007F7773"/>
    <w:rsid w:val="007F79F9"/>
    <w:rsid w:val="007F7A7F"/>
    <w:rsid w:val="00800EE6"/>
    <w:rsid w:val="00801D94"/>
    <w:rsid w:val="00801EB7"/>
    <w:rsid w:val="008025B8"/>
    <w:rsid w:val="00802C63"/>
    <w:rsid w:val="00806058"/>
    <w:rsid w:val="0080753C"/>
    <w:rsid w:val="00807637"/>
    <w:rsid w:val="008079CF"/>
    <w:rsid w:val="00811321"/>
    <w:rsid w:val="00811679"/>
    <w:rsid w:val="00814232"/>
    <w:rsid w:val="008143DD"/>
    <w:rsid w:val="00814661"/>
    <w:rsid w:val="00814B8F"/>
    <w:rsid w:val="0081515E"/>
    <w:rsid w:val="008153D4"/>
    <w:rsid w:val="00815995"/>
    <w:rsid w:val="00817131"/>
    <w:rsid w:val="0081765C"/>
    <w:rsid w:val="00817732"/>
    <w:rsid w:val="00817EEC"/>
    <w:rsid w:val="00820A72"/>
    <w:rsid w:val="008214E4"/>
    <w:rsid w:val="00821929"/>
    <w:rsid w:val="00821FFB"/>
    <w:rsid w:val="00822731"/>
    <w:rsid w:val="0082293C"/>
    <w:rsid w:val="00822C58"/>
    <w:rsid w:val="00823F9F"/>
    <w:rsid w:val="008246CA"/>
    <w:rsid w:val="0082486C"/>
    <w:rsid w:val="00824FF2"/>
    <w:rsid w:val="00825E2B"/>
    <w:rsid w:val="00825F60"/>
    <w:rsid w:val="0082608C"/>
    <w:rsid w:val="008268D1"/>
    <w:rsid w:val="00830204"/>
    <w:rsid w:val="008305AB"/>
    <w:rsid w:val="008310E8"/>
    <w:rsid w:val="00832A9D"/>
    <w:rsid w:val="0083369C"/>
    <w:rsid w:val="00833FE4"/>
    <w:rsid w:val="008340FA"/>
    <w:rsid w:val="008342E6"/>
    <w:rsid w:val="008356F7"/>
    <w:rsid w:val="00835A71"/>
    <w:rsid w:val="00837191"/>
    <w:rsid w:val="00840217"/>
    <w:rsid w:val="00840B4B"/>
    <w:rsid w:val="00840E6B"/>
    <w:rsid w:val="00842893"/>
    <w:rsid w:val="0084296A"/>
    <w:rsid w:val="00843657"/>
    <w:rsid w:val="00844F07"/>
    <w:rsid w:val="00845D77"/>
    <w:rsid w:val="008460B7"/>
    <w:rsid w:val="00846AD4"/>
    <w:rsid w:val="00847FDA"/>
    <w:rsid w:val="00851624"/>
    <w:rsid w:val="0085336E"/>
    <w:rsid w:val="008555A7"/>
    <w:rsid w:val="00856861"/>
    <w:rsid w:val="00856F93"/>
    <w:rsid w:val="008572B2"/>
    <w:rsid w:val="0086114C"/>
    <w:rsid w:val="00861187"/>
    <w:rsid w:val="008620CF"/>
    <w:rsid w:val="00863920"/>
    <w:rsid w:val="00863C5D"/>
    <w:rsid w:val="00863E84"/>
    <w:rsid w:val="00864615"/>
    <w:rsid w:val="00865ACF"/>
    <w:rsid w:val="00865E7A"/>
    <w:rsid w:val="00866925"/>
    <w:rsid w:val="00866BA6"/>
    <w:rsid w:val="00867942"/>
    <w:rsid w:val="00870280"/>
    <w:rsid w:val="008704A8"/>
    <w:rsid w:val="00871203"/>
    <w:rsid w:val="00871BB7"/>
    <w:rsid w:val="00872A6E"/>
    <w:rsid w:val="00872C5B"/>
    <w:rsid w:val="00874252"/>
    <w:rsid w:val="0087476F"/>
    <w:rsid w:val="00874ED1"/>
    <w:rsid w:val="00875805"/>
    <w:rsid w:val="008770DF"/>
    <w:rsid w:val="00877194"/>
    <w:rsid w:val="00880263"/>
    <w:rsid w:val="008808C3"/>
    <w:rsid w:val="00880C7E"/>
    <w:rsid w:val="0088103D"/>
    <w:rsid w:val="0088243A"/>
    <w:rsid w:val="008831CE"/>
    <w:rsid w:val="00884DE7"/>
    <w:rsid w:val="00885324"/>
    <w:rsid w:val="00885CD0"/>
    <w:rsid w:val="0088602F"/>
    <w:rsid w:val="008867D3"/>
    <w:rsid w:val="00886BE7"/>
    <w:rsid w:val="00886D9B"/>
    <w:rsid w:val="0088706D"/>
    <w:rsid w:val="00887E9D"/>
    <w:rsid w:val="0089157F"/>
    <w:rsid w:val="00892261"/>
    <w:rsid w:val="00893A9D"/>
    <w:rsid w:val="008956B3"/>
    <w:rsid w:val="00895D80"/>
    <w:rsid w:val="008966E4"/>
    <w:rsid w:val="00896C84"/>
    <w:rsid w:val="00897F71"/>
    <w:rsid w:val="00897FB1"/>
    <w:rsid w:val="008A2537"/>
    <w:rsid w:val="008A2ACB"/>
    <w:rsid w:val="008A2B3C"/>
    <w:rsid w:val="008A2F80"/>
    <w:rsid w:val="008A42F2"/>
    <w:rsid w:val="008A4593"/>
    <w:rsid w:val="008A45B3"/>
    <w:rsid w:val="008A48F3"/>
    <w:rsid w:val="008A5A42"/>
    <w:rsid w:val="008A5DFB"/>
    <w:rsid w:val="008A6124"/>
    <w:rsid w:val="008B1A46"/>
    <w:rsid w:val="008B1BE9"/>
    <w:rsid w:val="008B272A"/>
    <w:rsid w:val="008B2909"/>
    <w:rsid w:val="008B388E"/>
    <w:rsid w:val="008B38BE"/>
    <w:rsid w:val="008B4018"/>
    <w:rsid w:val="008B46A5"/>
    <w:rsid w:val="008B515E"/>
    <w:rsid w:val="008B51EC"/>
    <w:rsid w:val="008B5578"/>
    <w:rsid w:val="008B5857"/>
    <w:rsid w:val="008B630A"/>
    <w:rsid w:val="008B6450"/>
    <w:rsid w:val="008B6BAA"/>
    <w:rsid w:val="008B757E"/>
    <w:rsid w:val="008B776B"/>
    <w:rsid w:val="008C0402"/>
    <w:rsid w:val="008C07F0"/>
    <w:rsid w:val="008C1293"/>
    <w:rsid w:val="008C1756"/>
    <w:rsid w:val="008C1AF1"/>
    <w:rsid w:val="008C1BC4"/>
    <w:rsid w:val="008C34DB"/>
    <w:rsid w:val="008C4902"/>
    <w:rsid w:val="008C5328"/>
    <w:rsid w:val="008C54CA"/>
    <w:rsid w:val="008C644D"/>
    <w:rsid w:val="008C65B4"/>
    <w:rsid w:val="008C6EC8"/>
    <w:rsid w:val="008C7016"/>
    <w:rsid w:val="008C7145"/>
    <w:rsid w:val="008D07AF"/>
    <w:rsid w:val="008D1AE2"/>
    <w:rsid w:val="008D2CB7"/>
    <w:rsid w:val="008D2EE7"/>
    <w:rsid w:val="008D302F"/>
    <w:rsid w:val="008D49BB"/>
    <w:rsid w:val="008D4BA4"/>
    <w:rsid w:val="008D4CCA"/>
    <w:rsid w:val="008D58B8"/>
    <w:rsid w:val="008D617F"/>
    <w:rsid w:val="008D65A7"/>
    <w:rsid w:val="008D6897"/>
    <w:rsid w:val="008D6957"/>
    <w:rsid w:val="008D7146"/>
    <w:rsid w:val="008D7614"/>
    <w:rsid w:val="008E1207"/>
    <w:rsid w:val="008E1D51"/>
    <w:rsid w:val="008E1FB8"/>
    <w:rsid w:val="008E2249"/>
    <w:rsid w:val="008E2B8F"/>
    <w:rsid w:val="008E308B"/>
    <w:rsid w:val="008E4612"/>
    <w:rsid w:val="008E4778"/>
    <w:rsid w:val="008E4817"/>
    <w:rsid w:val="008E5179"/>
    <w:rsid w:val="008E5692"/>
    <w:rsid w:val="008E598B"/>
    <w:rsid w:val="008E5E18"/>
    <w:rsid w:val="008E604D"/>
    <w:rsid w:val="008E7294"/>
    <w:rsid w:val="008F0AA9"/>
    <w:rsid w:val="008F11D6"/>
    <w:rsid w:val="008F1A39"/>
    <w:rsid w:val="008F2A88"/>
    <w:rsid w:val="008F3F81"/>
    <w:rsid w:val="008F4AF0"/>
    <w:rsid w:val="008F5164"/>
    <w:rsid w:val="008F5A69"/>
    <w:rsid w:val="008F63B8"/>
    <w:rsid w:val="008F763E"/>
    <w:rsid w:val="008F7BA1"/>
    <w:rsid w:val="008F7C8B"/>
    <w:rsid w:val="00900A14"/>
    <w:rsid w:val="00901213"/>
    <w:rsid w:val="00901832"/>
    <w:rsid w:val="00901FB3"/>
    <w:rsid w:val="009031F1"/>
    <w:rsid w:val="00903E9B"/>
    <w:rsid w:val="009044BC"/>
    <w:rsid w:val="009049ED"/>
    <w:rsid w:val="009053DD"/>
    <w:rsid w:val="0090639F"/>
    <w:rsid w:val="00906A57"/>
    <w:rsid w:val="00906C70"/>
    <w:rsid w:val="00906F2D"/>
    <w:rsid w:val="00907D2E"/>
    <w:rsid w:val="0091010B"/>
    <w:rsid w:val="00910D55"/>
    <w:rsid w:val="00911D1B"/>
    <w:rsid w:val="00913B9A"/>
    <w:rsid w:val="00914694"/>
    <w:rsid w:val="009147A2"/>
    <w:rsid w:val="0091482F"/>
    <w:rsid w:val="009156AE"/>
    <w:rsid w:val="009157DB"/>
    <w:rsid w:val="0091587E"/>
    <w:rsid w:val="009158F1"/>
    <w:rsid w:val="00915BC3"/>
    <w:rsid w:val="0091659C"/>
    <w:rsid w:val="00916604"/>
    <w:rsid w:val="0091680A"/>
    <w:rsid w:val="00916981"/>
    <w:rsid w:val="00916DCB"/>
    <w:rsid w:val="009170CC"/>
    <w:rsid w:val="0091737C"/>
    <w:rsid w:val="009174C3"/>
    <w:rsid w:val="009177AF"/>
    <w:rsid w:val="00920AF2"/>
    <w:rsid w:val="00921700"/>
    <w:rsid w:val="00921B3D"/>
    <w:rsid w:val="00922908"/>
    <w:rsid w:val="00922AAE"/>
    <w:rsid w:val="00922E93"/>
    <w:rsid w:val="009235C4"/>
    <w:rsid w:val="009235FB"/>
    <w:rsid w:val="00924253"/>
    <w:rsid w:val="00924806"/>
    <w:rsid w:val="0092623A"/>
    <w:rsid w:val="00926683"/>
    <w:rsid w:val="00926B48"/>
    <w:rsid w:val="00926CA7"/>
    <w:rsid w:val="00927697"/>
    <w:rsid w:val="009276B0"/>
    <w:rsid w:val="009277D9"/>
    <w:rsid w:val="0093294F"/>
    <w:rsid w:val="00932D03"/>
    <w:rsid w:val="0093421B"/>
    <w:rsid w:val="0093585C"/>
    <w:rsid w:val="00935910"/>
    <w:rsid w:val="00935F1B"/>
    <w:rsid w:val="00936316"/>
    <w:rsid w:val="00936B85"/>
    <w:rsid w:val="0093772F"/>
    <w:rsid w:val="00937BFA"/>
    <w:rsid w:val="0094091B"/>
    <w:rsid w:val="00940AAF"/>
    <w:rsid w:val="00940C48"/>
    <w:rsid w:val="00940CF7"/>
    <w:rsid w:val="0094111E"/>
    <w:rsid w:val="00941949"/>
    <w:rsid w:val="00941D9D"/>
    <w:rsid w:val="00941FB7"/>
    <w:rsid w:val="00942E21"/>
    <w:rsid w:val="0094351D"/>
    <w:rsid w:val="00944884"/>
    <w:rsid w:val="00944BA9"/>
    <w:rsid w:val="00945552"/>
    <w:rsid w:val="00946BBE"/>
    <w:rsid w:val="00946D7C"/>
    <w:rsid w:val="00947F30"/>
    <w:rsid w:val="00950932"/>
    <w:rsid w:val="00950A5D"/>
    <w:rsid w:val="009518D2"/>
    <w:rsid w:val="00952DBC"/>
    <w:rsid w:val="00953078"/>
    <w:rsid w:val="009540FA"/>
    <w:rsid w:val="009558A9"/>
    <w:rsid w:val="00955FD6"/>
    <w:rsid w:val="00960322"/>
    <w:rsid w:val="00960F61"/>
    <w:rsid w:val="009612ED"/>
    <w:rsid w:val="00961375"/>
    <w:rsid w:val="0096215C"/>
    <w:rsid w:val="00962402"/>
    <w:rsid w:val="009624D9"/>
    <w:rsid w:val="00962AF0"/>
    <w:rsid w:val="0096355D"/>
    <w:rsid w:val="00963930"/>
    <w:rsid w:val="00963956"/>
    <w:rsid w:val="00964B37"/>
    <w:rsid w:val="0096599E"/>
    <w:rsid w:val="00965A11"/>
    <w:rsid w:val="00965C8F"/>
    <w:rsid w:val="009670B7"/>
    <w:rsid w:val="00970E8A"/>
    <w:rsid w:val="00971196"/>
    <w:rsid w:val="00971290"/>
    <w:rsid w:val="00971B17"/>
    <w:rsid w:val="00972090"/>
    <w:rsid w:val="0097251D"/>
    <w:rsid w:val="00972A75"/>
    <w:rsid w:val="009737A4"/>
    <w:rsid w:val="00973978"/>
    <w:rsid w:val="009742E8"/>
    <w:rsid w:val="00974EF7"/>
    <w:rsid w:val="0097562C"/>
    <w:rsid w:val="00975702"/>
    <w:rsid w:val="00975C13"/>
    <w:rsid w:val="00976658"/>
    <w:rsid w:val="009772D3"/>
    <w:rsid w:val="00980074"/>
    <w:rsid w:val="0098008C"/>
    <w:rsid w:val="0098077B"/>
    <w:rsid w:val="0098096B"/>
    <w:rsid w:val="009827D9"/>
    <w:rsid w:val="009835DC"/>
    <w:rsid w:val="00984BF1"/>
    <w:rsid w:val="00984EAB"/>
    <w:rsid w:val="00985A62"/>
    <w:rsid w:val="00985FAC"/>
    <w:rsid w:val="009863AE"/>
    <w:rsid w:val="00986401"/>
    <w:rsid w:val="009869E9"/>
    <w:rsid w:val="00987BAE"/>
    <w:rsid w:val="009900D1"/>
    <w:rsid w:val="00990D55"/>
    <w:rsid w:val="009911DB"/>
    <w:rsid w:val="00993383"/>
    <w:rsid w:val="00993431"/>
    <w:rsid w:val="0099393D"/>
    <w:rsid w:val="009954F8"/>
    <w:rsid w:val="0099796E"/>
    <w:rsid w:val="00997CFA"/>
    <w:rsid w:val="009A03F9"/>
    <w:rsid w:val="009A0C60"/>
    <w:rsid w:val="009A22D8"/>
    <w:rsid w:val="009A23EF"/>
    <w:rsid w:val="009A3C08"/>
    <w:rsid w:val="009A651E"/>
    <w:rsid w:val="009A663F"/>
    <w:rsid w:val="009A697A"/>
    <w:rsid w:val="009A7C2C"/>
    <w:rsid w:val="009B0071"/>
    <w:rsid w:val="009B0EF0"/>
    <w:rsid w:val="009B19CC"/>
    <w:rsid w:val="009B21FD"/>
    <w:rsid w:val="009B29AA"/>
    <w:rsid w:val="009B2B9F"/>
    <w:rsid w:val="009B381B"/>
    <w:rsid w:val="009B3904"/>
    <w:rsid w:val="009B3A8A"/>
    <w:rsid w:val="009B4200"/>
    <w:rsid w:val="009B421F"/>
    <w:rsid w:val="009B4431"/>
    <w:rsid w:val="009B57BA"/>
    <w:rsid w:val="009B6ED6"/>
    <w:rsid w:val="009C03F1"/>
    <w:rsid w:val="009C064F"/>
    <w:rsid w:val="009C079E"/>
    <w:rsid w:val="009C21F7"/>
    <w:rsid w:val="009C3C43"/>
    <w:rsid w:val="009C6A7D"/>
    <w:rsid w:val="009C6BF2"/>
    <w:rsid w:val="009C6E0C"/>
    <w:rsid w:val="009D0C8A"/>
    <w:rsid w:val="009D0D76"/>
    <w:rsid w:val="009D10FB"/>
    <w:rsid w:val="009D18B2"/>
    <w:rsid w:val="009D1F88"/>
    <w:rsid w:val="009D230C"/>
    <w:rsid w:val="009D2AFD"/>
    <w:rsid w:val="009D3C26"/>
    <w:rsid w:val="009D41C4"/>
    <w:rsid w:val="009D53CF"/>
    <w:rsid w:val="009D548A"/>
    <w:rsid w:val="009D7864"/>
    <w:rsid w:val="009D79BE"/>
    <w:rsid w:val="009E022A"/>
    <w:rsid w:val="009E08C3"/>
    <w:rsid w:val="009E0AFB"/>
    <w:rsid w:val="009E10F4"/>
    <w:rsid w:val="009E1400"/>
    <w:rsid w:val="009E29B6"/>
    <w:rsid w:val="009E2CE8"/>
    <w:rsid w:val="009E3D80"/>
    <w:rsid w:val="009E4059"/>
    <w:rsid w:val="009E57A3"/>
    <w:rsid w:val="009E6308"/>
    <w:rsid w:val="009E6BF3"/>
    <w:rsid w:val="009E7C8C"/>
    <w:rsid w:val="009F2A73"/>
    <w:rsid w:val="009F2FC8"/>
    <w:rsid w:val="009F32EE"/>
    <w:rsid w:val="009F3690"/>
    <w:rsid w:val="009F3FDE"/>
    <w:rsid w:val="009F50A0"/>
    <w:rsid w:val="009F548A"/>
    <w:rsid w:val="009F5BC8"/>
    <w:rsid w:val="009F5FA7"/>
    <w:rsid w:val="009F61F3"/>
    <w:rsid w:val="009F6E54"/>
    <w:rsid w:val="009F7102"/>
    <w:rsid w:val="009F741D"/>
    <w:rsid w:val="009F7855"/>
    <w:rsid w:val="009F78D2"/>
    <w:rsid w:val="00A007BD"/>
    <w:rsid w:val="00A00DBD"/>
    <w:rsid w:val="00A0230D"/>
    <w:rsid w:val="00A030F3"/>
    <w:rsid w:val="00A03E41"/>
    <w:rsid w:val="00A0445A"/>
    <w:rsid w:val="00A044F9"/>
    <w:rsid w:val="00A04C0E"/>
    <w:rsid w:val="00A04E19"/>
    <w:rsid w:val="00A05685"/>
    <w:rsid w:val="00A05A9C"/>
    <w:rsid w:val="00A05D04"/>
    <w:rsid w:val="00A07DB2"/>
    <w:rsid w:val="00A101D3"/>
    <w:rsid w:val="00A1075A"/>
    <w:rsid w:val="00A11D88"/>
    <w:rsid w:val="00A11DF9"/>
    <w:rsid w:val="00A12490"/>
    <w:rsid w:val="00A134E8"/>
    <w:rsid w:val="00A1383B"/>
    <w:rsid w:val="00A13DB3"/>
    <w:rsid w:val="00A13EEC"/>
    <w:rsid w:val="00A140FA"/>
    <w:rsid w:val="00A1415B"/>
    <w:rsid w:val="00A14C1E"/>
    <w:rsid w:val="00A14D1A"/>
    <w:rsid w:val="00A155F0"/>
    <w:rsid w:val="00A15A6A"/>
    <w:rsid w:val="00A15EA7"/>
    <w:rsid w:val="00A173AE"/>
    <w:rsid w:val="00A20A42"/>
    <w:rsid w:val="00A21219"/>
    <w:rsid w:val="00A21CE6"/>
    <w:rsid w:val="00A21F0D"/>
    <w:rsid w:val="00A23083"/>
    <w:rsid w:val="00A23C71"/>
    <w:rsid w:val="00A242E8"/>
    <w:rsid w:val="00A2523C"/>
    <w:rsid w:val="00A2559C"/>
    <w:rsid w:val="00A27154"/>
    <w:rsid w:val="00A30059"/>
    <w:rsid w:val="00A301ED"/>
    <w:rsid w:val="00A30CCC"/>
    <w:rsid w:val="00A31B7D"/>
    <w:rsid w:val="00A321A4"/>
    <w:rsid w:val="00A33211"/>
    <w:rsid w:val="00A33BA4"/>
    <w:rsid w:val="00A35B4E"/>
    <w:rsid w:val="00A36215"/>
    <w:rsid w:val="00A374D5"/>
    <w:rsid w:val="00A37F53"/>
    <w:rsid w:val="00A40138"/>
    <w:rsid w:val="00A41231"/>
    <w:rsid w:val="00A41248"/>
    <w:rsid w:val="00A42000"/>
    <w:rsid w:val="00A421F1"/>
    <w:rsid w:val="00A43802"/>
    <w:rsid w:val="00A44326"/>
    <w:rsid w:val="00A45B8F"/>
    <w:rsid w:val="00A4626C"/>
    <w:rsid w:val="00A46305"/>
    <w:rsid w:val="00A4630A"/>
    <w:rsid w:val="00A46334"/>
    <w:rsid w:val="00A46348"/>
    <w:rsid w:val="00A4675B"/>
    <w:rsid w:val="00A468DF"/>
    <w:rsid w:val="00A468E6"/>
    <w:rsid w:val="00A47636"/>
    <w:rsid w:val="00A51205"/>
    <w:rsid w:val="00A51950"/>
    <w:rsid w:val="00A51D09"/>
    <w:rsid w:val="00A52009"/>
    <w:rsid w:val="00A521DF"/>
    <w:rsid w:val="00A5243D"/>
    <w:rsid w:val="00A5279E"/>
    <w:rsid w:val="00A52D3B"/>
    <w:rsid w:val="00A5349F"/>
    <w:rsid w:val="00A536F6"/>
    <w:rsid w:val="00A5416D"/>
    <w:rsid w:val="00A556D3"/>
    <w:rsid w:val="00A56267"/>
    <w:rsid w:val="00A5631C"/>
    <w:rsid w:val="00A564FE"/>
    <w:rsid w:val="00A576C9"/>
    <w:rsid w:val="00A60E36"/>
    <w:rsid w:val="00A61EC0"/>
    <w:rsid w:val="00A62779"/>
    <w:rsid w:val="00A63286"/>
    <w:rsid w:val="00A63379"/>
    <w:rsid w:val="00A64311"/>
    <w:rsid w:val="00A6443D"/>
    <w:rsid w:val="00A64778"/>
    <w:rsid w:val="00A64FE9"/>
    <w:rsid w:val="00A6593D"/>
    <w:rsid w:val="00A66363"/>
    <w:rsid w:val="00A668C1"/>
    <w:rsid w:val="00A66CE6"/>
    <w:rsid w:val="00A7002B"/>
    <w:rsid w:val="00A70A5D"/>
    <w:rsid w:val="00A71983"/>
    <w:rsid w:val="00A727CE"/>
    <w:rsid w:val="00A72804"/>
    <w:rsid w:val="00A7296B"/>
    <w:rsid w:val="00A72CC0"/>
    <w:rsid w:val="00A72E85"/>
    <w:rsid w:val="00A72F30"/>
    <w:rsid w:val="00A72F42"/>
    <w:rsid w:val="00A73153"/>
    <w:rsid w:val="00A73730"/>
    <w:rsid w:val="00A74FE3"/>
    <w:rsid w:val="00A765A1"/>
    <w:rsid w:val="00A7669C"/>
    <w:rsid w:val="00A76B89"/>
    <w:rsid w:val="00A8093F"/>
    <w:rsid w:val="00A819A2"/>
    <w:rsid w:val="00A82920"/>
    <w:rsid w:val="00A84C1E"/>
    <w:rsid w:val="00A8557A"/>
    <w:rsid w:val="00A86391"/>
    <w:rsid w:val="00A865EE"/>
    <w:rsid w:val="00A868D2"/>
    <w:rsid w:val="00A9049F"/>
    <w:rsid w:val="00A90930"/>
    <w:rsid w:val="00A91A44"/>
    <w:rsid w:val="00A91C41"/>
    <w:rsid w:val="00A944A7"/>
    <w:rsid w:val="00A96092"/>
    <w:rsid w:val="00A9609E"/>
    <w:rsid w:val="00A967A2"/>
    <w:rsid w:val="00A96B01"/>
    <w:rsid w:val="00A96B88"/>
    <w:rsid w:val="00A96E3B"/>
    <w:rsid w:val="00A97575"/>
    <w:rsid w:val="00AA0D9C"/>
    <w:rsid w:val="00AA0F75"/>
    <w:rsid w:val="00AA1AE0"/>
    <w:rsid w:val="00AA2642"/>
    <w:rsid w:val="00AA2CFF"/>
    <w:rsid w:val="00AA2F8F"/>
    <w:rsid w:val="00AA3407"/>
    <w:rsid w:val="00AA48C4"/>
    <w:rsid w:val="00AA4C0C"/>
    <w:rsid w:val="00AA4C37"/>
    <w:rsid w:val="00AA5003"/>
    <w:rsid w:val="00AA5A01"/>
    <w:rsid w:val="00AA6D33"/>
    <w:rsid w:val="00AA705E"/>
    <w:rsid w:val="00AA73F6"/>
    <w:rsid w:val="00AB079C"/>
    <w:rsid w:val="00AB12CE"/>
    <w:rsid w:val="00AB16D6"/>
    <w:rsid w:val="00AB177D"/>
    <w:rsid w:val="00AB1967"/>
    <w:rsid w:val="00AB1C66"/>
    <w:rsid w:val="00AB29AC"/>
    <w:rsid w:val="00AB3033"/>
    <w:rsid w:val="00AB36F5"/>
    <w:rsid w:val="00AB4022"/>
    <w:rsid w:val="00AB47DB"/>
    <w:rsid w:val="00AB4A59"/>
    <w:rsid w:val="00AB55BB"/>
    <w:rsid w:val="00AB561F"/>
    <w:rsid w:val="00AB5AB2"/>
    <w:rsid w:val="00AB5DC8"/>
    <w:rsid w:val="00AB6769"/>
    <w:rsid w:val="00AB6B19"/>
    <w:rsid w:val="00AB6DD4"/>
    <w:rsid w:val="00AB7043"/>
    <w:rsid w:val="00AB723A"/>
    <w:rsid w:val="00AB7555"/>
    <w:rsid w:val="00AC0CEA"/>
    <w:rsid w:val="00AC1A15"/>
    <w:rsid w:val="00AC1BA5"/>
    <w:rsid w:val="00AC2EC6"/>
    <w:rsid w:val="00AC340E"/>
    <w:rsid w:val="00AC3F6D"/>
    <w:rsid w:val="00AC413B"/>
    <w:rsid w:val="00AC421E"/>
    <w:rsid w:val="00AC4A10"/>
    <w:rsid w:val="00AC4DA0"/>
    <w:rsid w:val="00AC5209"/>
    <w:rsid w:val="00AC5DDC"/>
    <w:rsid w:val="00AC5EFD"/>
    <w:rsid w:val="00AC7831"/>
    <w:rsid w:val="00AC7D4C"/>
    <w:rsid w:val="00AD0BC5"/>
    <w:rsid w:val="00AD1571"/>
    <w:rsid w:val="00AD1958"/>
    <w:rsid w:val="00AD1C3A"/>
    <w:rsid w:val="00AD2E2B"/>
    <w:rsid w:val="00AD551A"/>
    <w:rsid w:val="00AD593A"/>
    <w:rsid w:val="00AD63D1"/>
    <w:rsid w:val="00AD682C"/>
    <w:rsid w:val="00AD79AD"/>
    <w:rsid w:val="00AE027F"/>
    <w:rsid w:val="00AE1992"/>
    <w:rsid w:val="00AE1B79"/>
    <w:rsid w:val="00AE1F10"/>
    <w:rsid w:val="00AE2DD1"/>
    <w:rsid w:val="00AE2EDB"/>
    <w:rsid w:val="00AE6056"/>
    <w:rsid w:val="00AF034E"/>
    <w:rsid w:val="00AF10FC"/>
    <w:rsid w:val="00AF1345"/>
    <w:rsid w:val="00AF1BDE"/>
    <w:rsid w:val="00AF1C2F"/>
    <w:rsid w:val="00AF20F2"/>
    <w:rsid w:val="00AF2873"/>
    <w:rsid w:val="00AF397E"/>
    <w:rsid w:val="00AF40F9"/>
    <w:rsid w:val="00AF5026"/>
    <w:rsid w:val="00AF5D9C"/>
    <w:rsid w:val="00AF655E"/>
    <w:rsid w:val="00B02B96"/>
    <w:rsid w:val="00B037B3"/>
    <w:rsid w:val="00B03986"/>
    <w:rsid w:val="00B03E09"/>
    <w:rsid w:val="00B04E96"/>
    <w:rsid w:val="00B06D00"/>
    <w:rsid w:val="00B07681"/>
    <w:rsid w:val="00B10146"/>
    <w:rsid w:val="00B112D4"/>
    <w:rsid w:val="00B115E2"/>
    <w:rsid w:val="00B11A80"/>
    <w:rsid w:val="00B130DF"/>
    <w:rsid w:val="00B13516"/>
    <w:rsid w:val="00B13AB5"/>
    <w:rsid w:val="00B141A9"/>
    <w:rsid w:val="00B17B29"/>
    <w:rsid w:val="00B17B80"/>
    <w:rsid w:val="00B17EC4"/>
    <w:rsid w:val="00B20B91"/>
    <w:rsid w:val="00B21E5D"/>
    <w:rsid w:val="00B22091"/>
    <w:rsid w:val="00B22B3E"/>
    <w:rsid w:val="00B235EA"/>
    <w:rsid w:val="00B23AFD"/>
    <w:rsid w:val="00B24093"/>
    <w:rsid w:val="00B242A3"/>
    <w:rsid w:val="00B245C8"/>
    <w:rsid w:val="00B24B63"/>
    <w:rsid w:val="00B25D7B"/>
    <w:rsid w:val="00B2643A"/>
    <w:rsid w:val="00B26FF9"/>
    <w:rsid w:val="00B3056A"/>
    <w:rsid w:val="00B3056E"/>
    <w:rsid w:val="00B30605"/>
    <w:rsid w:val="00B3061C"/>
    <w:rsid w:val="00B30715"/>
    <w:rsid w:val="00B30AC3"/>
    <w:rsid w:val="00B31C41"/>
    <w:rsid w:val="00B32164"/>
    <w:rsid w:val="00B326B1"/>
    <w:rsid w:val="00B336FD"/>
    <w:rsid w:val="00B33A9D"/>
    <w:rsid w:val="00B34F24"/>
    <w:rsid w:val="00B35154"/>
    <w:rsid w:val="00B36611"/>
    <w:rsid w:val="00B36C62"/>
    <w:rsid w:val="00B36C64"/>
    <w:rsid w:val="00B374D0"/>
    <w:rsid w:val="00B40668"/>
    <w:rsid w:val="00B4096C"/>
    <w:rsid w:val="00B40BAC"/>
    <w:rsid w:val="00B40DE4"/>
    <w:rsid w:val="00B43487"/>
    <w:rsid w:val="00B44B9E"/>
    <w:rsid w:val="00B4547E"/>
    <w:rsid w:val="00B45FB7"/>
    <w:rsid w:val="00B46DBF"/>
    <w:rsid w:val="00B47263"/>
    <w:rsid w:val="00B4741A"/>
    <w:rsid w:val="00B47DA2"/>
    <w:rsid w:val="00B51629"/>
    <w:rsid w:val="00B51FB3"/>
    <w:rsid w:val="00B52742"/>
    <w:rsid w:val="00B53335"/>
    <w:rsid w:val="00B53C82"/>
    <w:rsid w:val="00B54123"/>
    <w:rsid w:val="00B54CA0"/>
    <w:rsid w:val="00B5543F"/>
    <w:rsid w:val="00B55B51"/>
    <w:rsid w:val="00B55B8C"/>
    <w:rsid w:val="00B55C63"/>
    <w:rsid w:val="00B567A1"/>
    <w:rsid w:val="00B56EE9"/>
    <w:rsid w:val="00B57BC2"/>
    <w:rsid w:val="00B57D00"/>
    <w:rsid w:val="00B60C7E"/>
    <w:rsid w:val="00B61019"/>
    <w:rsid w:val="00B61D38"/>
    <w:rsid w:val="00B62508"/>
    <w:rsid w:val="00B63441"/>
    <w:rsid w:val="00B642EA"/>
    <w:rsid w:val="00B6442E"/>
    <w:rsid w:val="00B644D3"/>
    <w:rsid w:val="00B64864"/>
    <w:rsid w:val="00B64DC8"/>
    <w:rsid w:val="00B64F57"/>
    <w:rsid w:val="00B6515A"/>
    <w:rsid w:val="00B651FE"/>
    <w:rsid w:val="00B65AC4"/>
    <w:rsid w:val="00B65AEC"/>
    <w:rsid w:val="00B67160"/>
    <w:rsid w:val="00B6763A"/>
    <w:rsid w:val="00B67921"/>
    <w:rsid w:val="00B70B22"/>
    <w:rsid w:val="00B70C4D"/>
    <w:rsid w:val="00B7180B"/>
    <w:rsid w:val="00B73533"/>
    <w:rsid w:val="00B73ABF"/>
    <w:rsid w:val="00B73CD0"/>
    <w:rsid w:val="00B74DBA"/>
    <w:rsid w:val="00B75FC3"/>
    <w:rsid w:val="00B80412"/>
    <w:rsid w:val="00B80C5E"/>
    <w:rsid w:val="00B81236"/>
    <w:rsid w:val="00B821CC"/>
    <w:rsid w:val="00B82528"/>
    <w:rsid w:val="00B82658"/>
    <w:rsid w:val="00B840D5"/>
    <w:rsid w:val="00B8435F"/>
    <w:rsid w:val="00B85AC8"/>
    <w:rsid w:val="00B85ADD"/>
    <w:rsid w:val="00B85BF3"/>
    <w:rsid w:val="00B8696B"/>
    <w:rsid w:val="00B8760B"/>
    <w:rsid w:val="00B877DE"/>
    <w:rsid w:val="00B90759"/>
    <w:rsid w:val="00B9113B"/>
    <w:rsid w:val="00B917D4"/>
    <w:rsid w:val="00B925AA"/>
    <w:rsid w:val="00B92AB2"/>
    <w:rsid w:val="00B93117"/>
    <w:rsid w:val="00B931C0"/>
    <w:rsid w:val="00B93971"/>
    <w:rsid w:val="00B93CC7"/>
    <w:rsid w:val="00B94ACD"/>
    <w:rsid w:val="00B9553C"/>
    <w:rsid w:val="00B95F24"/>
    <w:rsid w:val="00B960BD"/>
    <w:rsid w:val="00B963F9"/>
    <w:rsid w:val="00B9680B"/>
    <w:rsid w:val="00B97DDF"/>
    <w:rsid w:val="00BA0494"/>
    <w:rsid w:val="00BA0698"/>
    <w:rsid w:val="00BA17FD"/>
    <w:rsid w:val="00BA1C81"/>
    <w:rsid w:val="00BA1C8E"/>
    <w:rsid w:val="00BA2351"/>
    <w:rsid w:val="00BA31CD"/>
    <w:rsid w:val="00BA4328"/>
    <w:rsid w:val="00BA475B"/>
    <w:rsid w:val="00BA485B"/>
    <w:rsid w:val="00BA4C59"/>
    <w:rsid w:val="00BA5AE5"/>
    <w:rsid w:val="00BA5F20"/>
    <w:rsid w:val="00BA6368"/>
    <w:rsid w:val="00BA68C8"/>
    <w:rsid w:val="00BA7545"/>
    <w:rsid w:val="00BA7677"/>
    <w:rsid w:val="00BB0581"/>
    <w:rsid w:val="00BB0993"/>
    <w:rsid w:val="00BB141A"/>
    <w:rsid w:val="00BB22B8"/>
    <w:rsid w:val="00BB2DC5"/>
    <w:rsid w:val="00BB3A7F"/>
    <w:rsid w:val="00BB3FF0"/>
    <w:rsid w:val="00BB5691"/>
    <w:rsid w:val="00BB5FC9"/>
    <w:rsid w:val="00BB6BC1"/>
    <w:rsid w:val="00BB7473"/>
    <w:rsid w:val="00BC02F7"/>
    <w:rsid w:val="00BC0C73"/>
    <w:rsid w:val="00BC12E5"/>
    <w:rsid w:val="00BC21ED"/>
    <w:rsid w:val="00BC2649"/>
    <w:rsid w:val="00BC2C6A"/>
    <w:rsid w:val="00BC2CA9"/>
    <w:rsid w:val="00BC2FB5"/>
    <w:rsid w:val="00BC4E09"/>
    <w:rsid w:val="00BC7833"/>
    <w:rsid w:val="00BC783C"/>
    <w:rsid w:val="00BC7DA9"/>
    <w:rsid w:val="00BD066A"/>
    <w:rsid w:val="00BD10EA"/>
    <w:rsid w:val="00BD1100"/>
    <w:rsid w:val="00BD20F7"/>
    <w:rsid w:val="00BD25B4"/>
    <w:rsid w:val="00BD31C1"/>
    <w:rsid w:val="00BD455D"/>
    <w:rsid w:val="00BD6D3E"/>
    <w:rsid w:val="00BE013F"/>
    <w:rsid w:val="00BE16E7"/>
    <w:rsid w:val="00BE1904"/>
    <w:rsid w:val="00BE1A86"/>
    <w:rsid w:val="00BE1C6F"/>
    <w:rsid w:val="00BE2656"/>
    <w:rsid w:val="00BE2E39"/>
    <w:rsid w:val="00BE3AE2"/>
    <w:rsid w:val="00BE3CF9"/>
    <w:rsid w:val="00BE4CDD"/>
    <w:rsid w:val="00BE5D5A"/>
    <w:rsid w:val="00BE648B"/>
    <w:rsid w:val="00BE6B3F"/>
    <w:rsid w:val="00BE75AE"/>
    <w:rsid w:val="00BF00B9"/>
    <w:rsid w:val="00BF09C3"/>
    <w:rsid w:val="00BF1674"/>
    <w:rsid w:val="00BF1B9A"/>
    <w:rsid w:val="00BF1C12"/>
    <w:rsid w:val="00BF23CB"/>
    <w:rsid w:val="00BF2594"/>
    <w:rsid w:val="00BF2E8B"/>
    <w:rsid w:val="00BF4067"/>
    <w:rsid w:val="00BF47BE"/>
    <w:rsid w:val="00BF4D2D"/>
    <w:rsid w:val="00BF51E0"/>
    <w:rsid w:val="00BF52F3"/>
    <w:rsid w:val="00BF5B24"/>
    <w:rsid w:val="00BF5C24"/>
    <w:rsid w:val="00BF62C7"/>
    <w:rsid w:val="00BF72A2"/>
    <w:rsid w:val="00BF7A68"/>
    <w:rsid w:val="00C00749"/>
    <w:rsid w:val="00C014C5"/>
    <w:rsid w:val="00C0188E"/>
    <w:rsid w:val="00C019A9"/>
    <w:rsid w:val="00C02254"/>
    <w:rsid w:val="00C024FB"/>
    <w:rsid w:val="00C027CC"/>
    <w:rsid w:val="00C02CE4"/>
    <w:rsid w:val="00C038DA"/>
    <w:rsid w:val="00C03C46"/>
    <w:rsid w:val="00C03FEC"/>
    <w:rsid w:val="00C04BBB"/>
    <w:rsid w:val="00C04DE2"/>
    <w:rsid w:val="00C0549B"/>
    <w:rsid w:val="00C0649D"/>
    <w:rsid w:val="00C1082D"/>
    <w:rsid w:val="00C10EA6"/>
    <w:rsid w:val="00C119C6"/>
    <w:rsid w:val="00C126A5"/>
    <w:rsid w:val="00C12AEA"/>
    <w:rsid w:val="00C12F45"/>
    <w:rsid w:val="00C12F87"/>
    <w:rsid w:val="00C1301E"/>
    <w:rsid w:val="00C131E2"/>
    <w:rsid w:val="00C14A76"/>
    <w:rsid w:val="00C15B44"/>
    <w:rsid w:val="00C16AA4"/>
    <w:rsid w:val="00C17E5A"/>
    <w:rsid w:val="00C2001A"/>
    <w:rsid w:val="00C209A2"/>
    <w:rsid w:val="00C20A2C"/>
    <w:rsid w:val="00C20D2B"/>
    <w:rsid w:val="00C21961"/>
    <w:rsid w:val="00C21D00"/>
    <w:rsid w:val="00C222A1"/>
    <w:rsid w:val="00C22881"/>
    <w:rsid w:val="00C233DC"/>
    <w:rsid w:val="00C23D46"/>
    <w:rsid w:val="00C2422B"/>
    <w:rsid w:val="00C2644C"/>
    <w:rsid w:val="00C26F5E"/>
    <w:rsid w:val="00C27226"/>
    <w:rsid w:val="00C302BD"/>
    <w:rsid w:val="00C319DC"/>
    <w:rsid w:val="00C32006"/>
    <w:rsid w:val="00C32385"/>
    <w:rsid w:val="00C333AE"/>
    <w:rsid w:val="00C358CA"/>
    <w:rsid w:val="00C3709D"/>
    <w:rsid w:val="00C37CC1"/>
    <w:rsid w:val="00C37DC8"/>
    <w:rsid w:val="00C4069A"/>
    <w:rsid w:val="00C40DCA"/>
    <w:rsid w:val="00C4131B"/>
    <w:rsid w:val="00C421B2"/>
    <w:rsid w:val="00C4230A"/>
    <w:rsid w:val="00C466A5"/>
    <w:rsid w:val="00C46AD6"/>
    <w:rsid w:val="00C46DB2"/>
    <w:rsid w:val="00C47A76"/>
    <w:rsid w:val="00C47B94"/>
    <w:rsid w:val="00C47F86"/>
    <w:rsid w:val="00C51979"/>
    <w:rsid w:val="00C52224"/>
    <w:rsid w:val="00C525C5"/>
    <w:rsid w:val="00C53C56"/>
    <w:rsid w:val="00C5563C"/>
    <w:rsid w:val="00C5602F"/>
    <w:rsid w:val="00C57224"/>
    <w:rsid w:val="00C574A5"/>
    <w:rsid w:val="00C6005A"/>
    <w:rsid w:val="00C6022B"/>
    <w:rsid w:val="00C607E9"/>
    <w:rsid w:val="00C6163B"/>
    <w:rsid w:val="00C61A68"/>
    <w:rsid w:val="00C61F07"/>
    <w:rsid w:val="00C6215A"/>
    <w:rsid w:val="00C62A1A"/>
    <w:rsid w:val="00C638F3"/>
    <w:rsid w:val="00C63F13"/>
    <w:rsid w:val="00C65B62"/>
    <w:rsid w:val="00C67080"/>
    <w:rsid w:val="00C71FD0"/>
    <w:rsid w:val="00C72005"/>
    <w:rsid w:val="00C72550"/>
    <w:rsid w:val="00C73B3F"/>
    <w:rsid w:val="00C74CE9"/>
    <w:rsid w:val="00C75157"/>
    <w:rsid w:val="00C75720"/>
    <w:rsid w:val="00C75816"/>
    <w:rsid w:val="00C75CBC"/>
    <w:rsid w:val="00C774CF"/>
    <w:rsid w:val="00C803B7"/>
    <w:rsid w:val="00C80840"/>
    <w:rsid w:val="00C80E3B"/>
    <w:rsid w:val="00C81171"/>
    <w:rsid w:val="00C818FC"/>
    <w:rsid w:val="00C81B22"/>
    <w:rsid w:val="00C81F96"/>
    <w:rsid w:val="00C82302"/>
    <w:rsid w:val="00C82C3F"/>
    <w:rsid w:val="00C82CC4"/>
    <w:rsid w:val="00C8325C"/>
    <w:rsid w:val="00C845B2"/>
    <w:rsid w:val="00C84768"/>
    <w:rsid w:val="00C85050"/>
    <w:rsid w:val="00C8532E"/>
    <w:rsid w:val="00C85B1F"/>
    <w:rsid w:val="00C874F5"/>
    <w:rsid w:val="00C87DD6"/>
    <w:rsid w:val="00C9049C"/>
    <w:rsid w:val="00C905E4"/>
    <w:rsid w:val="00C91752"/>
    <w:rsid w:val="00C92394"/>
    <w:rsid w:val="00C926B0"/>
    <w:rsid w:val="00C92818"/>
    <w:rsid w:val="00C930DA"/>
    <w:rsid w:val="00C93FB6"/>
    <w:rsid w:val="00C94E4E"/>
    <w:rsid w:val="00C957A8"/>
    <w:rsid w:val="00C96E53"/>
    <w:rsid w:val="00C977CE"/>
    <w:rsid w:val="00C97B6D"/>
    <w:rsid w:val="00CA1030"/>
    <w:rsid w:val="00CA2B2C"/>
    <w:rsid w:val="00CA4637"/>
    <w:rsid w:val="00CA493D"/>
    <w:rsid w:val="00CA4F1C"/>
    <w:rsid w:val="00CA55D6"/>
    <w:rsid w:val="00CA7121"/>
    <w:rsid w:val="00CA73D8"/>
    <w:rsid w:val="00CA7E47"/>
    <w:rsid w:val="00CB037E"/>
    <w:rsid w:val="00CB03BA"/>
    <w:rsid w:val="00CB0496"/>
    <w:rsid w:val="00CB0E98"/>
    <w:rsid w:val="00CB0F23"/>
    <w:rsid w:val="00CB1550"/>
    <w:rsid w:val="00CB1CFB"/>
    <w:rsid w:val="00CB1FF3"/>
    <w:rsid w:val="00CB2603"/>
    <w:rsid w:val="00CB2B69"/>
    <w:rsid w:val="00CB3323"/>
    <w:rsid w:val="00CB36E4"/>
    <w:rsid w:val="00CB4811"/>
    <w:rsid w:val="00CB4821"/>
    <w:rsid w:val="00CB5834"/>
    <w:rsid w:val="00CB7B50"/>
    <w:rsid w:val="00CC03D4"/>
    <w:rsid w:val="00CC13E6"/>
    <w:rsid w:val="00CC14C7"/>
    <w:rsid w:val="00CC1974"/>
    <w:rsid w:val="00CC1BE1"/>
    <w:rsid w:val="00CC2B99"/>
    <w:rsid w:val="00CC2CCE"/>
    <w:rsid w:val="00CC2D81"/>
    <w:rsid w:val="00CC3C32"/>
    <w:rsid w:val="00CC473D"/>
    <w:rsid w:val="00CC5531"/>
    <w:rsid w:val="00CC5F83"/>
    <w:rsid w:val="00CC6E9A"/>
    <w:rsid w:val="00CC72BD"/>
    <w:rsid w:val="00CC7CE9"/>
    <w:rsid w:val="00CD12FB"/>
    <w:rsid w:val="00CD1EE8"/>
    <w:rsid w:val="00CD2D6B"/>
    <w:rsid w:val="00CD347F"/>
    <w:rsid w:val="00CD34C2"/>
    <w:rsid w:val="00CD4CFB"/>
    <w:rsid w:val="00CD5068"/>
    <w:rsid w:val="00CD5762"/>
    <w:rsid w:val="00CD6835"/>
    <w:rsid w:val="00CD6F6D"/>
    <w:rsid w:val="00CD6FAD"/>
    <w:rsid w:val="00CD74A7"/>
    <w:rsid w:val="00CD74EC"/>
    <w:rsid w:val="00CE0A37"/>
    <w:rsid w:val="00CE0ABD"/>
    <w:rsid w:val="00CE0DD5"/>
    <w:rsid w:val="00CE0E3B"/>
    <w:rsid w:val="00CE2518"/>
    <w:rsid w:val="00CE2846"/>
    <w:rsid w:val="00CE487D"/>
    <w:rsid w:val="00CE48D4"/>
    <w:rsid w:val="00CE54C3"/>
    <w:rsid w:val="00CE6DC0"/>
    <w:rsid w:val="00CE7EFD"/>
    <w:rsid w:val="00CF024C"/>
    <w:rsid w:val="00CF0B49"/>
    <w:rsid w:val="00CF2298"/>
    <w:rsid w:val="00CF348F"/>
    <w:rsid w:val="00CF380B"/>
    <w:rsid w:val="00CF3BE0"/>
    <w:rsid w:val="00CF3FC5"/>
    <w:rsid w:val="00CF429D"/>
    <w:rsid w:val="00CF471D"/>
    <w:rsid w:val="00CF4A96"/>
    <w:rsid w:val="00CF5D5E"/>
    <w:rsid w:val="00CF755B"/>
    <w:rsid w:val="00CF7568"/>
    <w:rsid w:val="00CF7CD5"/>
    <w:rsid w:val="00D00D51"/>
    <w:rsid w:val="00D0293E"/>
    <w:rsid w:val="00D06A85"/>
    <w:rsid w:val="00D07F58"/>
    <w:rsid w:val="00D10AC5"/>
    <w:rsid w:val="00D10BC4"/>
    <w:rsid w:val="00D11181"/>
    <w:rsid w:val="00D11459"/>
    <w:rsid w:val="00D11E59"/>
    <w:rsid w:val="00D123A1"/>
    <w:rsid w:val="00D125E6"/>
    <w:rsid w:val="00D12799"/>
    <w:rsid w:val="00D12FE0"/>
    <w:rsid w:val="00D1318B"/>
    <w:rsid w:val="00D138B4"/>
    <w:rsid w:val="00D13CF7"/>
    <w:rsid w:val="00D13DAC"/>
    <w:rsid w:val="00D14362"/>
    <w:rsid w:val="00D14F5F"/>
    <w:rsid w:val="00D164A4"/>
    <w:rsid w:val="00D16F9C"/>
    <w:rsid w:val="00D1796F"/>
    <w:rsid w:val="00D2012C"/>
    <w:rsid w:val="00D20351"/>
    <w:rsid w:val="00D203A4"/>
    <w:rsid w:val="00D21925"/>
    <w:rsid w:val="00D220E9"/>
    <w:rsid w:val="00D2260D"/>
    <w:rsid w:val="00D23DE3"/>
    <w:rsid w:val="00D24B12"/>
    <w:rsid w:val="00D26BDD"/>
    <w:rsid w:val="00D2773A"/>
    <w:rsid w:val="00D305B7"/>
    <w:rsid w:val="00D3249A"/>
    <w:rsid w:val="00D32BE3"/>
    <w:rsid w:val="00D32F5D"/>
    <w:rsid w:val="00D33933"/>
    <w:rsid w:val="00D33944"/>
    <w:rsid w:val="00D34827"/>
    <w:rsid w:val="00D34EB6"/>
    <w:rsid w:val="00D351EF"/>
    <w:rsid w:val="00D35380"/>
    <w:rsid w:val="00D35E40"/>
    <w:rsid w:val="00D36D0F"/>
    <w:rsid w:val="00D37872"/>
    <w:rsid w:val="00D400E8"/>
    <w:rsid w:val="00D402EB"/>
    <w:rsid w:val="00D41921"/>
    <w:rsid w:val="00D425B5"/>
    <w:rsid w:val="00D42781"/>
    <w:rsid w:val="00D43DEF"/>
    <w:rsid w:val="00D4402C"/>
    <w:rsid w:val="00D44ACA"/>
    <w:rsid w:val="00D45947"/>
    <w:rsid w:val="00D45958"/>
    <w:rsid w:val="00D477FC"/>
    <w:rsid w:val="00D50840"/>
    <w:rsid w:val="00D515BD"/>
    <w:rsid w:val="00D51F9D"/>
    <w:rsid w:val="00D52558"/>
    <w:rsid w:val="00D528C7"/>
    <w:rsid w:val="00D531C8"/>
    <w:rsid w:val="00D546CF"/>
    <w:rsid w:val="00D564D5"/>
    <w:rsid w:val="00D5659D"/>
    <w:rsid w:val="00D566A7"/>
    <w:rsid w:val="00D60C25"/>
    <w:rsid w:val="00D6172C"/>
    <w:rsid w:val="00D619A3"/>
    <w:rsid w:val="00D61B76"/>
    <w:rsid w:val="00D62716"/>
    <w:rsid w:val="00D64831"/>
    <w:rsid w:val="00D64CAF"/>
    <w:rsid w:val="00D65065"/>
    <w:rsid w:val="00D66599"/>
    <w:rsid w:val="00D66AFE"/>
    <w:rsid w:val="00D670DB"/>
    <w:rsid w:val="00D67110"/>
    <w:rsid w:val="00D67BAB"/>
    <w:rsid w:val="00D70030"/>
    <w:rsid w:val="00D70138"/>
    <w:rsid w:val="00D7037C"/>
    <w:rsid w:val="00D70FCA"/>
    <w:rsid w:val="00D73AB7"/>
    <w:rsid w:val="00D73FDD"/>
    <w:rsid w:val="00D7400A"/>
    <w:rsid w:val="00D757A8"/>
    <w:rsid w:val="00D75A87"/>
    <w:rsid w:val="00D75C32"/>
    <w:rsid w:val="00D76548"/>
    <w:rsid w:val="00D774AA"/>
    <w:rsid w:val="00D808E9"/>
    <w:rsid w:val="00D85CA7"/>
    <w:rsid w:val="00D862F4"/>
    <w:rsid w:val="00D86ECF"/>
    <w:rsid w:val="00D8736B"/>
    <w:rsid w:val="00D87A4B"/>
    <w:rsid w:val="00D926AA"/>
    <w:rsid w:val="00D9287A"/>
    <w:rsid w:val="00D94470"/>
    <w:rsid w:val="00D9477F"/>
    <w:rsid w:val="00D958A5"/>
    <w:rsid w:val="00D9712B"/>
    <w:rsid w:val="00DA0BCC"/>
    <w:rsid w:val="00DA1B7E"/>
    <w:rsid w:val="00DA2DEA"/>
    <w:rsid w:val="00DA3F65"/>
    <w:rsid w:val="00DA4592"/>
    <w:rsid w:val="00DA50D9"/>
    <w:rsid w:val="00DA5791"/>
    <w:rsid w:val="00DA6224"/>
    <w:rsid w:val="00DA7784"/>
    <w:rsid w:val="00DA7941"/>
    <w:rsid w:val="00DB0233"/>
    <w:rsid w:val="00DB02CE"/>
    <w:rsid w:val="00DB126E"/>
    <w:rsid w:val="00DB1ACB"/>
    <w:rsid w:val="00DB1C67"/>
    <w:rsid w:val="00DB1FAC"/>
    <w:rsid w:val="00DB2C44"/>
    <w:rsid w:val="00DB4BA3"/>
    <w:rsid w:val="00DB4E87"/>
    <w:rsid w:val="00DB5B45"/>
    <w:rsid w:val="00DB65EA"/>
    <w:rsid w:val="00DB7F7F"/>
    <w:rsid w:val="00DC1636"/>
    <w:rsid w:val="00DC16B1"/>
    <w:rsid w:val="00DC1DB3"/>
    <w:rsid w:val="00DC2C86"/>
    <w:rsid w:val="00DC3BA6"/>
    <w:rsid w:val="00DC406D"/>
    <w:rsid w:val="00DC4F75"/>
    <w:rsid w:val="00DD0066"/>
    <w:rsid w:val="00DD0152"/>
    <w:rsid w:val="00DD0F71"/>
    <w:rsid w:val="00DD13BA"/>
    <w:rsid w:val="00DD20AE"/>
    <w:rsid w:val="00DD30D6"/>
    <w:rsid w:val="00DD44A8"/>
    <w:rsid w:val="00DD4558"/>
    <w:rsid w:val="00DD767F"/>
    <w:rsid w:val="00DD78C5"/>
    <w:rsid w:val="00DE0050"/>
    <w:rsid w:val="00DE0817"/>
    <w:rsid w:val="00DE0A66"/>
    <w:rsid w:val="00DE1235"/>
    <w:rsid w:val="00DE2B59"/>
    <w:rsid w:val="00DE2BCD"/>
    <w:rsid w:val="00DE3AFF"/>
    <w:rsid w:val="00DE49B7"/>
    <w:rsid w:val="00DE4E12"/>
    <w:rsid w:val="00DE54CB"/>
    <w:rsid w:val="00DE5ABF"/>
    <w:rsid w:val="00DE5B58"/>
    <w:rsid w:val="00DE6B3E"/>
    <w:rsid w:val="00DE6F3B"/>
    <w:rsid w:val="00DE756E"/>
    <w:rsid w:val="00DE7808"/>
    <w:rsid w:val="00DE7A9C"/>
    <w:rsid w:val="00DF054D"/>
    <w:rsid w:val="00DF07C1"/>
    <w:rsid w:val="00DF13EF"/>
    <w:rsid w:val="00DF1C4C"/>
    <w:rsid w:val="00DF1E6F"/>
    <w:rsid w:val="00DF26E8"/>
    <w:rsid w:val="00DF2FE3"/>
    <w:rsid w:val="00DF3456"/>
    <w:rsid w:val="00DF41C4"/>
    <w:rsid w:val="00DF43A1"/>
    <w:rsid w:val="00DF561F"/>
    <w:rsid w:val="00DF634F"/>
    <w:rsid w:val="00DF659C"/>
    <w:rsid w:val="00DF7025"/>
    <w:rsid w:val="00DF7CD1"/>
    <w:rsid w:val="00E0041E"/>
    <w:rsid w:val="00E007B3"/>
    <w:rsid w:val="00E0175F"/>
    <w:rsid w:val="00E0194F"/>
    <w:rsid w:val="00E01F86"/>
    <w:rsid w:val="00E029E7"/>
    <w:rsid w:val="00E02AA4"/>
    <w:rsid w:val="00E03A32"/>
    <w:rsid w:val="00E046BB"/>
    <w:rsid w:val="00E056B0"/>
    <w:rsid w:val="00E05A2B"/>
    <w:rsid w:val="00E05ECA"/>
    <w:rsid w:val="00E07880"/>
    <w:rsid w:val="00E07AC8"/>
    <w:rsid w:val="00E07E86"/>
    <w:rsid w:val="00E11247"/>
    <w:rsid w:val="00E12513"/>
    <w:rsid w:val="00E12596"/>
    <w:rsid w:val="00E12682"/>
    <w:rsid w:val="00E12ACB"/>
    <w:rsid w:val="00E12D5D"/>
    <w:rsid w:val="00E12FCB"/>
    <w:rsid w:val="00E135E7"/>
    <w:rsid w:val="00E13641"/>
    <w:rsid w:val="00E13989"/>
    <w:rsid w:val="00E13DED"/>
    <w:rsid w:val="00E13E02"/>
    <w:rsid w:val="00E13EEA"/>
    <w:rsid w:val="00E16596"/>
    <w:rsid w:val="00E17D1B"/>
    <w:rsid w:val="00E20310"/>
    <w:rsid w:val="00E2160B"/>
    <w:rsid w:val="00E21790"/>
    <w:rsid w:val="00E21FDA"/>
    <w:rsid w:val="00E23F97"/>
    <w:rsid w:val="00E244DD"/>
    <w:rsid w:val="00E246D0"/>
    <w:rsid w:val="00E248EC"/>
    <w:rsid w:val="00E24938"/>
    <w:rsid w:val="00E2570F"/>
    <w:rsid w:val="00E26246"/>
    <w:rsid w:val="00E269A4"/>
    <w:rsid w:val="00E274E5"/>
    <w:rsid w:val="00E30746"/>
    <w:rsid w:val="00E307CB"/>
    <w:rsid w:val="00E30A16"/>
    <w:rsid w:val="00E33587"/>
    <w:rsid w:val="00E34BE9"/>
    <w:rsid w:val="00E364D8"/>
    <w:rsid w:val="00E3650C"/>
    <w:rsid w:val="00E3673B"/>
    <w:rsid w:val="00E36A1E"/>
    <w:rsid w:val="00E37203"/>
    <w:rsid w:val="00E37534"/>
    <w:rsid w:val="00E410D8"/>
    <w:rsid w:val="00E4321D"/>
    <w:rsid w:val="00E43350"/>
    <w:rsid w:val="00E445F1"/>
    <w:rsid w:val="00E45395"/>
    <w:rsid w:val="00E45C5D"/>
    <w:rsid w:val="00E464F8"/>
    <w:rsid w:val="00E47447"/>
    <w:rsid w:val="00E5320A"/>
    <w:rsid w:val="00E544C5"/>
    <w:rsid w:val="00E54628"/>
    <w:rsid w:val="00E567B0"/>
    <w:rsid w:val="00E56AF3"/>
    <w:rsid w:val="00E573F8"/>
    <w:rsid w:val="00E60A15"/>
    <w:rsid w:val="00E62105"/>
    <w:rsid w:val="00E62239"/>
    <w:rsid w:val="00E63505"/>
    <w:rsid w:val="00E6438A"/>
    <w:rsid w:val="00E64772"/>
    <w:rsid w:val="00E65E1C"/>
    <w:rsid w:val="00E66AF5"/>
    <w:rsid w:val="00E67FD7"/>
    <w:rsid w:val="00E7098C"/>
    <w:rsid w:val="00E7107C"/>
    <w:rsid w:val="00E71097"/>
    <w:rsid w:val="00E722D5"/>
    <w:rsid w:val="00E73924"/>
    <w:rsid w:val="00E74DFE"/>
    <w:rsid w:val="00E74E85"/>
    <w:rsid w:val="00E758F9"/>
    <w:rsid w:val="00E75E54"/>
    <w:rsid w:val="00E76286"/>
    <w:rsid w:val="00E77088"/>
    <w:rsid w:val="00E77B3A"/>
    <w:rsid w:val="00E80DD1"/>
    <w:rsid w:val="00E8114B"/>
    <w:rsid w:val="00E818E4"/>
    <w:rsid w:val="00E81993"/>
    <w:rsid w:val="00E82C24"/>
    <w:rsid w:val="00E82D8D"/>
    <w:rsid w:val="00E83C98"/>
    <w:rsid w:val="00E850F0"/>
    <w:rsid w:val="00E85429"/>
    <w:rsid w:val="00E85BF4"/>
    <w:rsid w:val="00E85D04"/>
    <w:rsid w:val="00E85F94"/>
    <w:rsid w:val="00E8641A"/>
    <w:rsid w:val="00E87815"/>
    <w:rsid w:val="00E907FD"/>
    <w:rsid w:val="00E91807"/>
    <w:rsid w:val="00E91ADA"/>
    <w:rsid w:val="00E946D4"/>
    <w:rsid w:val="00E94BFE"/>
    <w:rsid w:val="00E9501A"/>
    <w:rsid w:val="00E950E1"/>
    <w:rsid w:val="00E96D69"/>
    <w:rsid w:val="00E96E19"/>
    <w:rsid w:val="00E9713D"/>
    <w:rsid w:val="00EA0CD9"/>
    <w:rsid w:val="00EA359E"/>
    <w:rsid w:val="00EA3940"/>
    <w:rsid w:val="00EA3DD3"/>
    <w:rsid w:val="00EA41F5"/>
    <w:rsid w:val="00EA4595"/>
    <w:rsid w:val="00EA490C"/>
    <w:rsid w:val="00EA5CC3"/>
    <w:rsid w:val="00EA5E72"/>
    <w:rsid w:val="00EA5EFA"/>
    <w:rsid w:val="00EA6387"/>
    <w:rsid w:val="00EA6746"/>
    <w:rsid w:val="00EA6C22"/>
    <w:rsid w:val="00EA714C"/>
    <w:rsid w:val="00EA7CF9"/>
    <w:rsid w:val="00EB1520"/>
    <w:rsid w:val="00EB1CA8"/>
    <w:rsid w:val="00EB1DC3"/>
    <w:rsid w:val="00EB201A"/>
    <w:rsid w:val="00EB3388"/>
    <w:rsid w:val="00EB3416"/>
    <w:rsid w:val="00EB4EC0"/>
    <w:rsid w:val="00EB5905"/>
    <w:rsid w:val="00EB5BBB"/>
    <w:rsid w:val="00EB5F10"/>
    <w:rsid w:val="00EB65EA"/>
    <w:rsid w:val="00EB7496"/>
    <w:rsid w:val="00EC1256"/>
    <w:rsid w:val="00EC1F70"/>
    <w:rsid w:val="00EC2061"/>
    <w:rsid w:val="00EC30B4"/>
    <w:rsid w:val="00EC38EA"/>
    <w:rsid w:val="00EC39E4"/>
    <w:rsid w:val="00EC52C1"/>
    <w:rsid w:val="00EC57F8"/>
    <w:rsid w:val="00EC631C"/>
    <w:rsid w:val="00EC6D9B"/>
    <w:rsid w:val="00EC760F"/>
    <w:rsid w:val="00ED0706"/>
    <w:rsid w:val="00ED0E51"/>
    <w:rsid w:val="00ED1D91"/>
    <w:rsid w:val="00ED2072"/>
    <w:rsid w:val="00ED2ABF"/>
    <w:rsid w:val="00ED2B55"/>
    <w:rsid w:val="00ED4AC8"/>
    <w:rsid w:val="00ED5114"/>
    <w:rsid w:val="00ED6619"/>
    <w:rsid w:val="00ED66FA"/>
    <w:rsid w:val="00ED67F5"/>
    <w:rsid w:val="00ED6CDF"/>
    <w:rsid w:val="00ED752E"/>
    <w:rsid w:val="00ED7AFF"/>
    <w:rsid w:val="00EE056B"/>
    <w:rsid w:val="00EE10D2"/>
    <w:rsid w:val="00EE29D3"/>
    <w:rsid w:val="00EE3152"/>
    <w:rsid w:val="00EE3E06"/>
    <w:rsid w:val="00EE42B3"/>
    <w:rsid w:val="00EE45D4"/>
    <w:rsid w:val="00EE48AC"/>
    <w:rsid w:val="00EE60D2"/>
    <w:rsid w:val="00EE6563"/>
    <w:rsid w:val="00EE67F0"/>
    <w:rsid w:val="00EE6D27"/>
    <w:rsid w:val="00EF0FD9"/>
    <w:rsid w:val="00EF1270"/>
    <w:rsid w:val="00EF2E03"/>
    <w:rsid w:val="00EF2FC5"/>
    <w:rsid w:val="00EF312F"/>
    <w:rsid w:val="00EF3B0D"/>
    <w:rsid w:val="00EF3CE2"/>
    <w:rsid w:val="00EF42B6"/>
    <w:rsid w:val="00EF4843"/>
    <w:rsid w:val="00F0098C"/>
    <w:rsid w:val="00F0123B"/>
    <w:rsid w:val="00F0165C"/>
    <w:rsid w:val="00F03216"/>
    <w:rsid w:val="00F03FB5"/>
    <w:rsid w:val="00F04A4B"/>
    <w:rsid w:val="00F061C0"/>
    <w:rsid w:val="00F069AC"/>
    <w:rsid w:val="00F06D1A"/>
    <w:rsid w:val="00F07840"/>
    <w:rsid w:val="00F07988"/>
    <w:rsid w:val="00F10B3A"/>
    <w:rsid w:val="00F11041"/>
    <w:rsid w:val="00F1123D"/>
    <w:rsid w:val="00F117D9"/>
    <w:rsid w:val="00F12410"/>
    <w:rsid w:val="00F12796"/>
    <w:rsid w:val="00F13776"/>
    <w:rsid w:val="00F14241"/>
    <w:rsid w:val="00F14AD4"/>
    <w:rsid w:val="00F159BB"/>
    <w:rsid w:val="00F1618D"/>
    <w:rsid w:val="00F16668"/>
    <w:rsid w:val="00F16885"/>
    <w:rsid w:val="00F1744F"/>
    <w:rsid w:val="00F2068F"/>
    <w:rsid w:val="00F209DC"/>
    <w:rsid w:val="00F21302"/>
    <w:rsid w:val="00F238C6"/>
    <w:rsid w:val="00F246B1"/>
    <w:rsid w:val="00F268E2"/>
    <w:rsid w:val="00F26C5F"/>
    <w:rsid w:val="00F26FEA"/>
    <w:rsid w:val="00F30F13"/>
    <w:rsid w:val="00F314DF"/>
    <w:rsid w:val="00F31A5F"/>
    <w:rsid w:val="00F334ED"/>
    <w:rsid w:val="00F350E9"/>
    <w:rsid w:val="00F35AFF"/>
    <w:rsid w:val="00F3620E"/>
    <w:rsid w:val="00F36CB4"/>
    <w:rsid w:val="00F36DAB"/>
    <w:rsid w:val="00F40DE5"/>
    <w:rsid w:val="00F413D1"/>
    <w:rsid w:val="00F4175F"/>
    <w:rsid w:val="00F41B29"/>
    <w:rsid w:val="00F41B67"/>
    <w:rsid w:val="00F41E17"/>
    <w:rsid w:val="00F42A75"/>
    <w:rsid w:val="00F433E2"/>
    <w:rsid w:val="00F43563"/>
    <w:rsid w:val="00F43BCA"/>
    <w:rsid w:val="00F43FD8"/>
    <w:rsid w:val="00F4414E"/>
    <w:rsid w:val="00F44158"/>
    <w:rsid w:val="00F442BF"/>
    <w:rsid w:val="00F4444A"/>
    <w:rsid w:val="00F44E15"/>
    <w:rsid w:val="00F45CAE"/>
    <w:rsid w:val="00F46336"/>
    <w:rsid w:val="00F46C83"/>
    <w:rsid w:val="00F4779F"/>
    <w:rsid w:val="00F50261"/>
    <w:rsid w:val="00F50D31"/>
    <w:rsid w:val="00F52865"/>
    <w:rsid w:val="00F52870"/>
    <w:rsid w:val="00F52D31"/>
    <w:rsid w:val="00F536D3"/>
    <w:rsid w:val="00F53A66"/>
    <w:rsid w:val="00F53BE7"/>
    <w:rsid w:val="00F54370"/>
    <w:rsid w:val="00F54886"/>
    <w:rsid w:val="00F552BB"/>
    <w:rsid w:val="00F55847"/>
    <w:rsid w:val="00F55ECC"/>
    <w:rsid w:val="00F563BB"/>
    <w:rsid w:val="00F567D0"/>
    <w:rsid w:val="00F572E0"/>
    <w:rsid w:val="00F57316"/>
    <w:rsid w:val="00F57B5A"/>
    <w:rsid w:val="00F60DB2"/>
    <w:rsid w:val="00F61B3E"/>
    <w:rsid w:val="00F63D5D"/>
    <w:rsid w:val="00F649EC"/>
    <w:rsid w:val="00F66296"/>
    <w:rsid w:val="00F66993"/>
    <w:rsid w:val="00F66E78"/>
    <w:rsid w:val="00F6720E"/>
    <w:rsid w:val="00F67397"/>
    <w:rsid w:val="00F67D4E"/>
    <w:rsid w:val="00F67F4E"/>
    <w:rsid w:val="00F70D5E"/>
    <w:rsid w:val="00F71005"/>
    <w:rsid w:val="00F71358"/>
    <w:rsid w:val="00F7160C"/>
    <w:rsid w:val="00F71EB5"/>
    <w:rsid w:val="00F71F5E"/>
    <w:rsid w:val="00F72D88"/>
    <w:rsid w:val="00F75E7B"/>
    <w:rsid w:val="00F7711B"/>
    <w:rsid w:val="00F81576"/>
    <w:rsid w:val="00F8231F"/>
    <w:rsid w:val="00F83DEE"/>
    <w:rsid w:val="00F84B6F"/>
    <w:rsid w:val="00F858C9"/>
    <w:rsid w:val="00F8618C"/>
    <w:rsid w:val="00F870A4"/>
    <w:rsid w:val="00F877C0"/>
    <w:rsid w:val="00F87AA4"/>
    <w:rsid w:val="00F87F59"/>
    <w:rsid w:val="00F911D1"/>
    <w:rsid w:val="00F91AC7"/>
    <w:rsid w:val="00F923EC"/>
    <w:rsid w:val="00F92A0B"/>
    <w:rsid w:val="00F92C70"/>
    <w:rsid w:val="00F946BC"/>
    <w:rsid w:val="00F950B7"/>
    <w:rsid w:val="00F9772A"/>
    <w:rsid w:val="00F97FD3"/>
    <w:rsid w:val="00FA05D3"/>
    <w:rsid w:val="00FA06FF"/>
    <w:rsid w:val="00FA08F0"/>
    <w:rsid w:val="00FA1D14"/>
    <w:rsid w:val="00FA1E30"/>
    <w:rsid w:val="00FA2091"/>
    <w:rsid w:val="00FA269C"/>
    <w:rsid w:val="00FA2750"/>
    <w:rsid w:val="00FA3110"/>
    <w:rsid w:val="00FA5F4E"/>
    <w:rsid w:val="00FA6DA5"/>
    <w:rsid w:val="00FA7E4C"/>
    <w:rsid w:val="00FB0BA4"/>
    <w:rsid w:val="00FB1632"/>
    <w:rsid w:val="00FB1CEC"/>
    <w:rsid w:val="00FB2DF0"/>
    <w:rsid w:val="00FB3011"/>
    <w:rsid w:val="00FB41AF"/>
    <w:rsid w:val="00FB4A12"/>
    <w:rsid w:val="00FB4EB7"/>
    <w:rsid w:val="00FB561C"/>
    <w:rsid w:val="00FB6870"/>
    <w:rsid w:val="00FB68EA"/>
    <w:rsid w:val="00FB7D85"/>
    <w:rsid w:val="00FB7EA9"/>
    <w:rsid w:val="00FC17CF"/>
    <w:rsid w:val="00FC190E"/>
    <w:rsid w:val="00FC2EE5"/>
    <w:rsid w:val="00FC3118"/>
    <w:rsid w:val="00FC51F8"/>
    <w:rsid w:val="00FC66AF"/>
    <w:rsid w:val="00FC6C3A"/>
    <w:rsid w:val="00FC76F5"/>
    <w:rsid w:val="00FD03BC"/>
    <w:rsid w:val="00FD0DE9"/>
    <w:rsid w:val="00FD16A2"/>
    <w:rsid w:val="00FD1742"/>
    <w:rsid w:val="00FD2022"/>
    <w:rsid w:val="00FD2C34"/>
    <w:rsid w:val="00FD2D75"/>
    <w:rsid w:val="00FD2E95"/>
    <w:rsid w:val="00FD3188"/>
    <w:rsid w:val="00FD3237"/>
    <w:rsid w:val="00FD3F63"/>
    <w:rsid w:val="00FD431B"/>
    <w:rsid w:val="00FD4843"/>
    <w:rsid w:val="00FD510C"/>
    <w:rsid w:val="00FD544C"/>
    <w:rsid w:val="00FD5921"/>
    <w:rsid w:val="00FD5925"/>
    <w:rsid w:val="00FD64C4"/>
    <w:rsid w:val="00FD66FC"/>
    <w:rsid w:val="00FD6CE0"/>
    <w:rsid w:val="00FD73EB"/>
    <w:rsid w:val="00FD756E"/>
    <w:rsid w:val="00FD7780"/>
    <w:rsid w:val="00FD7A71"/>
    <w:rsid w:val="00FD7A77"/>
    <w:rsid w:val="00FE081B"/>
    <w:rsid w:val="00FE097A"/>
    <w:rsid w:val="00FE1329"/>
    <w:rsid w:val="00FE1C0E"/>
    <w:rsid w:val="00FE2BD4"/>
    <w:rsid w:val="00FE3A63"/>
    <w:rsid w:val="00FE3B02"/>
    <w:rsid w:val="00FE3E18"/>
    <w:rsid w:val="00FE4C1F"/>
    <w:rsid w:val="00FE639F"/>
    <w:rsid w:val="00FE6432"/>
    <w:rsid w:val="00FE6495"/>
    <w:rsid w:val="00FE65C8"/>
    <w:rsid w:val="00FF0348"/>
    <w:rsid w:val="00FF09B4"/>
    <w:rsid w:val="00FF0AB6"/>
    <w:rsid w:val="00FF178F"/>
    <w:rsid w:val="00FF1B73"/>
    <w:rsid w:val="00FF2367"/>
    <w:rsid w:val="00FF246C"/>
    <w:rsid w:val="00FF274E"/>
    <w:rsid w:val="00FF278F"/>
    <w:rsid w:val="00FF2941"/>
    <w:rsid w:val="00FF3FEC"/>
    <w:rsid w:val="00FF45F9"/>
    <w:rsid w:val="00FF506A"/>
    <w:rsid w:val="00FF56F5"/>
    <w:rsid w:val="00FF578D"/>
    <w:rsid w:val="00FF5FBA"/>
    <w:rsid w:val="00FF7225"/>
    <w:rsid w:val="00FF75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E316"/>
  <w15:chartTrackingRefBased/>
  <w15:docId w15:val="{9AB5549B-295B-4506-9F1E-2E3955E92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990"/>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9501A"/>
    <w:pPr>
      <w:keepNext/>
      <w:keepLines/>
      <w:spacing w:before="40" w:after="0"/>
      <w:outlineLvl w:val="1"/>
    </w:pPr>
    <w:rPr>
      <w:rFonts w:ascii="Calibri" w:eastAsiaTheme="majorEastAsia" w:hAnsi="Calibri" w:cstheme="majorBidi"/>
      <w:b/>
      <w:szCs w:val="26"/>
    </w:rPr>
  </w:style>
  <w:style w:type="paragraph" w:styleId="Heading3">
    <w:name w:val="heading 3"/>
    <w:basedOn w:val="Normal"/>
    <w:next w:val="Normal"/>
    <w:link w:val="Heading3Char"/>
    <w:uiPriority w:val="9"/>
    <w:unhideWhenUsed/>
    <w:qFormat/>
    <w:rsid w:val="00344E76"/>
    <w:pPr>
      <w:keepNext/>
      <w:keepLines/>
      <w:spacing w:before="40" w:after="0"/>
      <w:outlineLvl w:val="2"/>
    </w:pPr>
    <w:rPr>
      <w:rFonts w:ascii="Calibri" w:eastAsiaTheme="majorEastAsia" w:hAnsi="Calibri" w:cstheme="majorBidi"/>
      <w:b/>
      <w:i/>
      <w:szCs w:val="24"/>
    </w:rPr>
  </w:style>
  <w:style w:type="paragraph" w:styleId="Heading4">
    <w:name w:val="heading 4"/>
    <w:basedOn w:val="Normal"/>
    <w:next w:val="Normal"/>
    <w:link w:val="Heading4Char"/>
    <w:uiPriority w:val="9"/>
    <w:unhideWhenUsed/>
    <w:qFormat/>
    <w:rsid w:val="00E9501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6486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990"/>
    <w:rPr>
      <w:rFonts w:eastAsiaTheme="majorEastAsia" w:cstheme="majorBidi"/>
      <w:b/>
      <w:szCs w:val="32"/>
    </w:rPr>
  </w:style>
  <w:style w:type="character" w:customStyle="1" w:styleId="Heading2Char">
    <w:name w:val="Heading 2 Char"/>
    <w:basedOn w:val="DefaultParagraphFont"/>
    <w:link w:val="Heading2"/>
    <w:uiPriority w:val="9"/>
    <w:rsid w:val="00E9501A"/>
    <w:rPr>
      <w:rFonts w:ascii="Calibri" w:eastAsiaTheme="majorEastAsia" w:hAnsi="Calibri" w:cstheme="majorBidi"/>
      <w:b/>
      <w:szCs w:val="26"/>
    </w:rPr>
  </w:style>
  <w:style w:type="character" w:customStyle="1" w:styleId="Heading3Char">
    <w:name w:val="Heading 3 Char"/>
    <w:basedOn w:val="DefaultParagraphFont"/>
    <w:link w:val="Heading3"/>
    <w:uiPriority w:val="9"/>
    <w:rsid w:val="00344E76"/>
    <w:rPr>
      <w:rFonts w:ascii="Calibri" w:eastAsiaTheme="majorEastAsia" w:hAnsi="Calibri" w:cstheme="majorBidi"/>
      <w:b/>
      <w:i/>
      <w:szCs w:val="24"/>
    </w:rPr>
  </w:style>
  <w:style w:type="paragraph" w:styleId="TOCHeading">
    <w:name w:val="TOC Heading"/>
    <w:basedOn w:val="Heading1"/>
    <w:next w:val="Normal"/>
    <w:uiPriority w:val="39"/>
    <w:unhideWhenUsed/>
    <w:qFormat/>
    <w:rsid w:val="001A1065"/>
    <w:pPr>
      <w:outlineLvl w:val="9"/>
    </w:pPr>
    <w:rPr>
      <w:b w:val="0"/>
      <w:color w:val="2F5496" w:themeColor="accent1" w:themeShade="BF"/>
      <w:lang w:val="en-US"/>
    </w:rPr>
  </w:style>
  <w:style w:type="paragraph" w:styleId="TOC1">
    <w:name w:val="toc 1"/>
    <w:basedOn w:val="Normal"/>
    <w:next w:val="Normal"/>
    <w:autoRedefine/>
    <w:uiPriority w:val="39"/>
    <w:unhideWhenUsed/>
    <w:rsid w:val="00367E52"/>
    <w:pPr>
      <w:tabs>
        <w:tab w:val="right" w:leader="dot" w:pos="9344"/>
      </w:tabs>
      <w:spacing w:after="100" w:line="240" w:lineRule="auto"/>
    </w:pPr>
  </w:style>
  <w:style w:type="paragraph" w:styleId="TOC2">
    <w:name w:val="toc 2"/>
    <w:basedOn w:val="Normal"/>
    <w:next w:val="Normal"/>
    <w:autoRedefine/>
    <w:uiPriority w:val="39"/>
    <w:unhideWhenUsed/>
    <w:rsid w:val="00DE49B7"/>
    <w:pPr>
      <w:tabs>
        <w:tab w:val="right" w:leader="dot" w:pos="9344"/>
      </w:tabs>
      <w:spacing w:after="100"/>
      <w:ind w:left="220"/>
    </w:pPr>
  </w:style>
  <w:style w:type="paragraph" w:styleId="TOC3">
    <w:name w:val="toc 3"/>
    <w:basedOn w:val="Normal"/>
    <w:next w:val="Normal"/>
    <w:autoRedefine/>
    <w:uiPriority w:val="39"/>
    <w:unhideWhenUsed/>
    <w:rsid w:val="001A1065"/>
    <w:pPr>
      <w:spacing w:after="100"/>
      <w:ind w:left="440"/>
    </w:pPr>
  </w:style>
  <w:style w:type="character" w:styleId="Hyperlink">
    <w:name w:val="Hyperlink"/>
    <w:basedOn w:val="DefaultParagraphFont"/>
    <w:uiPriority w:val="99"/>
    <w:unhideWhenUsed/>
    <w:rsid w:val="001A1065"/>
    <w:rPr>
      <w:color w:val="0563C1" w:themeColor="hyperlink"/>
      <w:u w:val="single"/>
    </w:rPr>
  </w:style>
  <w:style w:type="paragraph" w:styleId="Header">
    <w:name w:val="header"/>
    <w:basedOn w:val="Normal"/>
    <w:link w:val="HeaderChar"/>
    <w:uiPriority w:val="99"/>
    <w:unhideWhenUsed/>
    <w:rsid w:val="00C803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3B7"/>
  </w:style>
  <w:style w:type="paragraph" w:styleId="Footer">
    <w:name w:val="footer"/>
    <w:basedOn w:val="Normal"/>
    <w:link w:val="FooterChar"/>
    <w:uiPriority w:val="99"/>
    <w:unhideWhenUsed/>
    <w:rsid w:val="00C803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3B7"/>
  </w:style>
  <w:style w:type="paragraph" w:styleId="BodyText">
    <w:name w:val="Body Text"/>
    <w:aliases w:val=" uvlaka 3"/>
    <w:basedOn w:val="Normal"/>
    <w:link w:val="BodyTextChar"/>
    <w:semiHidden/>
    <w:rsid w:val="00A21219"/>
    <w:pPr>
      <w:spacing w:after="0" w:line="360" w:lineRule="auto"/>
      <w:jc w:val="both"/>
    </w:pPr>
    <w:rPr>
      <w:rFonts w:ascii="Arial" w:eastAsia="Times New Roman" w:hAnsi="Arial" w:cs="Arial"/>
      <w:szCs w:val="24"/>
    </w:rPr>
  </w:style>
  <w:style w:type="character" w:customStyle="1" w:styleId="BodyTextChar">
    <w:name w:val="Body Text Char"/>
    <w:aliases w:val=" uvlaka 3 Char"/>
    <w:basedOn w:val="DefaultParagraphFont"/>
    <w:link w:val="BodyText"/>
    <w:semiHidden/>
    <w:rsid w:val="00A21219"/>
    <w:rPr>
      <w:rFonts w:ascii="Arial" w:eastAsia="Times New Roman" w:hAnsi="Arial" w:cs="Arial"/>
      <w:szCs w:val="24"/>
    </w:rPr>
  </w:style>
  <w:style w:type="character" w:styleId="Strong">
    <w:name w:val="Strong"/>
    <w:qFormat/>
    <w:rsid w:val="00A21219"/>
    <w:rPr>
      <w:b/>
      <w:bCs/>
    </w:rPr>
  </w:style>
  <w:style w:type="paragraph" w:styleId="NormalWeb">
    <w:name w:val="Normal (Web)"/>
    <w:basedOn w:val="Normal"/>
    <w:semiHidden/>
    <w:rsid w:val="00A21219"/>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A21219"/>
    <w:pPr>
      <w:spacing w:after="0" w:line="360" w:lineRule="auto"/>
      <w:ind w:left="360" w:firstLine="36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21219"/>
    <w:rPr>
      <w:rFonts w:ascii="Times New Roman" w:eastAsia="Times New Roman" w:hAnsi="Times New Roman" w:cs="Times New Roman"/>
      <w:sz w:val="24"/>
      <w:szCs w:val="24"/>
    </w:rPr>
  </w:style>
  <w:style w:type="paragraph" w:customStyle="1" w:styleId="Default">
    <w:name w:val="Default"/>
    <w:rsid w:val="00A21219"/>
    <w:pPr>
      <w:autoSpaceDE w:val="0"/>
      <w:autoSpaceDN w:val="0"/>
      <w:adjustRightInd w:val="0"/>
      <w:spacing w:after="0" w:line="240" w:lineRule="auto"/>
    </w:pPr>
    <w:rPr>
      <w:rFonts w:ascii="Calibri" w:eastAsia="Times New Roman" w:hAnsi="Calibri" w:cs="Calibri"/>
      <w:color w:val="000000"/>
      <w:sz w:val="24"/>
      <w:szCs w:val="24"/>
      <w:lang w:eastAsia="hr-HR"/>
    </w:rPr>
  </w:style>
  <w:style w:type="paragraph" w:styleId="NoSpacing">
    <w:name w:val="No Spacing"/>
    <w:link w:val="NoSpacingChar"/>
    <w:uiPriority w:val="1"/>
    <w:qFormat/>
    <w:rsid w:val="00AC1A15"/>
    <w:pPr>
      <w:spacing w:after="0" w:line="240" w:lineRule="auto"/>
    </w:pPr>
  </w:style>
  <w:style w:type="paragraph" w:styleId="Caption">
    <w:name w:val="caption"/>
    <w:basedOn w:val="Normal"/>
    <w:next w:val="Normal"/>
    <w:qFormat/>
    <w:rsid w:val="008079CF"/>
    <w:pPr>
      <w:spacing w:after="0" w:line="240" w:lineRule="auto"/>
    </w:pPr>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44B9E"/>
    <w:rPr>
      <w:color w:val="954F72" w:themeColor="followedHyperlink"/>
      <w:u w:val="single"/>
    </w:rPr>
  </w:style>
  <w:style w:type="table" w:styleId="TableGrid">
    <w:name w:val="Table Grid"/>
    <w:basedOn w:val="TableNormal"/>
    <w:uiPriority w:val="39"/>
    <w:rsid w:val="00A6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0B50"/>
    <w:rPr>
      <w:sz w:val="16"/>
      <w:szCs w:val="16"/>
    </w:rPr>
  </w:style>
  <w:style w:type="paragraph" w:styleId="CommentText">
    <w:name w:val="annotation text"/>
    <w:basedOn w:val="Normal"/>
    <w:link w:val="CommentTextChar"/>
    <w:uiPriority w:val="99"/>
    <w:semiHidden/>
    <w:unhideWhenUsed/>
    <w:rsid w:val="00390B50"/>
    <w:pPr>
      <w:spacing w:line="240" w:lineRule="auto"/>
    </w:pPr>
    <w:rPr>
      <w:sz w:val="20"/>
      <w:szCs w:val="20"/>
    </w:rPr>
  </w:style>
  <w:style w:type="character" w:customStyle="1" w:styleId="CommentTextChar">
    <w:name w:val="Comment Text Char"/>
    <w:basedOn w:val="DefaultParagraphFont"/>
    <w:link w:val="CommentText"/>
    <w:uiPriority w:val="99"/>
    <w:semiHidden/>
    <w:rsid w:val="00390B50"/>
    <w:rPr>
      <w:sz w:val="20"/>
      <w:szCs w:val="20"/>
    </w:rPr>
  </w:style>
  <w:style w:type="paragraph" w:styleId="CommentSubject">
    <w:name w:val="annotation subject"/>
    <w:basedOn w:val="CommentText"/>
    <w:next w:val="CommentText"/>
    <w:link w:val="CommentSubjectChar"/>
    <w:uiPriority w:val="99"/>
    <w:semiHidden/>
    <w:unhideWhenUsed/>
    <w:rsid w:val="00390B50"/>
    <w:rPr>
      <w:b/>
      <w:bCs/>
    </w:rPr>
  </w:style>
  <w:style w:type="character" w:customStyle="1" w:styleId="CommentSubjectChar">
    <w:name w:val="Comment Subject Char"/>
    <w:basedOn w:val="CommentTextChar"/>
    <w:link w:val="CommentSubject"/>
    <w:uiPriority w:val="99"/>
    <w:semiHidden/>
    <w:rsid w:val="00390B50"/>
    <w:rPr>
      <w:b/>
      <w:bCs/>
      <w:sz w:val="20"/>
      <w:szCs w:val="20"/>
    </w:rPr>
  </w:style>
  <w:style w:type="paragraph" w:styleId="Revision">
    <w:name w:val="Revision"/>
    <w:hidden/>
    <w:uiPriority w:val="99"/>
    <w:semiHidden/>
    <w:rsid w:val="00390B50"/>
    <w:pPr>
      <w:spacing w:after="0" w:line="240" w:lineRule="auto"/>
    </w:pPr>
  </w:style>
  <w:style w:type="paragraph" w:styleId="BalloonText">
    <w:name w:val="Balloon Text"/>
    <w:basedOn w:val="Normal"/>
    <w:link w:val="BalloonTextChar"/>
    <w:uiPriority w:val="99"/>
    <w:semiHidden/>
    <w:unhideWhenUsed/>
    <w:rsid w:val="00390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B50"/>
    <w:rPr>
      <w:rFonts w:ascii="Segoe UI" w:hAnsi="Segoe UI" w:cs="Segoe UI"/>
      <w:sz w:val="18"/>
      <w:szCs w:val="18"/>
    </w:rPr>
  </w:style>
  <w:style w:type="character" w:customStyle="1" w:styleId="NoSpacingChar">
    <w:name w:val="No Spacing Char"/>
    <w:basedOn w:val="DefaultParagraphFont"/>
    <w:link w:val="NoSpacing"/>
    <w:uiPriority w:val="1"/>
    <w:rsid w:val="0011428E"/>
  </w:style>
  <w:style w:type="paragraph" w:styleId="ListParagraph">
    <w:name w:val="List Paragraph"/>
    <w:basedOn w:val="Normal"/>
    <w:uiPriority w:val="34"/>
    <w:qFormat/>
    <w:rsid w:val="0011428E"/>
    <w:pPr>
      <w:spacing w:after="0" w:line="240" w:lineRule="auto"/>
      <w:ind w:left="720"/>
      <w:contextualSpacing/>
    </w:pPr>
    <w:rPr>
      <w:rFonts w:ascii="Times New Roman" w:eastAsia="Times New Roman" w:hAnsi="Times New Roman" w:cs="Times New Roman"/>
      <w:sz w:val="24"/>
      <w:szCs w:val="24"/>
    </w:rPr>
  </w:style>
  <w:style w:type="table" w:styleId="TableGridLight">
    <w:name w:val="Grid Table Light"/>
    <w:basedOn w:val="TableNormal"/>
    <w:uiPriority w:val="40"/>
    <w:rsid w:val="00675D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B6763A"/>
    <w:rPr>
      <w:rFonts w:ascii="Calibri" w:hAnsi="Calibri" w:cs="Calibri" w:hint="default"/>
      <w:b w:val="0"/>
      <w:bCs w:val="0"/>
      <w:i w:val="0"/>
      <w:iCs w:val="0"/>
      <w:color w:val="000000"/>
      <w:sz w:val="22"/>
      <w:szCs w:val="22"/>
    </w:rPr>
  </w:style>
  <w:style w:type="paragraph" w:styleId="TableofFigures">
    <w:name w:val="table of figures"/>
    <w:basedOn w:val="Normal"/>
    <w:next w:val="Normal"/>
    <w:uiPriority w:val="99"/>
    <w:unhideWhenUsed/>
    <w:rsid w:val="00185057"/>
    <w:pPr>
      <w:spacing w:after="0"/>
    </w:pPr>
  </w:style>
  <w:style w:type="character" w:customStyle="1" w:styleId="Heading5Char">
    <w:name w:val="Heading 5 Char"/>
    <w:basedOn w:val="DefaultParagraphFont"/>
    <w:link w:val="Heading5"/>
    <w:uiPriority w:val="9"/>
    <w:semiHidden/>
    <w:rsid w:val="00264869"/>
    <w:rPr>
      <w:rFonts w:asciiTheme="majorHAnsi" w:eastAsiaTheme="majorEastAsia" w:hAnsiTheme="majorHAnsi" w:cstheme="majorBidi"/>
      <w:color w:val="2F5496" w:themeColor="accent1" w:themeShade="BF"/>
    </w:rPr>
  </w:style>
  <w:style w:type="character" w:styleId="UnresolvedMention">
    <w:name w:val="Unresolved Mention"/>
    <w:basedOn w:val="DefaultParagraphFont"/>
    <w:uiPriority w:val="99"/>
    <w:semiHidden/>
    <w:unhideWhenUsed/>
    <w:rsid w:val="00DB1FAC"/>
    <w:rPr>
      <w:color w:val="605E5C"/>
      <w:shd w:val="clear" w:color="auto" w:fill="E1DFDD"/>
    </w:rPr>
  </w:style>
  <w:style w:type="character" w:customStyle="1" w:styleId="Heading4Char">
    <w:name w:val="Heading 4 Char"/>
    <w:basedOn w:val="DefaultParagraphFont"/>
    <w:link w:val="Heading4"/>
    <w:uiPriority w:val="9"/>
    <w:rsid w:val="00E9501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70">
      <w:bodyDiv w:val="1"/>
      <w:marLeft w:val="0"/>
      <w:marRight w:val="0"/>
      <w:marTop w:val="0"/>
      <w:marBottom w:val="0"/>
      <w:divBdr>
        <w:top w:val="none" w:sz="0" w:space="0" w:color="auto"/>
        <w:left w:val="none" w:sz="0" w:space="0" w:color="auto"/>
        <w:bottom w:val="none" w:sz="0" w:space="0" w:color="auto"/>
        <w:right w:val="none" w:sz="0" w:space="0" w:color="auto"/>
      </w:divBdr>
    </w:div>
    <w:div w:id="9526513">
      <w:bodyDiv w:val="1"/>
      <w:marLeft w:val="0"/>
      <w:marRight w:val="0"/>
      <w:marTop w:val="0"/>
      <w:marBottom w:val="0"/>
      <w:divBdr>
        <w:top w:val="none" w:sz="0" w:space="0" w:color="auto"/>
        <w:left w:val="none" w:sz="0" w:space="0" w:color="auto"/>
        <w:bottom w:val="none" w:sz="0" w:space="0" w:color="auto"/>
        <w:right w:val="none" w:sz="0" w:space="0" w:color="auto"/>
      </w:divBdr>
    </w:div>
    <w:div w:id="13699935">
      <w:bodyDiv w:val="1"/>
      <w:marLeft w:val="0"/>
      <w:marRight w:val="0"/>
      <w:marTop w:val="0"/>
      <w:marBottom w:val="0"/>
      <w:divBdr>
        <w:top w:val="none" w:sz="0" w:space="0" w:color="auto"/>
        <w:left w:val="none" w:sz="0" w:space="0" w:color="auto"/>
        <w:bottom w:val="none" w:sz="0" w:space="0" w:color="auto"/>
        <w:right w:val="none" w:sz="0" w:space="0" w:color="auto"/>
      </w:divBdr>
    </w:div>
    <w:div w:id="13961778">
      <w:bodyDiv w:val="1"/>
      <w:marLeft w:val="0"/>
      <w:marRight w:val="0"/>
      <w:marTop w:val="0"/>
      <w:marBottom w:val="0"/>
      <w:divBdr>
        <w:top w:val="none" w:sz="0" w:space="0" w:color="auto"/>
        <w:left w:val="none" w:sz="0" w:space="0" w:color="auto"/>
        <w:bottom w:val="none" w:sz="0" w:space="0" w:color="auto"/>
        <w:right w:val="none" w:sz="0" w:space="0" w:color="auto"/>
      </w:divBdr>
    </w:div>
    <w:div w:id="14894491">
      <w:bodyDiv w:val="1"/>
      <w:marLeft w:val="0"/>
      <w:marRight w:val="0"/>
      <w:marTop w:val="0"/>
      <w:marBottom w:val="0"/>
      <w:divBdr>
        <w:top w:val="none" w:sz="0" w:space="0" w:color="auto"/>
        <w:left w:val="none" w:sz="0" w:space="0" w:color="auto"/>
        <w:bottom w:val="none" w:sz="0" w:space="0" w:color="auto"/>
        <w:right w:val="none" w:sz="0" w:space="0" w:color="auto"/>
      </w:divBdr>
    </w:div>
    <w:div w:id="27264154">
      <w:bodyDiv w:val="1"/>
      <w:marLeft w:val="0"/>
      <w:marRight w:val="0"/>
      <w:marTop w:val="0"/>
      <w:marBottom w:val="0"/>
      <w:divBdr>
        <w:top w:val="none" w:sz="0" w:space="0" w:color="auto"/>
        <w:left w:val="none" w:sz="0" w:space="0" w:color="auto"/>
        <w:bottom w:val="none" w:sz="0" w:space="0" w:color="auto"/>
        <w:right w:val="none" w:sz="0" w:space="0" w:color="auto"/>
      </w:divBdr>
    </w:div>
    <w:div w:id="30807925">
      <w:bodyDiv w:val="1"/>
      <w:marLeft w:val="0"/>
      <w:marRight w:val="0"/>
      <w:marTop w:val="0"/>
      <w:marBottom w:val="0"/>
      <w:divBdr>
        <w:top w:val="none" w:sz="0" w:space="0" w:color="auto"/>
        <w:left w:val="none" w:sz="0" w:space="0" w:color="auto"/>
        <w:bottom w:val="none" w:sz="0" w:space="0" w:color="auto"/>
        <w:right w:val="none" w:sz="0" w:space="0" w:color="auto"/>
      </w:divBdr>
    </w:div>
    <w:div w:id="34084598">
      <w:bodyDiv w:val="1"/>
      <w:marLeft w:val="0"/>
      <w:marRight w:val="0"/>
      <w:marTop w:val="0"/>
      <w:marBottom w:val="0"/>
      <w:divBdr>
        <w:top w:val="none" w:sz="0" w:space="0" w:color="auto"/>
        <w:left w:val="none" w:sz="0" w:space="0" w:color="auto"/>
        <w:bottom w:val="none" w:sz="0" w:space="0" w:color="auto"/>
        <w:right w:val="none" w:sz="0" w:space="0" w:color="auto"/>
      </w:divBdr>
    </w:div>
    <w:div w:id="37242323">
      <w:bodyDiv w:val="1"/>
      <w:marLeft w:val="0"/>
      <w:marRight w:val="0"/>
      <w:marTop w:val="0"/>
      <w:marBottom w:val="0"/>
      <w:divBdr>
        <w:top w:val="none" w:sz="0" w:space="0" w:color="auto"/>
        <w:left w:val="none" w:sz="0" w:space="0" w:color="auto"/>
        <w:bottom w:val="none" w:sz="0" w:space="0" w:color="auto"/>
        <w:right w:val="none" w:sz="0" w:space="0" w:color="auto"/>
      </w:divBdr>
    </w:div>
    <w:div w:id="43261111">
      <w:bodyDiv w:val="1"/>
      <w:marLeft w:val="0"/>
      <w:marRight w:val="0"/>
      <w:marTop w:val="0"/>
      <w:marBottom w:val="0"/>
      <w:divBdr>
        <w:top w:val="none" w:sz="0" w:space="0" w:color="auto"/>
        <w:left w:val="none" w:sz="0" w:space="0" w:color="auto"/>
        <w:bottom w:val="none" w:sz="0" w:space="0" w:color="auto"/>
        <w:right w:val="none" w:sz="0" w:space="0" w:color="auto"/>
      </w:divBdr>
    </w:div>
    <w:div w:id="44957834">
      <w:bodyDiv w:val="1"/>
      <w:marLeft w:val="0"/>
      <w:marRight w:val="0"/>
      <w:marTop w:val="0"/>
      <w:marBottom w:val="0"/>
      <w:divBdr>
        <w:top w:val="none" w:sz="0" w:space="0" w:color="auto"/>
        <w:left w:val="none" w:sz="0" w:space="0" w:color="auto"/>
        <w:bottom w:val="none" w:sz="0" w:space="0" w:color="auto"/>
        <w:right w:val="none" w:sz="0" w:space="0" w:color="auto"/>
      </w:divBdr>
    </w:div>
    <w:div w:id="47188574">
      <w:bodyDiv w:val="1"/>
      <w:marLeft w:val="0"/>
      <w:marRight w:val="0"/>
      <w:marTop w:val="0"/>
      <w:marBottom w:val="0"/>
      <w:divBdr>
        <w:top w:val="none" w:sz="0" w:space="0" w:color="auto"/>
        <w:left w:val="none" w:sz="0" w:space="0" w:color="auto"/>
        <w:bottom w:val="none" w:sz="0" w:space="0" w:color="auto"/>
        <w:right w:val="none" w:sz="0" w:space="0" w:color="auto"/>
      </w:divBdr>
    </w:div>
    <w:div w:id="49037628">
      <w:bodyDiv w:val="1"/>
      <w:marLeft w:val="0"/>
      <w:marRight w:val="0"/>
      <w:marTop w:val="0"/>
      <w:marBottom w:val="0"/>
      <w:divBdr>
        <w:top w:val="none" w:sz="0" w:space="0" w:color="auto"/>
        <w:left w:val="none" w:sz="0" w:space="0" w:color="auto"/>
        <w:bottom w:val="none" w:sz="0" w:space="0" w:color="auto"/>
        <w:right w:val="none" w:sz="0" w:space="0" w:color="auto"/>
      </w:divBdr>
    </w:div>
    <w:div w:id="55204212">
      <w:bodyDiv w:val="1"/>
      <w:marLeft w:val="0"/>
      <w:marRight w:val="0"/>
      <w:marTop w:val="0"/>
      <w:marBottom w:val="0"/>
      <w:divBdr>
        <w:top w:val="none" w:sz="0" w:space="0" w:color="auto"/>
        <w:left w:val="none" w:sz="0" w:space="0" w:color="auto"/>
        <w:bottom w:val="none" w:sz="0" w:space="0" w:color="auto"/>
        <w:right w:val="none" w:sz="0" w:space="0" w:color="auto"/>
      </w:divBdr>
    </w:div>
    <w:div w:id="63570741">
      <w:bodyDiv w:val="1"/>
      <w:marLeft w:val="0"/>
      <w:marRight w:val="0"/>
      <w:marTop w:val="0"/>
      <w:marBottom w:val="0"/>
      <w:divBdr>
        <w:top w:val="none" w:sz="0" w:space="0" w:color="auto"/>
        <w:left w:val="none" w:sz="0" w:space="0" w:color="auto"/>
        <w:bottom w:val="none" w:sz="0" w:space="0" w:color="auto"/>
        <w:right w:val="none" w:sz="0" w:space="0" w:color="auto"/>
      </w:divBdr>
    </w:div>
    <w:div w:id="63720554">
      <w:bodyDiv w:val="1"/>
      <w:marLeft w:val="0"/>
      <w:marRight w:val="0"/>
      <w:marTop w:val="0"/>
      <w:marBottom w:val="0"/>
      <w:divBdr>
        <w:top w:val="none" w:sz="0" w:space="0" w:color="auto"/>
        <w:left w:val="none" w:sz="0" w:space="0" w:color="auto"/>
        <w:bottom w:val="none" w:sz="0" w:space="0" w:color="auto"/>
        <w:right w:val="none" w:sz="0" w:space="0" w:color="auto"/>
      </w:divBdr>
    </w:div>
    <w:div w:id="67851662">
      <w:bodyDiv w:val="1"/>
      <w:marLeft w:val="0"/>
      <w:marRight w:val="0"/>
      <w:marTop w:val="0"/>
      <w:marBottom w:val="0"/>
      <w:divBdr>
        <w:top w:val="none" w:sz="0" w:space="0" w:color="auto"/>
        <w:left w:val="none" w:sz="0" w:space="0" w:color="auto"/>
        <w:bottom w:val="none" w:sz="0" w:space="0" w:color="auto"/>
        <w:right w:val="none" w:sz="0" w:space="0" w:color="auto"/>
      </w:divBdr>
    </w:div>
    <w:div w:id="71246540">
      <w:bodyDiv w:val="1"/>
      <w:marLeft w:val="0"/>
      <w:marRight w:val="0"/>
      <w:marTop w:val="0"/>
      <w:marBottom w:val="0"/>
      <w:divBdr>
        <w:top w:val="none" w:sz="0" w:space="0" w:color="auto"/>
        <w:left w:val="none" w:sz="0" w:space="0" w:color="auto"/>
        <w:bottom w:val="none" w:sz="0" w:space="0" w:color="auto"/>
        <w:right w:val="none" w:sz="0" w:space="0" w:color="auto"/>
      </w:divBdr>
    </w:div>
    <w:div w:id="73625022">
      <w:bodyDiv w:val="1"/>
      <w:marLeft w:val="0"/>
      <w:marRight w:val="0"/>
      <w:marTop w:val="0"/>
      <w:marBottom w:val="0"/>
      <w:divBdr>
        <w:top w:val="none" w:sz="0" w:space="0" w:color="auto"/>
        <w:left w:val="none" w:sz="0" w:space="0" w:color="auto"/>
        <w:bottom w:val="none" w:sz="0" w:space="0" w:color="auto"/>
        <w:right w:val="none" w:sz="0" w:space="0" w:color="auto"/>
      </w:divBdr>
    </w:div>
    <w:div w:id="92167501">
      <w:bodyDiv w:val="1"/>
      <w:marLeft w:val="0"/>
      <w:marRight w:val="0"/>
      <w:marTop w:val="0"/>
      <w:marBottom w:val="0"/>
      <w:divBdr>
        <w:top w:val="none" w:sz="0" w:space="0" w:color="auto"/>
        <w:left w:val="none" w:sz="0" w:space="0" w:color="auto"/>
        <w:bottom w:val="none" w:sz="0" w:space="0" w:color="auto"/>
        <w:right w:val="none" w:sz="0" w:space="0" w:color="auto"/>
      </w:divBdr>
    </w:div>
    <w:div w:id="102574390">
      <w:bodyDiv w:val="1"/>
      <w:marLeft w:val="0"/>
      <w:marRight w:val="0"/>
      <w:marTop w:val="0"/>
      <w:marBottom w:val="0"/>
      <w:divBdr>
        <w:top w:val="none" w:sz="0" w:space="0" w:color="auto"/>
        <w:left w:val="none" w:sz="0" w:space="0" w:color="auto"/>
        <w:bottom w:val="none" w:sz="0" w:space="0" w:color="auto"/>
        <w:right w:val="none" w:sz="0" w:space="0" w:color="auto"/>
      </w:divBdr>
    </w:div>
    <w:div w:id="103040431">
      <w:bodyDiv w:val="1"/>
      <w:marLeft w:val="0"/>
      <w:marRight w:val="0"/>
      <w:marTop w:val="0"/>
      <w:marBottom w:val="0"/>
      <w:divBdr>
        <w:top w:val="none" w:sz="0" w:space="0" w:color="auto"/>
        <w:left w:val="none" w:sz="0" w:space="0" w:color="auto"/>
        <w:bottom w:val="none" w:sz="0" w:space="0" w:color="auto"/>
        <w:right w:val="none" w:sz="0" w:space="0" w:color="auto"/>
      </w:divBdr>
    </w:div>
    <w:div w:id="106894604">
      <w:bodyDiv w:val="1"/>
      <w:marLeft w:val="0"/>
      <w:marRight w:val="0"/>
      <w:marTop w:val="0"/>
      <w:marBottom w:val="0"/>
      <w:divBdr>
        <w:top w:val="none" w:sz="0" w:space="0" w:color="auto"/>
        <w:left w:val="none" w:sz="0" w:space="0" w:color="auto"/>
        <w:bottom w:val="none" w:sz="0" w:space="0" w:color="auto"/>
        <w:right w:val="none" w:sz="0" w:space="0" w:color="auto"/>
      </w:divBdr>
    </w:div>
    <w:div w:id="108204131">
      <w:bodyDiv w:val="1"/>
      <w:marLeft w:val="0"/>
      <w:marRight w:val="0"/>
      <w:marTop w:val="0"/>
      <w:marBottom w:val="0"/>
      <w:divBdr>
        <w:top w:val="none" w:sz="0" w:space="0" w:color="auto"/>
        <w:left w:val="none" w:sz="0" w:space="0" w:color="auto"/>
        <w:bottom w:val="none" w:sz="0" w:space="0" w:color="auto"/>
        <w:right w:val="none" w:sz="0" w:space="0" w:color="auto"/>
      </w:divBdr>
    </w:div>
    <w:div w:id="114640309">
      <w:bodyDiv w:val="1"/>
      <w:marLeft w:val="0"/>
      <w:marRight w:val="0"/>
      <w:marTop w:val="0"/>
      <w:marBottom w:val="0"/>
      <w:divBdr>
        <w:top w:val="none" w:sz="0" w:space="0" w:color="auto"/>
        <w:left w:val="none" w:sz="0" w:space="0" w:color="auto"/>
        <w:bottom w:val="none" w:sz="0" w:space="0" w:color="auto"/>
        <w:right w:val="none" w:sz="0" w:space="0" w:color="auto"/>
      </w:divBdr>
    </w:div>
    <w:div w:id="115684604">
      <w:bodyDiv w:val="1"/>
      <w:marLeft w:val="0"/>
      <w:marRight w:val="0"/>
      <w:marTop w:val="0"/>
      <w:marBottom w:val="0"/>
      <w:divBdr>
        <w:top w:val="none" w:sz="0" w:space="0" w:color="auto"/>
        <w:left w:val="none" w:sz="0" w:space="0" w:color="auto"/>
        <w:bottom w:val="none" w:sz="0" w:space="0" w:color="auto"/>
        <w:right w:val="none" w:sz="0" w:space="0" w:color="auto"/>
      </w:divBdr>
    </w:div>
    <w:div w:id="117993226">
      <w:bodyDiv w:val="1"/>
      <w:marLeft w:val="0"/>
      <w:marRight w:val="0"/>
      <w:marTop w:val="0"/>
      <w:marBottom w:val="0"/>
      <w:divBdr>
        <w:top w:val="none" w:sz="0" w:space="0" w:color="auto"/>
        <w:left w:val="none" w:sz="0" w:space="0" w:color="auto"/>
        <w:bottom w:val="none" w:sz="0" w:space="0" w:color="auto"/>
        <w:right w:val="none" w:sz="0" w:space="0" w:color="auto"/>
      </w:divBdr>
    </w:div>
    <w:div w:id="138152003">
      <w:bodyDiv w:val="1"/>
      <w:marLeft w:val="0"/>
      <w:marRight w:val="0"/>
      <w:marTop w:val="0"/>
      <w:marBottom w:val="0"/>
      <w:divBdr>
        <w:top w:val="none" w:sz="0" w:space="0" w:color="auto"/>
        <w:left w:val="none" w:sz="0" w:space="0" w:color="auto"/>
        <w:bottom w:val="none" w:sz="0" w:space="0" w:color="auto"/>
        <w:right w:val="none" w:sz="0" w:space="0" w:color="auto"/>
      </w:divBdr>
    </w:div>
    <w:div w:id="140076319">
      <w:bodyDiv w:val="1"/>
      <w:marLeft w:val="0"/>
      <w:marRight w:val="0"/>
      <w:marTop w:val="0"/>
      <w:marBottom w:val="0"/>
      <w:divBdr>
        <w:top w:val="none" w:sz="0" w:space="0" w:color="auto"/>
        <w:left w:val="none" w:sz="0" w:space="0" w:color="auto"/>
        <w:bottom w:val="none" w:sz="0" w:space="0" w:color="auto"/>
        <w:right w:val="none" w:sz="0" w:space="0" w:color="auto"/>
      </w:divBdr>
    </w:div>
    <w:div w:id="140654100">
      <w:bodyDiv w:val="1"/>
      <w:marLeft w:val="0"/>
      <w:marRight w:val="0"/>
      <w:marTop w:val="0"/>
      <w:marBottom w:val="0"/>
      <w:divBdr>
        <w:top w:val="none" w:sz="0" w:space="0" w:color="auto"/>
        <w:left w:val="none" w:sz="0" w:space="0" w:color="auto"/>
        <w:bottom w:val="none" w:sz="0" w:space="0" w:color="auto"/>
        <w:right w:val="none" w:sz="0" w:space="0" w:color="auto"/>
      </w:divBdr>
    </w:div>
    <w:div w:id="141847696">
      <w:bodyDiv w:val="1"/>
      <w:marLeft w:val="0"/>
      <w:marRight w:val="0"/>
      <w:marTop w:val="0"/>
      <w:marBottom w:val="0"/>
      <w:divBdr>
        <w:top w:val="none" w:sz="0" w:space="0" w:color="auto"/>
        <w:left w:val="none" w:sz="0" w:space="0" w:color="auto"/>
        <w:bottom w:val="none" w:sz="0" w:space="0" w:color="auto"/>
        <w:right w:val="none" w:sz="0" w:space="0" w:color="auto"/>
      </w:divBdr>
    </w:div>
    <w:div w:id="149834700">
      <w:bodyDiv w:val="1"/>
      <w:marLeft w:val="0"/>
      <w:marRight w:val="0"/>
      <w:marTop w:val="0"/>
      <w:marBottom w:val="0"/>
      <w:divBdr>
        <w:top w:val="none" w:sz="0" w:space="0" w:color="auto"/>
        <w:left w:val="none" w:sz="0" w:space="0" w:color="auto"/>
        <w:bottom w:val="none" w:sz="0" w:space="0" w:color="auto"/>
        <w:right w:val="none" w:sz="0" w:space="0" w:color="auto"/>
      </w:divBdr>
    </w:div>
    <w:div w:id="152064664">
      <w:bodyDiv w:val="1"/>
      <w:marLeft w:val="0"/>
      <w:marRight w:val="0"/>
      <w:marTop w:val="0"/>
      <w:marBottom w:val="0"/>
      <w:divBdr>
        <w:top w:val="none" w:sz="0" w:space="0" w:color="auto"/>
        <w:left w:val="none" w:sz="0" w:space="0" w:color="auto"/>
        <w:bottom w:val="none" w:sz="0" w:space="0" w:color="auto"/>
        <w:right w:val="none" w:sz="0" w:space="0" w:color="auto"/>
      </w:divBdr>
    </w:div>
    <w:div w:id="155340248">
      <w:bodyDiv w:val="1"/>
      <w:marLeft w:val="0"/>
      <w:marRight w:val="0"/>
      <w:marTop w:val="0"/>
      <w:marBottom w:val="0"/>
      <w:divBdr>
        <w:top w:val="none" w:sz="0" w:space="0" w:color="auto"/>
        <w:left w:val="none" w:sz="0" w:space="0" w:color="auto"/>
        <w:bottom w:val="none" w:sz="0" w:space="0" w:color="auto"/>
        <w:right w:val="none" w:sz="0" w:space="0" w:color="auto"/>
      </w:divBdr>
    </w:div>
    <w:div w:id="158429086">
      <w:bodyDiv w:val="1"/>
      <w:marLeft w:val="0"/>
      <w:marRight w:val="0"/>
      <w:marTop w:val="0"/>
      <w:marBottom w:val="0"/>
      <w:divBdr>
        <w:top w:val="none" w:sz="0" w:space="0" w:color="auto"/>
        <w:left w:val="none" w:sz="0" w:space="0" w:color="auto"/>
        <w:bottom w:val="none" w:sz="0" w:space="0" w:color="auto"/>
        <w:right w:val="none" w:sz="0" w:space="0" w:color="auto"/>
      </w:divBdr>
    </w:div>
    <w:div w:id="164365836">
      <w:bodyDiv w:val="1"/>
      <w:marLeft w:val="0"/>
      <w:marRight w:val="0"/>
      <w:marTop w:val="0"/>
      <w:marBottom w:val="0"/>
      <w:divBdr>
        <w:top w:val="none" w:sz="0" w:space="0" w:color="auto"/>
        <w:left w:val="none" w:sz="0" w:space="0" w:color="auto"/>
        <w:bottom w:val="none" w:sz="0" w:space="0" w:color="auto"/>
        <w:right w:val="none" w:sz="0" w:space="0" w:color="auto"/>
      </w:divBdr>
    </w:div>
    <w:div w:id="168637663">
      <w:bodyDiv w:val="1"/>
      <w:marLeft w:val="0"/>
      <w:marRight w:val="0"/>
      <w:marTop w:val="0"/>
      <w:marBottom w:val="0"/>
      <w:divBdr>
        <w:top w:val="none" w:sz="0" w:space="0" w:color="auto"/>
        <w:left w:val="none" w:sz="0" w:space="0" w:color="auto"/>
        <w:bottom w:val="none" w:sz="0" w:space="0" w:color="auto"/>
        <w:right w:val="none" w:sz="0" w:space="0" w:color="auto"/>
      </w:divBdr>
    </w:div>
    <w:div w:id="169219561">
      <w:bodyDiv w:val="1"/>
      <w:marLeft w:val="0"/>
      <w:marRight w:val="0"/>
      <w:marTop w:val="0"/>
      <w:marBottom w:val="0"/>
      <w:divBdr>
        <w:top w:val="none" w:sz="0" w:space="0" w:color="auto"/>
        <w:left w:val="none" w:sz="0" w:space="0" w:color="auto"/>
        <w:bottom w:val="none" w:sz="0" w:space="0" w:color="auto"/>
        <w:right w:val="none" w:sz="0" w:space="0" w:color="auto"/>
      </w:divBdr>
    </w:div>
    <w:div w:id="170415031">
      <w:bodyDiv w:val="1"/>
      <w:marLeft w:val="0"/>
      <w:marRight w:val="0"/>
      <w:marTop w:val="0"/>
      <w:marBottom w:val="0"/>
      <w:divBdr>
        <w:top w:val="none" w:sz="0" w:space="0" w:color="auto"/>
        <w:left w:val="none" w:sz="0" w:space="0" w:color="auto"/>
        <w:bottom w:val="none" w:sz="0" w:space="0" w:color="auto"/>
        <w:right w:val="none" w:sz="0" w:space="0" w:color="auto"/>
      </w:divBdr>
    </w:div>
    <w:div w:id="179703441">
      <w:bodyDiv w:val="1"/>
      <w:marLeft w:val="0"/>
      <w:marRight w:val="0"/>
      <w:marTop w:val="0"/>
      <w:marBottom w:val="0"/>
      <w:divBdr>
        <w:top w:val="none" w:sz="0" w:space="0" w:color="auto"/>
        <w:left w:val="none" w:sz="0" w:space="0" w:color="auto"/>
        <w:bottom w:val="none" w:sz="0" w:space="0" w:color="auto"/>
        <w:right w:val="none" w:sz="0" w:space="0" w:color="auto"/>
      </w:divBdr>
    </w:div>
    <w:div w:id="190384476">
      <w:bodyDiv w:val="1"/>
      <w:marLeft w:val="0"/>
      <w:marRight w:val="0"/>
      <w:marTop w:val="0"/>
      <w:marBottom w:val="0"/>
      <w:divBdr>
        <w:top w:val="none" w:sz="0" w:space="0" w:color="auto"/>
        <w:left w:val="none" w:sz="0" w:space="0" w:color="auto"/>
        <w:bottom w:val="none" w:sz="0" w:space="0" w:color="auto"/>
        <w:right w:val="none" w:sz="0" w:space="0" w:color="auto"/>
      </w:divBdr>
    </w:div>
    <w:div w:id="198133697">
      <w:bodyDiv w:val="1"/>
      <w:marLeft w:val="0"/>
      <w:marRight w:val="0"/>
      <w:marTop w:val="0"/>
      <w:marBottom w:val="0"/>
      <w:divBdr>
        <w:top w:val="none" w:sz="0" w:space="0" w:color="auto"/>
        <w:left w:val="none" w:sz="0" w:space="0" w:color="auto"/>
        <w:bottom w:val="none" w:sz="0" w:space="0" w:color="auto"/>
        <w:right w:val="none" w:sz="0" w:space="0" w:color="auto"/>
      </w:divBdr>
    </w:div>
    <w:div w:id="216281737">
      <w:bodyDiv w:val="1"/>
      <w:marLeft w:val="0"/>
      <w:marRight w:val="0"/>
      <w:marTop w:val="0"/>
      <w:marBottom w:val="0"/>
      <w:divBdr>
        <w:top w:val="none" w:sz="0" w:space="0" w:color="auto"/>
        <w:left w:val="none" w:sz="0" w:space="0" w:color="auto"/>
        <w:bottom w:val="none" w:sz="0" w:space="0" w:color="auto"/>
        <w:right w:val="none" w:sz="0" w:space="0" w:color="auto"/>
      </w:divBdr>
    </w:div>
    <w:div w:id="220680058">
      <w:bodyDiv w:val="1"/>
      <w:marLeft w:val="0"/>
      <w:marRight w:val="0"/>
      <w:marTop w:val="0"/>
      <w:marBottom w:val="0"/>
      <w:divBdr>
        <w:top w:val="none" w:sz="0" w:space="0" w:color="auto"/>
        <w:left w:val="none" w:sz="0" w:space="0" w:color="auto"/>
        <w:bottom w:val="none" w:sz="0" w:space="0" w:color="auto"/>
        <w:right w:val="none" w:sz="0" w:space="0" w:color="auto"/>
      </w:divBdr>
    </w:div>
    <w:div w:id="220992163">
      <w:bodyDiv w:val="1"/>
      <w:marLeft w:val="0"/>
      <w:marRight w:val="0"/>
      <w:marTop w:val="0"/>
      <w:marBottom w:val="0"/>
      <w:divBdr>
        <w:top w:val="none" w:sz="0" w:space="0" w:color="auto"/>
        <w:left w:val="none" w:sz="0" w:space="0" w:color="auto"/>
        <w:bottom w:val="none" w:sz="0" w:space="0" w:color="auto"/>
        <w:right w:val="none" w:sz="0" w:space="0" w:color="auto"/>
      </w:divBdr>
    </w:div>
    <w:div w:id="223175761">
      <w:bodyDiv w:val="1"/>
      <w:marLeft w:val="0"/>
      <w:marRight w:val="0"/>
      <w:marTop w:val="0"/>
      <w:marBottom w:val="0"/>
      <w:divBdr>
        <w:top w:val="none" w:sz="0" w:space="0" w:color="auto"/>
        <w:left w:val="none" w:sz="0" w:space="0" w:color="auto"/>
        <w:bottom w:val="none" w:sz="0" w:space="0" w:color="auto"/>
        <w:right w:val="none" w:sz="0" w:space="0" w:color="auto"/>
      </w:divBdr>
    </w:div>
    <w:div w:id="231627712">
      <w:bodyDiv w:val="1"/>
      <w:marLeft w:val="0"/>
      <w:marRight w:val="0"/>
      <w:marTop w:val="0"/>
      <w:marBottom w:val="0"/>
      <w:divBdr>
        <w:top w:val="none" w:sz="0" w:space="0" w:color="auto"/>
        <w:left w:val="none" w:sz="0" w:space="0" w:color="auto"/>
        <w:bottom w:val="none" w:sz="0" w:space="0" w:color="auto"/>
        <w:right w:val="none" w:sz="0" w:space="0" w:color="auto"/>
      </w:divBdr>
    </w:div>
    <w:div w:id="255791416">
      <w:bodyDiv w:val="1"/>
      <w:marLeft w:val="0"/>
      <w:marRight w:val="0"/>
      <w:marTop w:val="0"/>
      <w:marBottom w:val="0"/>
      <w:divBdr>
        <w:top w:val="none" w:sz="0" w:space="0" w:color="auto"/>
        <w:left w:val="none" w:sz="0" w:space="0" w:color="auto"/>
        <w:bottom w:val="none" w:sz="0" w:space="0" w:color="auto"/>
        <w:right w:val="none" w:sz="0" w:space="0" w:color="auto"/>
      </w:divBdr>
    </w:div>
    <w:div w:id="257252278">
      <w:bodyDiv w:val="1"/>
      <w:marLeft w:val="0"/>
      <w:marRight w:val="0"/>
      <w:marTop w:val="0"/>
      <w:marBottom w:val="0"/>
      <w:divBdr>
        <w:top w:val="none" w:sz="0" w:space="0" w:color="auto"/>
        <w:left w:val="none" w:sz="0" w:space="0" w:color="auto"/>
        <w:bottom w:val="none" w:sz="0" w:space="0" w:color="auto"/>
        <w:right w:val="none" w:sz="0" w:space="0" w:color="auto"/>
      </w:divBdr>
    </w:div>
    <w:div w:id="267540422">
      <w:bodyDiv w:val="1"/>
      <w:marLeft w:val="0"/>
      <w:marRight w:val="0"/>
      <w:marTop w:val="0"/>
      <w:marBottom w:val="0"/>
      <w:divBdr>
        <w:top w:val="none" w:sz="0" w:space="0" w:color="auto"/>
        <w:left w:val="none" w:sz="0" w:space="0" w:color="auto"/>
        <w:bottom w:val="none" w:sz="0" w:space="0" w:color="auto"/>
        <w:right w:val="none" w:sz="0" w:space="0" w:color="auto"/>
      </w:divBdr>
    </w:div>
    <w:div w:id="268437642">
      <w:bodyDiv w:val="1"/>
      <w:marLeft w:val="0"/>
      <w:marRight w:val="0"/>
      <w:marTop w:val="0"/>
      <w:marBottom w:val="0"/>
      <w:divBdr>
        <w:top w:val="none" w:sz="0" w:space="0" w:color="auto"/>
        <w:left w:val="none" w:sz="0" w:space="0" w:color="auto"/>
        <w:bottom w:val="none" w:sz="0" w:space="0" w:color="auto"/>
        <w:right w:val="none" w:sz="0" w:space="0" w:color="auto"/>
      </w:divBdr>
    </w:div>
    <w:div w:id="270824341">
      <w:bodyDiv w:val="1"/>
      <w:marLeft w:val="0"/>
      <w:marRight w:val="0"/>
      <w:marTop w:val="0"/>
      <w:marBottom w:val="0"/>
      <w:divBdr>
        <w:top w:val="none" w:sz="0" w:space="0" w:color="auto"/>
        <w:left w:val="none" w:sz="0" w:space="0" w:color="auto"/>
        <w:bottom w:val="none" w:sz="0" w:space="0" w:color="auto"/>
        <w:right w:val="none" w:sz="0" w:space="0" w:color="auto"/>
      </w:divBdr>
    </w:div>
    <w:div w:id="271792654">
      <w:bodyDiv w:val="1"/>
      <w:marLeft w:val="0"/>
      <w:marRight w:val="0"/>
      <w:marTop w:val="0"/>
      <w:marBottom w:val="0"/>
      <w:divBdr>
        <w:top w:val="none" w:sz="0" w:space="0" w:color="auto"/>
        <w:left w:val="none" w:sz="0" w:space="0" w:color="auto"/>
        <w:bottom w:val="none" w:sz="0" w:space="0" w:color="auto"/>
        <w:right w:val="none" w:sz="0" w:space="0" w:color="auto"/>
      </w:divBdr>
    </w:div>
    <w:div w:id="274563007">
      <w:bodyDiv w:val="1"/>
      <w:marLeft w:val="0"/>
      <w:marRight w:val="0"/>
      <w:marTop w:val="0"/>
      <w:marBottom w:val="0"/>
      <w:divBdr>
        <w:top w:val="none" w:sz="0" w:space="0" w:color="auto"/>
        <w:left w:val="none" w:sz="0" w:space="0" w:color="auto"/>
        <w:bottom w:val="none" w:sz="0" w:space="0" w:color="auto"/>
        <w:right w:val="none" w:sz="0" w:space="0" w:color="auto"/>
      </w:divBdr>
    </w:div>
    <w:div w:id="285357732">
      <w:bodyDiv w:val="1"/>
      <w:marLeft w:val="0"/>
      <w:marRight w:val="0"/>
      <w:marTop w:val="0"/>
      <w:marBottom w:val="0"/>
      <w:divBdr>
        <w:top w:val="none" w:sz="0" w:space="0" w:color="auto"/>
        <w:left w:val="none" w:sz="0" w:space="0" w:color="auto"/>
        <w:bottom w:val="none" w:sz="0" w:space="0" w:color="auto"/>
        <w:right w:val="none" w:sz="0" w:space="0" w:color="auto"/>
      </w:divBdr>
    </w:div>
    <w:div w:id="287779557">
      <w:bodyDiv w:val="1"/>
      <w:marLeft w:val="0"/>
      <w:marRight w:val="0"/>
      <w:marTop w:val="0"/>
      <w:marBottom w:val="0"/>
      <w:divBdr>
        <w:top w:val="none" w:sz="0" w:space="0" w:color="auto"/>
        <w:left w:val="none" w:sz="0" w:space="0" w:color="auto"/>
        <w:bottom w:val="none" w:sz="0" w:space="0" w:color="auto"/>
        <w:right w:val="none" w:sz="0" w:space="0" w:color="auto"/>
      </w:divBdr>
    </w:div>
    <w:div w:id="293567408">
      <w:bodyDiv w:val="1"/>
      <w:marLeft w:val="0"/>
      <w:marRight w:val="0"/>
      <w:marTop w:val="0"/>
      <w:marBottom w:val="0"/>
      <w:divBdr>
        <w:top w:val="none" w:sz="0" w:space="0" w:color="auto"/>
        <w:left w:val="none" w:sz="0" w:space="0" w:color="auto"/>
        <w:bottom w:val="none" w:sz="0" w:space="0" w:color="auto"/>
        <w:right w:val="none" w:sz="0" w:space="0" w:color="auto"/>
      </w:divBdr>
    </w:div>
    <w:div w:id="301497237">
      <w:bodyDiv w:val="1"/>
      <w:marLeft w:val="0"/>
      <w:marRight w:val="0"/>
      <w:marTop w:val="0"/>
      <w:marBottom w:val="0"/>
      <w:divBdr>
        <w:top w:val="none" w:sz="0" w:space="0" w:color="auto"/>
        <w:left w:val="none" w:sz="0" w:space="0" w:color="auto"/>
        <w:bottom w:val="none" w:sz="0" w:space="0" w:color="auto"/>
        <w:right w:val="none" w:sz="0" w:space="0" w:color="auto"/>
      </w:divBdr>
    </w:div>
    <w:div w:id="311569955">
      <w:bodyDiv w:val="1"/>
      <w:marLeft w:val="0"/>
      <w:marRight w:val="0"/>
      <w:marTop w:val="0"/>
      <w:marBottom w:val="0"/>
      <w:divBdr>
        <w:top w:val="none" w:sz="0" w:space="0" w:color="auto"/>
        <w:left w:val="none" w:sz="0" w:space="0" w:color="auto"/>
        <w:bottom w:val="none" w:sz="0" w:space="0" w:color="auto"/>
        <w:right w:val="none" w:sz="0" w:space="0" w:color="auto"/>
      </w:divBdr>
    </w:div>
    <w:div w:id="314190606">
      <w:bodyDiv w:val="1"/>
      <w:marLeft w:val="0"/>
      <w:marRight w:val="0"/>
      <w:marTop w:val="0"/>
      <w:marBottom w:val="0"/>
      <w:divBdr>
        <w:top w:val="none" w:sz="0" w:space="0" w:color="auto"/>
        <w:left w:val="none" w:sz="0" w:space="0" w:color="auto"/>
        <w:bottom w:val="none" w:sz="0" w:space="0" w:color="auto"/>
        <w:right w:val="none" w:sz="0" w:space="0" w:color="auto"/>
      </w:divBdr>
    </w:div>
    <w:div w:id="319776889">
      <w:bodyDiv w:val="1"/>
      <w:marLeft w:val="0"/>
      <w:marRight w:val="0"/>
      <w:marTop w:val="0"/>
      <w:marBottom w:val="0"/>
      <w:divBdr>
        <w:top w:val="none" w:sz="0" w:space="0" w:color="auto"/>
        <w:left w:val="none" w:sz="0" w:space="0" w:color="auto"/>
        <w:bottom w:val="none" w:sz="0" w:space="0" w:color="auto"/>
        <w:right w:val="none" w:sz="0" w:space="0" w:color="auto"/>
      </w:divBdr>
    </w:div>
    <w:div w:id="327563100">
      <w:bodyDiv w:val="1"/>
      <w:marLeft w:val="0"/>
      <w:marRight w:val="0"/>
      <w:marTop w:val="0"/>
      <w:marBottom w:val="0"/>
      <w:divBdr>
        <w:top w:val="none" w:sz="0" w:space="0" w:color="auto"/>
        <w:left w:val="none" w:sz="0" w:space="0" w:color="auto"/>
        <w:bottom w:val="none" w:sz="0" w:space="0" w:color="auto"/>
        <w:right w:val="none" w:sz="0" w:space="0" w:color="auto"/>
      </w:divBdr>
    </w:div>
    <w:div w:id="334960346">
      <w:bodyDiv w:val="1"/>
      <w:marLeft w:val="0"/>
      <w:marRight w:val="0"/>
      <w:marTop w:val="0"/>
      <w:marBottom w:val="0"/>
      <w:divBdr>
        <w:top w:val="none" w:sz="0" w:space="0" w:color="auto"/>
        <w:left w:val="none" w:sz="0" w:space="0" w:color="auto"/>
        <w:bottom w:val="none" w:sz="0" w:space="0" w:color="auto"/>
        <w:right w:val="none" w:sz="0" w:space="0" w:color="auto"/>
      </w:divBdr>
    </w:div>
    <w:div w:id="337927836">
      <w:bodyDiv w:val="1"/>
      <w:marLeft w:val="0"/>
      <w:marRight w:val="0"/>
      <w:marTop w:val="0"/>
      <w:marBottom w:val="0"/>
      <w:divBdr>
        <w:top w:val="none" w:sz="0" w:space="0" w:color="auto"/>
        <w:left w:val="none" w:sz="0" w:space="0" w:color="auto"/>
        <w:bottom w:val="none" w:sz="0" w:space="0" w:color="auto"/>
        <w:right w:val="none" w:sz="0" w:space="0" w:color="auto"/>
      </w:divBdr>
    </w:div>
    <w:div w:id="345400060">
      <w:bodyDiv w:val="1"/>
      <w:marLeft w:val="0"/>
      <w:marRight w:val="0"/>
      <w:marTop w:val="0"/>
      <w:marBottom w:val="0"/>
      <w:divBdr>
        <w:top w:val="none" w:sz="0" w:space="0" w:color="auto"/>
        <w:left w:val="none" w:sz="0" w:space="0" w:color="auto"/>
        <w:bottom w:val="none" w:sz="0" w:space="0" w:color="auto"/>
        <w:right w:val="none" w:sz="0" w:space="0" w:color="auto"/>
      </w:divBdr>
    </w:div>
    <w:div w:id="347145499">
      <w:bodyDiv w:val="1"/>
      <w:marLeft w:val="0"/>
      <w:marRight w:val="0"/>
      <w:marTop w:val="0"/>
      <w:marBottom w:val="0"/>
      <w:divBdr>
        <w:top w:val="none" w:sz="0" w:space="0" w:color="auto"/>
        <w:left w:val="none" w:sz="0" w:space="0" w:color="auto"/>
        <w:bottom w:val="none" w:sz="0" w:space="0" w:color="auto"/>
        <w:right w:val="none" w:sz="0" w:space="0" w:color="auto"/>
      </w:divBdr>
    </w:div>
    <w:div w:id="352267253">
      <w:bodyDiv w:val="1"/>
      <w:marLeft w:val="0"/>
      <w:marRight w:val="0"/>
      <w:marTop w:val="0"/>
      <w:marBottom w:val="0"/>
      <w:divBdr>
        <w:top w:val="none" w:sz="0" w:space="0" w:color="auto"/>
        <w:left w:val="none" w:sz="0" w:space="0" w:color="auto"/>
        <w:bottom w:val="none" w:sz="0" w:space="0" w:color="auto"/>
        <w:right w:val="none" w:sz="0" w:space="0" w:color="auto"/>
      </w:divBdr>
    </w:div>
    <w:div w:id="353772538">
      <w:bodyDiv w:val="1"/>
      <w:marLeft w:val="0"/>
      <w:marRight w:val="0"/>
      <w:marTop w:val="0"/>
      <w:marBottom w:val="0"/>
      <w:divBdr>
        <w:top w:val="none" w:sz="0" w:space="0" w:color="auto"/>
        <w:left w:val="none" w:sz="0" w:space="0" w:color="auto"/>
        <w:bottom w:val="none" w:sz="0" w:space="0" w:color="auto"/>
        <w:right w:val="none" w:sz="0" w:space="0" w:color="auto"/>
      </w:divBdr>
    </w:div>
    <w:div w:id="356850750">
      <w:bodyDiv w:val="1"/>
      <w:marLeft w:val="0"/>
      <w:marRight w:val="0"/>
      <w:marTop w:val="0"/>
      <w:marBottom w:val="0"/>
      <w:divBdr>
        <w:top w:val="none" w:sz="0" w:space="0" w:color="auto"/>
        <w:left w:val="none" w:sz="0" w:space="0" w:color="auto"/>
        <w:bottom w:val="none" w:sz="0" w:space="0" w:color="auto"/>
        <w:right w:val="none" w:sz="0" w:space="0" w:color="auto"/>
      </w:divBdr>
    </w:div>
    <w:div w:id="359164375">
      <w:bodyDiv w:val="1"/>
      <w:marLeft w:val="0"/>
      <w:marRight w:val="0"/>
      <w:marTop w:val="0"/>
      <w:marBottom w:val="0"/>
      <w:divBdr>
        <w:top w:val="none" w:sz="0" w:space="0" w:color="auto"/>
        <w:left w:val="none" w:sz="0" w:space="0" w:color="auto"/>
        <w:bottom w:val="none" w:sz="0" w:space="0" w:color="auto"/>
        <w:right w:val="none" w:sz="0" w:space="0" w:color="auto"/>
      </w:divBdr>
    </w:div>
    <w:div w:id="360592876">
      <w:bodyDiv w:val="1"/>
      <w:marLeft w:val="0"/>
      <w:marRight w:val="0"/>
      <w:marTop w:val="0"/>
      <w:marBottom w:val="0"/>
      <w:divBdr>
        <w:top w:val="none" w:sz="0" w:space="0" w:color="auto"/>
        <w:left w:val="none" w:sz="0" w:space="0" w:color="auto"/>
        <w:bottom w:val="none" w:sz="0" w:space="0" w:color="auto"/>
        <w:right w:val="none" w:sz="0" w:space="0" w:color="auto"/>
      </w:divBdr>
    </w:div>
    <w:div w:id="378167691">
      <w:bodyDiv w:val="1"/>
      <w:marLeft w:val="0"/>
      <w:marRight w:val="0"/>
      <w:marTop w:val="0"/>
      <w:marBottom w:val="0"/>
      <w:divBdr>
        <w:top w:val="none" w:sz="0" w:space="0" w:color="auto"/>
        <w:left w:val="none" w:sz="0" w:space="0" w:color="auto"/>
        <w:bottom w:val="none" w:sz="0" w:space="0" w:color="auto"/>
        <w:right w:val="none" w:sz="0" w:space="0" w:color="auto"/>
      </w:divBdr>
    </w:div>
    <w:div w:id="383334082">
      <w:bodyDiv w:val="1"/>
      <w:marLeft w:val="0"/>
      <w:marRight w:val="0"/>
      <w:marTop w:val="0"/>
      <w:marBottom w:val="0"/>
      <w:divBdr>
        <w:top w:val="none" w:sz="0" w:space="0" w:color="auto"/>
        <w:left w:val="none" w:sz="0" w:space="0" w:color="auto"/>
        <w:bottom w:val="none" w:sz="0" w:space="0" w:color="auto"/>
        <w:right w:val="none" w:sz="0" w:space="0" w:color="auto"/>
      </w:divBdr>
    </w:div>
    <w:div w:id="385495529">
      <w:bodyDiv w:val="1"/>
      <w:marLeft w:val="0"/>
      <w:marRight w:val="0"/>
      <w:marTop w:val="0"/>
      <w:marBottom w:val="0"/>
      <w:divBdr>
        <w:top w:val="none" w:sz="0" w:space="0" w:color="auto"/>
        <w:left w:val="none" w:sz="0" w:space="0" w:color="auto"/>
        <w:bottom w:val="none" w:sz="0" w:space="0" w:color="auto"/>
        <w:right w:val="none" w:sz="0" w:space="0" w:color="auto"/>
      </w:divBdr>
    </w:div>
    <w:div w:id="387850059">
      <w:bodyDiv w:val="1"/>
      <w:marLeft w:val="0"/>
      <w:marRight w:val="0"/>
      <w:marTop w:val="0"/>
      <w:marBottom w:val="0"/>
      <w:divBdr>
        <w:top w:val="none" w:sz="0" w:space="0" w:color="auto"/>
        <w:left w:val="none" w:sz="0" w:space="0" w:color="auto"/>
        <w:bottom w:val="none" w:sz="0" w:space="0" w:color="auto"/>
        <w:right w:val="none" w:sz="0" w:space="0" w:color="auto"/>
      </w:divBdr>
    </w:div>
    <w:div w:id="388303291">
      <w:bodyDiv w:val="1"/>
      <w:marLeft w:val="0"/>
      <w:marRight w:val="0"/>
      <w:marTop w:val="0"/>
      <w:marBottom w:val="0"/>
      <w:divBdr>
        <w:top w:val="none" w:sz="0" w:space="0" w:color="auto"/>
        <w:left w:val="none" w:sz="0" w:space="0" w:color="auto"/>
        <w:bottom w:val="none" w:sz="0" w:space="0" w:color="auto"/>
        <w:right w:val="none" w:sz="0" w:space="0" w:color="auto"/>
      </w:divBdr>
    </w:div>
    <w:div w:id="391467457">
      <w:bodyDiv w:val="1"/>
      <w:marLeft w:val="0"/>
      <w:marRight w:val="0"/>
      <w:marTop w:val="0"/>
      <w:marBottom w:val="0"/>
      <w:divBdr>
        <w:top w:val="none" w:sz="0" w:space="0" w:color="auto"/>
        <w:left w:val="none" w:sz="0" w:space="0" w:color="auto"/>
        <w:bottom w:val="none" w:sz="0" w:space="0" w:color="auto"/>
        <w:right w:val="none" w:sz="0" w:space="0" w:color="auto"/>
      </w:divBdr>
    </w:div>
    <w:div w:id="395279775">
      <w:bodyDiv w:val="1"/>
      <w:marLeft w:val="0"/>
      <w:marRight w:val="0"/>
      <w:marTop w:val="0"/>
      <w:marBottom w:val="0"/>
      <w:divBdr>
        <w:top w:val="none" w:sz="0" w:space="0" w:color="auto"/>
        <w:left w:val="none" w:sz="0" w:space="0" w:color="auto"/>
        <w:bottom w:val="none" w:sz="0" w:space="0" w:color="auto"/>
        <w:right w:val="none" w:sz="0" w:space="0" w:color="auto"/>
      </w:divBdr>
    </w:div>
    <w:div w:id="395737101">
      <w:bodyDiv w:val="1"/>
      <w:marLeft w:val="0"/>
      <w:marRight w:val="0"/>
      <w:marTop w:val="0"/>
      <w:marBottom w:val="0"/>
      <w:divBdr>
        <w:top w:val="none" w:sz="0" w:space="0" w:color="auto"/>
        <w:left w:val="none" w:sz="0" w:space="0" w:color="auto"/>
        <w:bottom w:val="none" w:sz="0" w:space="0" w:color="auto"/>
        <w:right w:val="none" w:sz="0" w:space="0" w:color="auto"/>
      </w:divBdr>
    </w:div>
    <w:div w:id="404572295">
      <w:bodyDiv w:val="1"/>
      <w:marLeft w:val="0"/>
      <w:marRight w:val="0"/>
      <w:marTop w:val="0"/>
      <w:marBottom w:val="0"/>
      <w:divBdr>
        <w:top w:val="none" w:sz="0" w:space="0" w:color="auto"/>
        <w:left w:val="none" w:sz="0" w:space="0" w:color="auto"/>
        <w:bottom w:val="none" w:sz="0" w:space="0" w:color="auto"/>
        <w:right w:val="none" w:sz="0" w:space="0" w:color="auto"/>
      </w:divBdr>
    </w:div>
    <w:div w:id="405882133">
      <w:bodyDiv w:val="1"/>
      <w:marLeft w:val="0"/>
      <w:marRight w:val="0"/>
      <w:marTop w:val="0"/>
      <w:marBottom w:val="0"/>
      <w:divBdr>
        <w:top w:val="none" w:sz="0" w:space="0" w:color="auto"/>
        <w:left w:val="none" w:sz="0" w:space="0" w:color="auto"/>
        <w:bottom w:val="none" w:sz="0" w:space="0" w:color="auto"/>
        <w:right w:val="none" w:sz="0" w:space="0" w:color="auto"/>
      </w:divBdr>
    </w:div>
    <w:div w:id="407969974">
      <w:bodyDiv w:val="1"/>
      <w:marLeft w:val="0"/>
      <w:marRight w:val="0"/>
      <w:marTop w:val="0"/>
      <w:marBottom w:val="0"/>
      <w:divBdr>
        <w:top w:val="none" w:sz="0" w:space="0" w:color="auto"/>
        <w:left w:val="none" w:sz="0" w:space="0" w:color="auto"/>
        <w:bottom w:val="none" w:sz="0" w:space="0" w:color="auto"/>
        <w:right w:val="none" w:sz="0" w:space="0" w:color="auto"/>
      </w:divBdr>
    </w:div>
    <w:div w:id="410199777">
      <w:bodyDiv w:val="1"/>
      <w:marLeft w:val="0"/>
      <w:marRight w:val="0"/>
      <w:marTop w:val="0"/>
      <w:marBottom w:val="0"/>
      <w:divBdr>
        <w:top w:val="none" w:sz="0" w:space="0" w:color="auto"/>
        <w:left w:val="none" w:sz="0" w:space="0" w:color="auto"/>
        <w:bottom w:val="none" w:sz="0" w:space="0" w:color="auto"/>
        <w:right w:val="none" w:sz="0" w:space="0" w:color="auto"/>
      </w:divBdr>
    </w:div>
    <w:div w:id="412703550">
      <w:bodyDiv w:val="1"/>
      <w:marLeft w:val="0"/>
      <w:marRight w:val="0"/>
      <w:marTop w:val="0"/>
      <w:marBottom w:val="0"/>
      <w:divBdr>
        <w:top w:val="none" w:sz="0" w:space="0" w:color="auto"/>
        <w:left w:val="none" w:sz="0" w:space="0" w:color="auto"/>
        <w:bottom w:val="none" w:sz="0" w:space="0" w:color="auto"/>
        <w:right w:val="none" w:sz="0" w:space="0" w:color="auto"/>
      </w:divBdr>
    </w:div>
    <w:div w:id="416246735">
      <w:bodyDiv w:val="1"/>
      <w:marLeft w:val="0"/>
      <w:marRight w:val="0"/>
      <w:marTop w:val="0"/>
      <w:marBottom w:val="0"/>
      <w:divBdr>
        <w:top w:val="none" w:sz="0" w:space="0" w:color="auto"/>
        <w:left w:val="none" w:sz="0" w:space="0" w:color="auto"/>
        <w:bottom w:val="none" w:sz="0" w:space="0" w:color="auto"/>
        <w:right w:val="none" w:sz="0" w:space="0" w:color="auto"/>
      </w:divBdr>
    </w:div>
    <w:div w:id="416288695">
      <w:bodyDiv w:val="1"/>
      <w:marLeft w:val="0"/>
      <w:marRight w:val="0"/>
      <w:marTop w:val="0"/>
      <w:marBottom w:val="0"/>
      <w:divBdr>
        <w:top w:val="none" w:sz="0" w:space="0" w:color="auto"/>
        <w:left w:val="none" w:sz="0" w:space="0" w:color="auto"/>
        <w:bottom w:val="none" w:sz="0" w:space="0" w:color="auto"/>
        <w:right w:val="none" w:sz="0" w:space="0" w:color="auto"/>
      </w:divBdr>
    </w:div>
    <w:div w:id="417409179">
      <w:bodyDiv w:val="1"/>
      <w:marLeft w:val="0"/>
      <w:marRight w:val="0"/>
      <w:marTop w:val="0"/>
      <w:marBottom w:val="0"/>
      <w:divBdr>
        <w:top w:val="none" w:sz="0" w:space="0" w:color="auto"/>
        <w:left w:val="none" w:sz="0" w:space="0" w:color="auto"/>
        <w:bottom w:val="none" w:sz="0" w:space="0" w:color="auto"/>
        <w:right w:val="none" w:sz="0" w:space="0" w:color="auto"/>
      </w:divBdr>
    </w:div>
    <w:div w:id="417946216">
      <w:bodyDiv w:val="1"/>
      <w:marLeft w:val="0"/>
      <w:marRight w:val="0"/>
      <w:marTop w:val="0"/>
      <w:marBottom w:val="0"/>
      <w:divBdr>
        <w:top w:val="none" w:sz="0" w:space="0" w:color="auto"/>
        <w:left w:val="none" w:sz="0" w:space="0" w:color="auto"/>
        <w:bottom w:val="none" w:sz="0" w:space="0" w:color="auto"/>
        <w:right w:val="none" w:sz="0" w:space="0" w:color="auto"/>
      </w:divBdr>
    </w:div>
    <w:div w:id="424229922">
      <w:bodyDiv w:val="1"/>
      <w:marLeft w:val="0"/>
      <w:marRight w:val="0"/>
      <w:marTop w:val="0"/>
      <w:marBottom w:val="0"/>
      <w:divBdr>
        <w:top w:val="none" w:sz="0" w:space="0" w:color="auto"/>
        <w:left w:val="none" w:sz="0" w:space="0" w:color="auto"/>
        <w:bottom w:val="none" w:sz="0" w:space="0" w:color="auto"/>
        <w:right w:val="none" w:sz="0" w:space="0" w:color="auto"/>
      </w:divBdr>
    </w:div>
    <w:div w:id="425923255">
      <w:bodyDiv w:val="1"/>
      <w:marLeft w:val="0"/>
      <w:marRight w:val="0"/>
      <w:marTop w:val="0"/>
      <w:marBottom w:val="0"/>
      <w:divBdr>
        <w:top w:val="none" w:sz="0" w:space="0" w:color="auto"/>
        <w:left w:val="none" w:sz="0" w:space="0" w:color="auto"/>
        <w:bottom w:val="none" w:sz="0" w:space="0" w:color="auto"/>
        <w:right w:val="none" w:sz="0" w:space="0" w:color="auto"/>
      </w:divBdr>
    </w:div>
    <w:div w:id="461463496">
      <w:bodyDiv w:val="1"/>
      <w:marLeft w:val="0"/>
      <w:marRight w:val="0"/>
      <w:marTop w:val="0"/>
      <w:marBottom w:val="0"/>
      <w:divBdr>
        <w:top w:val="none" w:sz="0" w:space="0" w:color="auto"/>
        <w:left w:val="none" w:sz="0" w:space="0" w:color="auto"/>
        <w:bottom w:val="none" w:sz="0" w:space="0" w:color="auto"/>
        <w:right w:val="none" w:sz="0" w:space="0" w:color="auto"/>
      </w:divBdr>
    </w:div>
    <w:div w:id="465927919">
      <w:bodyDiv w:val="1"/>
      <w:marLeft w:val="0"/>
      <w:marRight w:val="0"/>
      <w:marTop w:val="0"/>
      <w:marBottom w:val="0"/>
      <w:divBdr>
        <w:top w:val="none" w:sz="0" w:space="0" w:color="auto"/>
        <w:left w:val="none" w:sz="0" w:space="0" w:color="auto"/>
        <w:bottom w:val="none" w:sz="0" w:space="0" w:color="auto"/>
        <w:right w:val="none" w:sz="0" w:space="0" w:color="auto"/>
      </w:divBdr>
    </w:div>
    <w:div w:id="468980557">
      <w:bodyDiv w:val="1"/>
      <w:marLeft w:val="0"/>
      <w:marRight w:val="0"/>
      <w:marTop w:val="0"/>
      <w:marBottom w:val="0"/>
      <w:divBdr>
        <w:top w:val="none" w:sz="0" w:space="0" w:color="auto"/>
        <w:left w:val="none" w:sz="0" w:space="0" w:color="auto"/>
        <w:bottom w:val="none" w:sz="0" w:space="0" w:color="auto"/>
        <w:right w:val="none" w:sz="0" w:space="0" w:color="auto"/>
      </w:divBdr>
    </w:div>
    <w:div w:id="470908250">
      <w:bodyDiv w:val="1"/>
      <w:marLeft w:val="0"/>
      <w:marRight w:val="0"/>
      <w:marTop w:val="0"/>
      <w:marBottom w:val="0"/>
      <w:divBdr>
        <w:top w:val="none" w:sz="0" w:space="0" w:color="auto"/>
        <w:left w:val="none" w:sz="0" w:space="0" w:color="auto"/>
        <w:bottom w:val="none" w:sz="0" w:space="0" w:color="auto"/>
        <w:right w:val="none" w:sz="0" w:space="0" w:color="auto"/>
      </w:divBdr>
    </w:div>
    <w:div w:id="476385347">
      <w:bodyDiv w:val="1"/>
      <w:marLeft w:val="0"/>
      <w:marRight w:val="0"/>
      <w:marTop w:val="0"/>
      <w:marBottom w:val="0"/>
      <w:divBdr>
        <w:top w:val="none" w:sz="0" w:space="0" w:color="auto"/>
        <w:left w:val="none" w:sz="0" w:space="0" w:color="auto"/>
        <w:bottom w:val="none" w:sz="0" w:space="0" w:color="auto"/>
        <w:right w:val="none" w:sz="0" w:space="0" w:color="auto"/>
      </w:divBdr>
    </w:div>
    <w:div w:id="476457043">
      <w:bodyDiv w:val="1"/>
      <w:marLeft w:val="0"/>
      <w:marRight w:val="0"/>
      <w:marTop w:val="0"/>
      <w:marBottom w:val="0"/>
      <w:divBdr>
        <w:top w:val="none" w:sz="0" w:space="0" w:color="auto"/>
        <w:left w:val="none" w:sz="0" w:space="0" w:color="auto"/>
        <w:bottom w:val="none" w:sz="0" w:space="0" w:color="auto"/>
        <w:right w:val="none" w:sz="0" w:space="0" w:color="auto"/>
      </w:divBdr>
    </w:div>
    <w:div w:id="481697808">
      <w:bodyDiv w:val="1"/>
      <w:marLeft w:val="0"/>
      <w:marRight w:val="0"/>
      <w:marTop w:val="0"/>
      <w:marBottom w:val="0"/>
      <w:divBdr>
        <w:top w:val="none" w:sz="0" w:space="0" w:color="auto"/>
        <w:left w:val="none" w:sz="0" w:space="0" w:color="auto"/>
        <w:bottom w:val="none" w:sz="0" w:space="0" w:color="auto"/>
        <w:right w:val="none" w:sz="0" w:space="0" w:color="auto"/>
      </w:divBdr>
    </w:div>
    <w:div w:id="491071420">
      <w:bodyDiv w:val="1"/>
      <w:marLeft w:val="0"/>
      <w:marRight w:val="0"/>
      <w:marTop w:val="0"/>
      <w:marBottom w:val="0"/>
      <w:divBdr>
        <w:top w:val="none" w:sz="0" w:space="0" w:color="auto"/>
        <w:left w:val="none" w:sz="0" w:space="0" w:color="auto"/>
        <w:bottom w:val="none" w:sz="0" w:space="0" w:color="auto"/>
        <w:right w:val="none" w:sz="0" w:space="0" w:color="auto"/>
      </w:divBdr>
    </w:div>
    <w:div w:id="496189894">
      <w:bodyDiv w:val="1"/>
      <w:marLeft w:val="0"/>
      <w:marRight w:val="0"/>
      <w:marTop w:val="0"/>
      <w:marBottom w:val="0"/>
      <w:divBdr>
        <w:top w:val="none" w:sz="0" w:space="0" w:color="auto"/>
        <w:left w:val="none" w:sz="0" w:space="0" w:color="auto"/>
        <w:bottom w:val="none" w:sz="0" w:space="0" w:color="auto"/>
        <w:right w:val="none" w:sz="0" w:space="0" w:color="auto"/>
      </w:divBdr>
    </w:div>
    <w:div w:id="499122841">
      <w:bodyDiv w:val="1"/>
      <w:marLeft w:val="0"/>
      <w:marRight w:val="0"/>
      <w:marTop w:val="0"/>
      <w:marBottom w:val="0"/>
      <w:divBdr>
        <w:top w:val="none" w:sz="0" w:space="0" w:color="auto"/>
        <w:left w:val="none" w:sz="0" w:space="0" w:color="auto"/>
        <w:bottom w:val="none" w:sz="0" w:space="0" w:color="auto"/>
        <w:right w:val="none" w:sz="0" w:space="0" w:color="auto"/>
      </w:divBdr>
    </w:div>
    <w:div w:id="501162382">
      <w:bodyDiv w:val="1"/>
      <w:marLeft w:val="0"/>
      <w:marRight w:val="0"/>
      <w:marTop w:val="0"/>
      <w:marBottom w:val="0"/>
      <w:divBdr>
        <w:top w:val="none" w:sz="0" w:space="0" w:color="auto"/>
        <w:left w:val="none" w:sz="0" w:space="0" w:color="auto"/>
        <w:bottom w:val="none" w:sz="0" w:space="0" w:color="auto"/>
        <w:right w:val="none" w:sz="0" w:space="0" w:color="auto"/>
      </w:divBdr>
    </w:div>
    <w:div w:id="503475389">
      <w:bodyDiv w:val="1"/>
      <w:marLeft w:val="0"/>
      <w:marRight w:val="0"/>
      <w:marTop w:val="0"/>
      <w:marBottom w:val="0"/>
      <w:divBdr>
        <w:top w:val="none" w:sz="0" w:space="0" w:color="auto"/>
        <w:left w:val="none" w:sz="0" w:space="0" w:color="auto"/>
        <w:bottom w:val="none" w:sz="0" w:space="0" w:color="auto"/>
        <w:right w:val="none" w:sz="0" w:space="0" w:color="auto"/>
      </w:divBdr>
    </w:div>
    <w:div w:id="511918524">
      <w:bodyDiv w:val="1"/>
      <w:marLeft w:val="0"/>
      <w:marRight w:val="0"/>
      <w:marTop w:val="0"/>
      <w:marBottom w:val="0"/>
      <w:divBdr>
        <w:top w:val="none" w:sz="0" w:space="0" w:color="auto"/>
        <w:left w:val="none" w:sz="0" w:space="0" w:color="auto"/>
        <w:bottom w:val="none" w:sz="0" w:space="0" w:color="auto"/>
        <w:right w:val="none" w:sz="0" w:space="0" w:color="auto"/>
      </w:divBdr>
    </w:div>
    <w:div w:id="515851275">
      <w:bodyDiv w:val="1"/>
      <w:marLeft w:val="0"/>
      <w:marRight w:val="0"/>
      <w:marTop w:val="0"/>
      <w:marBottom w:val="0"/>
      <w:divBdr>
        <w:top w:val="none" w:sz="0" w:space="0" w:color="auto"/>
        <w:left w:val="none" w:sz="0" w:space="0" w:color="auto"/>
        <w:bottom w:val="none" w:sz="0" w:space="0" w:color="auto"/>
        <w:right w:val="none" w:sz="0" w:space="0" w:color="auto"/>
      </w:divBdr>
    </w:div>
    <w:div w:id="526990424">
      <w:bodyDiv w:val="1"/>
      <w:marLeft w:val="0"/>
      <w:marRight w:val="0"/>
      <w:marTop w:val="0"/>
      <w:marBottom w:val="0"/>
      <w:divBdr>
        <w:top w:val="none" w:sz="0" w:space="0" w:color="auto"/>
        <w:left w:val="none" w:sz="0" w:space="0" w:color="auto"/>
        <w:bottom w:val="none" w:sz="0" w:space="0" w:color="auto"/>
        <w:right w:val="none" w:sz="0" w:space="0" w:color="auto"/>
      </w:divBdr>
    </w:div>
    <w:div w:id="545989527">
      <w:bodyDiv w:val="1"/>
      <w:marLeft w:val="0"/>
      <w:marRight w:val="0"/>
      <w:marTop w:val="0"/>
      <w:marBottom w:val="0"/>
      <w:divBdr>
        <w:top w:val="none" w:sz="0" w:space="0" w:color="auto"/>
        <w:left w:val="none" w:sz="0" w:space="0" w:color="auto"/>
        <w:bottom w:val="none" w:sz="0" w:space="0" w:color="auto"/>
        <w:right w:val="none" w:sz="0" w:space="0" w:color="auto"/>
      </w:divBdr>
    </w:div>
    <w:div w:id="547496299">
      <w:bodyDiv w:val="1"/>
      <w:marLeft w:val="0"/>
      <w:marRight w:val="0"/>
      <w:marTop w:val="0"/>
      <w:marBottom w:val="0"/>
      <w:divBdr>
        <w:top w:val="none" w:sz="0" w:space="0" w:color="auto"/>
        <w:left w:val="none" w:sz="0" w:space="0" w:color="auto"/>
        <w:bottom w:val="none" w:sz="0" w:space="0" w:color="auto"/>
        <w:right w:val="none" w:sz="0" w:space="0" w:color="auto"/>
      </w:divBdr>
    </w:div>
    <w:div w:id="548109978">
      <w:bodyDiv w:val="1"/>
      <w:marLeft w:val="0"/>
      <w:marRight w:val="0"/>
      <w:marTop w:val="0"/>
      <w:marBottom w:val="0"/>
      <w:divBdr>
        <w:top w:val="none" w:sz="0" w:space="0" w:color="auto"/>
        <w:left w:val="none" w:sz="0" w:space="0" w:color="auto"/>
        <w:bottom w:val="none" w:sz="0" w:space="0" w:color="auto"/>
        <w:right w:val="none" w:sz="0" w:space="0" w:color="auto"/>
      </w:divBdr>
    </w:div>
    <w:div w:id="550465561">
      <w:bodyDiv w:val="1"/>
      <w:marLeft w:val="0"/>
      <w:marRight w:val="0"/>
      <w:marTop w:val="0"/>
      <w:marBottom w:val="0"/>
      <w:divBdr>
        <w:top w:val="none" w:sz="0" w:space="0" w:color="auto"/>
        <w:left w:val="none" w:sz="0" w:space="0" w:color="auto"/>
        <w:bottom w:val="none" w:sz="0" w:space="0" w:color="auto"/>
        <w:right w:val="none" w:sz="0" w:space="0" w:color="auto"/>
      </w:divBdr>
    </w:div>
    <w:div w:id="550531222">
      <w:bodyDiv w:val="1"/>
      <w:marLeft w:val="0"/>
      <w:marRight w:val="0"/>
      <w:marTop w:val="0"/>
      <w:marBottom w:val="0"/>
      <w:divBdr>
        <w:top w:val="none" w:sz="0" w:space="0" w:color="auto"/>
        <w:left w:val="none" w:sz="0" w:space="0" w:color="auto"/>
        <w:bottom w:val="none" w:sz="0" w:space="0" w:color="auto"/>
        <w:right w:val="none" w:sz="0" w:space="0" w:color="auto"/>
      </w:divBdr>
    </w:div>
    <w:div w:id="551426098">
      <w:bodyDiv w:val="1"/>
      <w:marLeft w:val="0"/>
      <w:marRight w:val="0"/>
      <w:marTop w:val="0"/>
      <w:marBottom w:val="0"/>
      <w:divBdr>
        <w:top w:val="none" w:sz="0" w:space="0" w:color="auto"/>
        <w:left w:val="none" w:sz="0" w:space="0" w:color="auto"/>
        <w:bottom w:val="none" w:sz="0" w:space="0" w:color="auto"/>
        <w:right w:val="none" w:sz="0" w:space="0" w:color="auto"/>
      </w:divBdr>
    </w:div>
    <w:div w:id="553348495">
      <w:bodyDiv w:val="1"/>
      <w:marLeft w:val="0"/>
      <w:marRight w:val="0"/>
      <w:marTop w:val="0"/>
      <w:marBottom w:val="0"/>
      <w:divBdr>
        <w:top w:val="none" w:sz="0" w:space="0" w:color="auto"/>
        <w:left w:val="none" w:sz="0" w:space="0" w:color="auto"/>
        <w:bottom w:val="none" w:sz="0" w:space="0" w:color="auto"/>
        <w:right w:val="none" w:sz="0" w:space="0" w:color="auto"/>
      </w:divBdr>
    </w:div>
    <w:div w:id="560140632">
      <w:bodyDiv w:val="1"/>
      <w:marLeft w:val="0"/>
      <w:marRight w:val="0"/>
      <w:marTop w:val="0"/>
      <w:marBottom w:val="0"/>
      <w:divBdr>
        <w:top w:val="none" w:sz="0" w:space="0" w:color="auto"/>
        <w:left w:val="none" w:sz="0" w:space="0" w:color="auto"/>
        <w:bottom w:val="none" w:sz="0" w:space="0" w:color="auto"/>
        <w:right w:val="none" w:sz="0" w:space="0" w:color="auto"/>
      </w:divBdr>
    </w:div>
    <w:div w:id="570971236">
      <w:bodyDiv w:val="1"/>
      <w:marLeft w:val="0"/>
      <w:marRight w:val="0"/>
      <w:marTop w:val="0"/>
      <w:marBottom w:val="0"/>
      <w:divBdr>
        <w:top w:val="none" w:sz="0" w:space="0" w:color="auto"/>
        <w:left w:val="none" w:sz="0" w:space="0" w:color="auto"/>
        <w:bottom w:val="none" w:sz="0" w:space="0" w:color="auto"/>
        <w:right w:val="none" w:sz="0" w:space="0" w:color="auto"/>
      </w:divBdr>
    </w:div>
    <w:div w:id="574557810">
      <w:bodyDiv w:val="1"/>
      <w:marLeft w:val="0"/>
      <w:marRight w:val="0"/>
      <w:marTop w:val="0"/>
      <w:marBottom w:val="0"/>
      <w:divBdr>
        <w:top w:val="none" w:sz="0" w:space="0" w:color="auto"/>
        <w:left w:val="none" w:sz="0" w:space="0" w:color="auto"/>
        <w:bottom w:val="none" w:sz="0" w:space="0" w:color="auto"/>
        <w:right w:val="none" w:sz="0" w:space="0" w:color="auto"/>
      </w:divBdr>
    </w:div>
    <w:div w:id="578947598">
      <w:bodyDiv w:val="1"/>
      <w:marLeft w:val="0"/>
      <w:marRight w:val="0"/>
      <w:marTop w:val="0"/>
      <w:marBottom w:val="0"/>
      <w:divBdr>
        <w:top w:val="none" w:sz="0" w:space="0" w:color="auto"/>
        <w:left w:val="none" w:sz="0" w:space="0" w:color="auto"/>
        <w:bottom w:val="none" w:sz="0" w:space="0" w:color="auto"/>
        <w:right w:val="none" w:sz="0" w:space="0" w:color="auto"/>
      </w:divBdr>
    </w:div>
    <w:div w:id="580723286">
      <w:bodyDiv w:val="1"/>
      <w:marLeft w:val="0"/>
      <w:marRight w:val="0"/>
      <w:marTop w:val="0"/>
      <w:marBottom w:val="0"/>
      <w:divBdr>
        <w:top w:val="none" w:sz="0" w:space="0" w:color="auto"/>
        <w:left w:val="none" w:sz="0" w:space="0" w:color="auto"/>
        <w:bottom w:val="none" w:sz="0" w:space="0" w:color="auto"/>
        <w:right w:val="none" w:sz="0" w:space="0" w:color="auto"/>
      </w:divBdr>
    </w:div>
    <w:div w:id="582955052">
      <w:bodyDiv w:val="1"/>
      <w:marLeft w:val="0"/>
      <w:marRight w:val="0"/>
      <w:marTop w:val="0"/>
      <w:marBottom w:val="0"/>
      <w:divBdr>
        <w:top w:val="none" w:sz="0" w:space="0" w:color="auto"/>
        <w:left w:val="none" w:sz="0" w:space="0" w:color="auto"/>
        <w:bottom w:val="none" w:sz="0" w:space="0" w:color="auto"/>
        <w:right w:val="none" w:sz="0" w:space="0" w:color="auto"/>
      </w:divBdr>
    </w:div>
    <w:div w:id="588320241">
      <w:bodyDiv w:val="1"/>
      <w:marLeft w:val="0"/>
      <w:marRight w:val="0"/>
      <w:marTop w:val="0"/>
      <w:marBottom w:val="0"/>
      <w:divBdr>
        <w:top w:val="none" w:sz="0" w:space="0" w:color="auto"/>
        <w:left w:val="none" w:sz="0" w:space="0" w:color="auto"/>
        <w:bottom w:val="none" w:sz="0" w:space="0" w:color="auto"/>
        <w:right w:val="none" w:sz="0" w:space="0" w:color="auto"/>
      </w:divBdr>
    </w:div>
    <w:div w:id="592472665">
      <w:bodyDiv w:val="1"/>
      <w:marLeft w:val="0"/>
      <w:marRight w:val="0"/>
      <w:marTop w:val="0"/>
      <w:marBottom w:val="0"/>
      <w:divBdr>
        <w:top w:val="none" w:sz="0" w:space="0" w:color="auto"/>
        <w:left w:val="none" w:sz="0" w:space="0" w:color="auto"/>
        <w:bottom w:val="none" w:sz="0" w:space="0" w:color="auto"/>
        <w:right w:val="none" w:sz="0" w:space="0" w:color="auto"/>
      </w:divBdr>
    </w:div>
    <w:div w:id="594485217">
      <w:bodyDiv w:val="1"/>
      <w:marLeft w:val="0"/>
      <w:marRight w:val="0"/>
      <w:marTop w:val="0"/>
      <w:marBottom w:val="0"/>
      <w:divBdr>
        <w:top w:val="none" w:sz="0" w:space="0" w:color="auto"/>
        <w:left w:val="none" w:sz="0" w:space="0" w:color="auto"/>
        <w:bottom w:val="none" w:sz="0" w:space="0" w:color="auto"/>
        <w:right w:val="none" w:sz="0" w:space="0" w:color="auto"/>
      </w:divBdr>
    </w:div>
    <w:div w:id="599291722">
      <w:bodyDiv w:val="1"/>
      <w:marLeft w:val="0"/>
      <w:marRight w:val="0"/>
      <w:marTop w:val="0"/>
      <w:marBottom w:val="0"/>
      <w:divBdr>
        <w:top w:val="none" w:sz="0" w:space="0" w:color="auto"/>
        <w:left w:val="none" w:sz="0" w:space="0" w:color="auto"/>
        <w:bottom w:val="none" w:sz="0" w:space="0" w:color="auto"/>
        <w:right w:val="none" w:sz="0" w:space="0" w:color="auto"/>
      </w:divBdr>
    </w:div>
    <w:div w:id="600600709">
      <w:bodyDiv w:val="1"/>
      <w:marLeft w:val="0"/>
      <w:marRight w:val="0"/>
      <w:marTop w:val="0"/>
      <w:marBottom w:val="0"/>
      <w:divBdr>
        <w:top w:val="none" w:sz="0" w:space="0" w:color="auto"/>
        <w:left w:val="none" w:sz="0" w:space="0" w:color="auto"/>
        <w:bottom w:val="none" w:sz="0" w:space="0" w:color="auto"/>
        <w:right w:val="none" w:sz="0" w:space="0" w:color="auto"/>
      </w:divBdr>
    </w:div>
    <w:div w:id="613488519">
      <w:bodyDiv w:val="1"/>
      <w:marLeft w:val="0"/>
      <w:marRight w:val="0"/>
      <w:marTop w:val="0"/>
      <w:marBottom w:val="0"/>
      <w:divBdr>
        <w:top w:val="none" w:sz="0" w:space="0" w:color="auto"/>
        <w:left w:val="none" w:sz="0" w:space="0" w:color="auto"/>
        <w:bottom w:val="none" w:sz="0" w:space="0" w:color="auto"/>
        <w:right w:val="none" w:sz="0" w:space="0" w:color="auto"/>
      </w:divBdr>
    </w:div>
    <w:div w:id="619185421">
      <w:bodyDiv w:val="1"/>
      <w:marLeft w:val="0"/>
      <w:marRight w:val="0"/>
      <w:marTop w:val="0"/>
      <w:marBottom w:val="0"/>
      <w:divBdr>
        <w:top w:val="none" w:sz="0" w:space="0" w:color="auto"/>
        <w:left w:val="none" w:sz="0" w:space="0" w:color="auto"/>
        <w:bottom w:val="none" w:sz="0" w:space="0" w:color="auto"/>
        <w:right w:val="none" w:sz="0" w:space="0" w:color="auto"/>
      </w:divBdr>
    </w:div>
    <w:div w:id="635261851">
      <w:bodyDiv w:val="1"/>
      <w:marLeft w:val="0"/>
      <w:marRight w:val="0"/>
      <w:marTop w:val="0"/>
      <w:marBottom w:val="0"/>
      <w:divBdr>
        <w:top w:val="none" w:sz="0" w:space="0" w:color="auto"/>
        <w:left w:val="none" w:sz="0" w:space="0" w:color="auto"/>
        <w:bottom w:val="none" w:sz="0" w:space="0" w:color="auto"/>
        <w:right w:val="none" w:sz="0" w:space="0" w:color="auto"/>
      </w:divBdr>
    </w:div>
    <w:div w:id="636448589">
      <w:bodyDiv w:val="1"/>
      <w:marLeft w:val="0"/>
      <w:marRight w:val="0"/>
      <w:marTop w:val="0"/>
      <w:marBottom w:val="0"/>
      <w:divBdr>
        <w:top w:val="none" w:sz="0" w:space="0" w:color="auto"/>
        <w:left w:val="none" w:sz="0" w:space="0" w:color="auto"/>
        <w:bottom w:val="none" w:sz="0" w:space="0" w:color="auto"/>
        <w:right w:val="none" w:sz="0" w:space="0" w:color="auto"/>
      </w:divBdr>
    </w:div>
    <w:div w:id="638068724">
      <w:bodyDiv w:val="1"/>
      <w:marLeft w:val="0"/>
      <w:marRight w:val="0"/>
      <w:marTop w:val="0"/>
      <w:marBottom w:val="0"/>
      <w:divBdr>
        <w:top w:val="none" w:sz="0" w:space="0" w:color="auto"/>
        <w:left w:val="none" w:sz="0" w:space="0" w:color="auto"/>
        <w:bottom w:val="none" w:sz="0" w:space="0" w:color="auto"/>
        <w:right w:val="none" w:sz="0" w:space="0" w:color="auto"/>
      </w:divBdr>
    </w:div>
    <w:div w:id="641665312">
      <w:bodyDiv w:val="1"/>
      <w:marLeft w:val="0"/>
      <w:marRight w:val="0"/>
      <w:marTop w:val="0"/>
      <w:marBottom w:val="0"/>
      <w:divBdr>
        <w:top w:val="none" w:sz="0" w:space="0" w:color="auto"/>
        <w:left w:val="none" w:sz="0" w:space="0" w:color="auto"/>
        <w:bottom w:val="none" w:sz="0" w:space="0" w:color="auto"/>
        <w:right w:val="none" w:sz="0" w:space="0" w:color="auto"/>
      </w:divBdr>
    </w:div>
    <w:div w:id="643582974">
      <w:bodyDiv w:val="1"/>
      <w:marLeft w:val="0"/>
      <w:marRight w:val="0"/>
      <w:marTop w:val="0"/>
      <w:marBottom w:val="0"/>
      <w:divBdr>
        <w:top w:val="none" w:sz="0" w:space="0" w:color="auto"/>
        <w:left w:val="none" w:sz="0" w:space="0" w:color="auto"/>
        <w:bottom w:val="none" w:sz="0" w:space="0" w:color="auto"/>
        <w:right w:val="none" w:sz="0" w:space="0" w:color="auto"/>
      </w:divBdr>
    </w:div>
    <w:div w:id="650671913">
      <w:bodyDiv w:val="1"/>
      <w:marLeft w:val="0"/>
      <w:marRight w:val="0"/>
      <w:marTop w:val="0"/>
      <w:marBottom w:val="0"/>
      <w:divBdr>
        <w:top w:val="none" w:sz="0" w:space="0" w:color="auto"/>
        <w:left w:val="none" w:sz="0" w:space="0" w:color="auto"/>
        <w:bottom w:val="none" w:sz="0" w:space="0" w:color="auto"/>
        <w:right w:val="none" w:sz="0" w:space="0" w:color="auto"/>
      </w:divBdr>
    </w:div>
    <w:div w:id="652028648">
      <w:bodyDiv w:val="1"/>
      <w:marLeft w:val="0"/>
      <w:marRight w:val="0"/>
      <w:marTop w:val="0"/>
      <w:marBottom w:val="0"/>
      <w:divBdr>
        <w:top w:val="none" w:sz="0" w:space="0" w:color="auto"/>
        <w:left w:val="none" w:sz="0" w:space="0" w:color="auto"/>
        <w:bottom w:val="none" w:sz="0" w:space="0" w:color="auto"/>
        <w:right w:val="none" w:sz="0" w:space="0" w:color="auto"/>
      </w:divBdr>
    </w:div>
    <w:div w:id="659889843">
      <w:bodyDiv w:val="1"/>
      <w:marLeft w:val="0"/>
      <w:marRight w:val="0"/>
      <w:marTop w:val="0"/>
      <w:marBottom w:val="0"/>
      <w:divBdr>
        <w:top w:val="none" w:sz="0" w:space="0" w:color="auto"/>
        <w:left w:val="none" w:sz="0" w:space="0" w:color="auto"/>
        <w:bottom w:val="none" w:sz="0" w:space="0" w:color="auto"/>
        <w:right w:val="none" w:sz="0" w:space="0" w:color="auto"/>
      </w:divBdr>
    </w:div>
    <w:div w:id="672999919">
      <w:bodyDiv w:val="1"/>
      <w:marLeft w:val="0"/>
      <w:marRight w:val="0"/>
      <w:marTop w:val="0"/>
      <w:marBottom w:val="0"/>
      <w:divBdr>
        <w:top w:val="none" w:sz="0" w:space="0" w:color="auto"/>
        <w:left w:val="none" w:sz="0" w:space="0" w:color="auto"/>
        <w:bottom w:val="none" w:sz="0" w:space="0" w:color="auto"/>
        <w:right w:val="none" w:sz="0" w:space="0" w:color="auto"/>
      </w:divBdr>
    </w:div>
    <w:div w:id="676539812">
      <w:bodyDiv w:val="1"/>
      <w:marLeft w:val="0"/>
      <w:marRight w:val="0"/>
      <w:marTop w:val="0"/>
      <w:marBottom w:val="0"/>
      <w:divBdr>
        <w:top w:val="none" w:sz="0" w:space="0" w:color="auto"/>
        <w:left w:val="none" w:sz="0" w:space="0" w:color="auto"/>
        <w:bottom w:val="none" w:sz="0" w:space="0" w:color="auto"/>
        <w:right w:val="none" w:sz="0" w:space="0" w:color="auto"/>
      </w:divBdr>
    </w:div>
    <w:div w:id="681278918">
      <w:bodyDiv w:val="1"/>
      <w:marLeft w:val="0"/>
      <w:marRight w:val="0"/>
      <w:marTop w:val="0"/>
      <w:marBottom w:val="0"/>
      <w:divBdr>
        <w:top w:val="none" w:sz="0" w:space="0" w:color="auto"/>
        <w:left w:val="none" w:sz="0" w:space="0" w:color="auto"/>
        <w:bottom w:val="none" w:sz="0" w:space="0" w:color="auto"/>
        <w:right w:val="none" w:sz="0" w:space="0" w:color="auto"/>
      </w:divBdr>
    </w:div>
    <w:div w:id="688262970">
      <w:bodyDiv w:val="1"/>
      <w:marLeft w:val="0"/>
      <w:marRight w:val="0"/>
      <w:marTop w:val="0"/>
      <w:marBottom w:val="0"/>
      <w:divBdr>
        <w:top w:val="none" w:sz="0" w:space="0" w:color="auto"/>
        <w:left w:val="none" w:sz="0" w:space="0" w:color="auto"/>
        <w:bottom w:val="none" w:sz="0" w:space="0" w:color="auto"/>
        <w:right w:val="none" w:sz="0" w:space="0" w:color="auto"/>
      </w:divBdr>
    </w:div>
    <w:div w:id="688918023">
      <w:bodyDiv w:val="1"/>
      <w:marLeft w:val="0"/>
      <w:marRight w:val="0"/>
      <w:marTop w:val="0"/>
      <w:marBottom w:val="0"/>
      <w:divBdr>
        <w:top w:val="none" w:sz="0" w:space="0" w:color="auto"/>
        <w:left w:val="none" w:sz="0" w:space="0" w:color="auto"/>
        <w:bottom w:val="none" w:sz="0" w:space="0" w:color="auto"/>
        <w:right w:val="none" w:sz="0" w:space="0" w:color="auto"/>
      </w:divBdr>
    </w:div>
    <w:div w:id="691876117">
      <w:bodyDiv w:val="1"/>
      <w:marLeft w:val="0"/>
      <w:marRight w:val="0"/>
      <w:marTop w:val="0"/>
      <w:marBottom w:val="0"/>
      <w:divBdr>
        <w:top w:val="none" w:sz="0" w:space="0" w:color="auto"/>
        <w:left w:val="none" w:sz="0" w:space="0" w:color="auto"/>
        <w:bottom w:val="none" w:sz="0" w:space="0" w:color="auto"/>
        <w:right w:val="none" w:sz="0" w:space="0" w:color="auto"/>
      </w:divBdr>
    </w:div>
    <w:div w:id="694160305">
      <w:bodyDiv w:val="1"/>
      <w:marLeft w:val="0"/>
      <w:marRight w:val="0"/>
      <w:marTop w:val="0"/>
      <w:marBottom w:val="0"/>
      <w:divBdr>
        <w:top w:val="none" w:sz="0" w:space="0" w:color="auto"/>
        <w:left w:val="none" w:sz="0" w:space="0" w:color="auto"/>
        <w:bottom w:val="none" w:sz="0" w:space="0" w:color="auto"/>
        <w:right w:val="none" w:sz="0" w:space="0" w:color="auto"/>
      </w:divBdr>
    </w:div>
    <w:div w:id="695664924">
      <w:bodyDiv w:val="1"/>
      <w:marLeft w:val="0"/>
      <w:marRight w:val="0"/>
      <w:marTop w:val="0"/>
      <w:marBottom w:val="0"/>
      <w:divBdr>
        <w:top w:val="none" w:sz="0" w:space="0" w:color="auto"/>
        <w:left w:val="none" w:sz="0" w:space="0" w:color="auto"/>
        <w:bottom w:val="none" w:sz="0" w:space="0" w:color="auto"/>
        <w:right w:val="none" w:sz="0" w:space="0" w:color="auto"/>
      </w:divBdr>
    </w:div>
    <w:div w:id="706560582">
      <w:bodyDiv w:val="1"/>
      <w:marLeft w:val="0"/>
      <w:marRight w:val="0"/>
      <w:marTop w:val="0"/>
      <w:marBottom w:val="0"/>
      <w:divBdr>
        <w:top w:val="none" w:sz="0" w:space="0" w:color="auto"/>
        <w:left w:val="none" w:sz="0" w:space="0" w:color="auto"/>
        <w:bottom w:val="none" w:sz="0" w:space="0" w:color="auto"/>
        <w:right w:val="none" w:sz="0" w:space="0" w:color="auto"/>
      </w:divBdr>
    </w:div>
    <w:div w:id="706756035">
      <w:bodyDiv w:val="1"/>
      <w:marLeft w:val="0"/>
      <w:marRight w:val="0"/>
      <w:marTop w:val="0"/>
      <w:marBottom w:val="0"/>
      <w:divBdr>
        <w:top w:val="none" w:sz="0" w:space="0" w:color="auto"/>
        <w:left w:val="none" w:sz="0" w:space="0" w:color="auto"/>
        <w:bottom w:val="none" w:sz="0" w:space="0" w:color="auto"/>
        <w:right w:val="none" w:sz="0" w:space="0" w:color="auto"/>
      </w:divBdr>
    </w:div>
    <w:div w:id="707724152">
      <w:bodyDiv w:val="1"/>
      <w:marLeft w:val="0"/>
      <w:marRight w:val="0"/>
      <w:marTop w:val="0"/>
      <w:marBottom w:val="0"/>
      <w:divBdr>
        <w:top w:val="none" w:sz="0" w:space="0" w:color="auto"/>
        <w:left w:val="none" w:sz="0" w:space="0" w:color="auto"/>
        <w:bottom w:val="none" w:sz="0" w:space="0" w:color="auto"/>
        <w:right w:val="none" w:sz="0" w:space="0" w:color="auto"/>
      </w:divBdr>
    </w:div>
    <w:div w:id="711617365">
      <w:bodyDiv w:val="1"/>
      <w:marLeft w:val="0"/>
      <w:marRight w:val="0"/>
      <w:marTop w:val="0"/>
      <w:marBottom w:val="0"/>
      <w:divBdr>
        <w:top w:val="none" w:sz="0" w:space="0" w:color="auto"/>
        <w:left w:val="none" w:sz="0" w:space="0" w:color="auto"/>
        <w:bottom w:val="none" w:sz="0" w:space="0" w:color="auto"/>
        <w:right w:val="none" w:sz="0" w:space="0" w:color="auto"/>
      </w:divBdr>
    </w:div>
    <w:div w:id="717122120">
      <w:bodyDiv w:val="1"/>
      <w:marLeft w:val="0"/>
      <w:marRight w:val="0"/>
      <w:marTop w:val="0"/>
      <w:marBottom w:val="0"/>
      <w:divBdr>
        <w:top w:val="none" w:sz="0" w:space="0" w:color="auto"/>
        <w:left w:val="none" w:sz="0" w:space="0" w:color="auto"/>
        <w:bottom w:val="none" w:sz="0" w:space="0" w:color="auto"/>
        <w:right w:val="none" w:sz="0" w:space="0" w:color="auto"/>
      </w:divBdr>
    </w:div>
    <w:div w:id="718171609">
      <w:bodyDiv w:val="1"/>
      <w:marLeft w:val="0"/>
      <w:marRight w:val="0"/>
      <w:marTop w:val="0"/>
      <w:marBottom w:val="0"/>
      <w:divBdr>
        <w:top w:val="none" w:sz="0" w:space="0" w:color="auto"/>
        <w:left w:val="none" w:sz="0" w:space="0" w:color="auto"/>
        <w:bottom w:val="none" w:sz="0" w:space="0" w:color="auto"/>
        <w:right w:val="none" w:sz="0" w:space="0" w:color="auto"/>
      </w:divBdr>
    </w:div>
    <w:div w:id="720516248">
      <w:bodyDiv w:val="1"/>
      <w:marLeft w:val="0"/>
      <w:marRight w:val="0"/>
      <w:marTop w:val="0"/>
      <w:marBottom w:val="0"/>
      <w:divBdr>
        <w:top w:val="none" w:sz="0" w:space="0" w:color="auto"/>
        <w:left w:val="none" w:sz="0" w:space="0" w:color="auto"/>
        <w:bottom w:val="none" w:sz="0" w:space="0" w:color="auto"/>
        <w:right w:val="none" w:sz="0" w:space="0" w:color="auto"/>
      </w:divBdr>
    </w:div>
    <w:div w:id="732582825">
      <w:bodyDiv w:val="1"/>
      <w:marLeft w:val="0"/>
      <w:marRight w:val="0"/>
      <w:marTop w:val="0"/>
      <w:marBottom w:val="0"/>
      <w:divBdr>
        <w:top w:val="none" w:sz="0" w:space="0" w:color="auto"/>
        <w:left w:val="none" w:sz="0" w:space="0" w:color="auto"/>
        <w:bottom w:val="none" w:sz="0" w:space="0" w:color="auto"/>
        <w:right w:val="none" w:sz="0" w:space="0" w:color="auto"/>
      </w:divBdr>
    </w:div>
    <w:div w:id="733282990">
      <w:bodyDiv w:val="1"/>
      <w:marLeft w:val="0"/>
      <w:marRight w:val="0"/>
      <w:marTop w:val="0"/>
      <w:marBottom w:val="0"/>
      <w:divBdr>
        <w:top w:val="none" w:sz="0" w:space="0" w:color="auto"/>
        <w:left w:val="none" w:sz="0" w:space="0" w:color="auto"/>
        <w:bottom w:val="none" w:sz="0" w:space="0" w:color="auto"/>
        <w:right w:val="none" w:sz="0" w:space="0" w:color="auto"/>
      </w:divBdr>
    </w:div>
    <w:div w:id="736786490">
      <w:bodyDiv w:val="1"/>
      <w:marLeft w:val="0"/>
      <w:marRight w:val="0"/>
      <w:marTop w:val="0"/>
      <w:marBottom w:val="0"/>
      <w:divBdr>
        <w:top w:val="none" w:sz="0" w:space="0" w:color="auto"/>
        <w:left w:val="none" w:sz="0" w:space="0" w:color="auto"/>
        <w:bottom w:val="none" w:sz="0" w:space="0" w:color="auto"/>
        <w:right w:val="none" w:sz="0" w:space="0" w:color="auto"/>
      </w:divBdr>
    </w:div>
    <w:div w:id="745809888">
      <w:bodyDiv w:val="1"/>
      <w:marLeft w:val="0"/>
      <w:marRight w:val="0"/>
      <w:marTop w:val="0"/>
      <w:marBottom w:val="0"/>
      <w:divBdr>
        <w:top w:val="none" w:sz="0" w:space="0" w:color="auto"/>
        <w:left w:val="none" w:sz="0" w:space="0" w:color="auto"/>
        <w:bottom w:val="none" w:sz="0" w:space="0" w:color="auto"/>
        <w:right w:val="none" w:sz="0" w:space="0" w:color="auto"/>
      </w:divBdr>
    </w:div>
    <w:div w:id="750736473">
      <w:bodyDiv w:val="1"/>
      <w:marLeft w:val="0"/>
      <w:marRight w:val="0"/>
      <w:marTop w:val="0"/>
      <w:marBottom w:val="0"/>
      <w:divBdr>
        <w:top w:val="none" w:sz="0" w:space="0" w:color="auto"/>
        <w:left w:val="none" w:sz="0" w:space="0" w:color="auto"/>
        <w:bottom w:val="none" w:sz="0" w:space="0" w:color="auto"/>
        <w:right w:val="none" w:sz="0" w:space="0" w:color="auto"/>
      </w:divBdr>
    </w:div>
    <w:div w:id="753552021">
      <w:bodyDiv w:val="1"/>
      <w:marLeft w:val="0"/>
      <w:marRight w:val="0"/>
      <w:marTop w:val="0"/>
      <w:marBottom w:val="0"/>
      <w:divBdr>
        <w:top w:val="none" w:sz="0" w:space="0" w:color="auto"/>
        <w:left w:val="none" w:sz="0" w:space="0" w:color="auto"/>
        <w:bottom w:val="none" w:sz="0" w:space="0" w:color="auto"/>
        <w:right w:val="none" w:sz="0" w:space="0" w:color="auto"/>
      </w:divBdr>
    </w:div>
    <w:div w:id="754713693">
      <w:bodyDiv w:val="1"/>
      <w:marLeft w:val="0"/>
      <w:marRight w:val="0"/>
      <w:marTop w:val="0"/>
      <w:marBottom w:val="0"/>
      <w:divBdr>
        <w:top w:val="none" w:sz="0" w:space="0" w:color="auto"/>
        <w:left w:val="none" w:sz="0" w:space="0" w:color="auto"/>
        <w:bottom w:val="none" w:sz="0" w:space="0" w:color="auto"/>
        <w:right w:val="none" w:sz="0" w:space="0" w:color="auto"/>
      </w:divBdr>
    </w:div>
    <w:div w:id="756486914">
      <w:bodyDiv w:val="1"/>
      <w:marLeft w:val="0"/>
      <w:marRight w:val="0"/>
      <w:marTop w:val="0"/>
      <w:marBottom w:val="0"/>
      <w:divBdr>
        <w:top w:val="none" w:sz="0" w:space="0" w:color="auto"/>
        <w:left w:val="none" w:sz="0" w:space="0" w:color="auto"/>
        <w:bottom w:val="none" w:sz="0" w:space="0" w:color="auto"/>
        <w:right w:val="none" w:sz="0" w:space="0" w:color="auto"/>
      </w:divBdr>
    </w:div>
    <w:div w:id="757168804">
      <w:bodyDiv w:val="1"/>
      <w:marLeft w:val="0"/>
      <w:marRight w:val="0"/>
      <w:marTop w:val="0"/>
      <w:marBottom w:val="0"/>
      <w:divBdr>
        <w:top w:val="none" w:sz="0" w:space="0" w:color="auto"/>
        <w:left w:val="none" w:sz="0" w:space="0" w:color="auto"/>
        <w:bottom w:val="none" w:sz="0" w:space="0" w:color="auto"/>
        <w:right w:val="none" w:sz="0" w:space="0" w:color="auto"/>
      </w:divBdr>
    </w:div>
    <w:div w:id="772825253">
      <w:bodyDiv w:val="1"/>
      <w:marLeft w:val="0"/>
      <w:marRight w:val="0"/>
      <w:marTop w:val="0"/>
      <w:marBottom w:val="0"/>
      <w:divBdr>
        <w:top w:val="none" w:sz="0" w:space="0" w:color="auto"/>
        <w:left w:val="none" w:sz="0" w:space="0" w:color="auto"/>
        <w:bottom w:val="none" w:sz="0" w:space="0" w:color="auto"/>
        <w:right w:val="none" w:sz="0" w:space="0" w:color="auto"/>
      </w:divBdr>
    </w:div>
    <w:div w:id="777678286">
      <w:bodyDiv w:val="1"/>
      <w:marLeft w:val="0"/>
      <w:marRight w:val="0"/>
      <w:marTop w:val="0"/>
      <w:marBottom w:val="0"/>
      <w:divBdr>
        <w:top w:val="none" w:sz="0" w:space="0" w:color="auto"/>
        <w:left w:val="none" w:sz="0" w:space="0" w:color="auto"/>
        <w:bottom w:val="none" w:sz="0" w:space="0" w:color="auto"/>
        <w:right w:val="none" w:sz="0" w:space="0" w:color="auto"/>
      </w:divBdr>
    </w:div>
    <w:div w:id="784345145">
      <w:bodyDiv w:val="1"/>
      <w:marLeft w:val="0"/>
      <w:marRight w:val="0"/>
      <w:marTop w:val="0"/>
      <w:marBottom w:val="0"/>
      <w:divBdr>
        <w:top w:val="none" w:sz="0" w:space="0" w:color="auto"/>
        <w:left w:val="none" w:sz="0" w:space="0" w:color="auto"/>
        <w:bottom w:val="none" w:sz="0" w:space="0" w:color="auto"/>
        <w:right w:val="none" w:sz="0" w:space="0" w:color="auto"/>
      </w:divBdr>
    </w:div>
    <w:div w:id="784495240">
      <w:bodyDiv w:val="1"/>
      <w:marLeft w:val="0"/>
      <w:marRight w:val="0"/>
      <w:marTop w:val="0"/>
      <w:marBottom w:val="0"/>
      <w:divBdr>
        <w:top w:val="none" w:sz="0" w:space="0" w:color="auto"/>
        <w:left w:val="none" w:sz="0" w:space="0" w:color="auto"/>
        <w:bottom w:val="none" w:sz="0" w:space="0" w:color="auto"/>
        <w:right w:val="none" w:sz="0" w:space="0" w:color="auto"/>
      </w:divBdr>
    </w:div>
    <w:div w:id="801505568">
      <w:bodyDiv w:val="1"/>
      <w:marLeft w:val="0"/>
      <w:marRight w:val="0"/>
      <w:marTop w:val="0"/>
      <w:marBottom w:val="0"/>
      <w:divBdr>
        <w:top w:val="none" w:sz="0" w:space="0" w:color="auto"/>
        <w:left w:val="none" w:sz="0" w:space="0" w:color="auto"/>
        <w:bottom w:val="none" w:sz="0" w:space="0" w:color="auto"/>
        <w:right w:val="none" w:sz="0" w:space="0" w:color="auto"/>
      </w:divBdr>
    </w:div>
    <w:div w:id="804204663">
      <w:bodyDiv w:val="1"/>
      <w:marLeft w:val="0"/>
      <w:marRight w:val="0"/>
      <w:marTop w:val="0"/>
      <w:marBottom w:val="0"/>
      <w:divBdr>
        <w:top w:val="none" w:sz="0" w:space="0" w:color="auto"/>
        <w:left w:val="none" w:sz="0" w:space="0" w:color="auto"/>
        <w:bottom w:val="none" w:sz="0" w:space="0" w:color="auto"/>
        <w:right w:val="none" w:sz="0" w:space="0" w:color="auto"/>
      </w:divBdr>
    </w:div>
    <w:div w:id="806319832">
      <w:bodyDiv w:val="1"/>
      <w:marLeft w:val="0"/>
      <w:marRight w:val="0"/>
      <w:marTop w:val="0"/>
      <w:marBottom w:val="0"/>
      <w:divBdr>
        <w:top w:val="none" w:sz="0" w:space="0" w:color="auto"/>
        <w:left w:val="none" w:sz="0" w:space="0" w:color="auto"/>
        <w:bottom w:val="none" w:sz="0" w:space="0" w:color="auto"/>
        <w:right w:val="none" w:sz="0" w:space="0" w:color="auto"/>
      </w:divBdr>
    </w:div>
    <w:div w:id="809598016">
      <w:bodyDiv w:val="1"/>
      <w:marLeft w:val="0"/>
      <w:marRight w:val="0"/>
      <w:marTop w:val="0"/>
      <w:marBottom w:val="0"/>
      <w:divBdr>
        <w:top w:val="none" w:sz="0" w:space="0" w:color="auto"/>
        <w:left w:val="none" w:sz="0" w:space="0" w:color="auto"/>
        <w:bottom w:val="none" w:sz="0" w:space="0" w:color="auto"/>
        <w:right w:val="none" w:sz="0" w:space="0" w:color="auto"/>
      </w:divBdr>
    </w:div>
    <w:div w:id="810753214">
      <w:bodyDiv w:val="1"/>
      <w:marLeft w:val="0"/>
      <w:marRight w:val="0"/>
      <w:marTop w:val="0"/>
      <w:marBottom w:val="0"/>
      <w:divBdr>
        <w:top w:val="none" w:sz="0" w:space="0" w:color="auto"/>
        <w:left w:val="none" w:sz="0" w:space="0" w:color="auto"/>
        <w:bottom w:val="none" w:sz="0" w:space="0" w:color="auto"/>
        <w:right w:val="none" w:sz="0" w:space="0" w:color="auto"/>
      </w:divBdr>
    </w:div>
    <w:div w:id="812023564">
      <w:bodyDiv w:val="1"/>
      <w:marLeft w:val="0"/>
      <w:marRight w:val="0"/>
      <w:marTop w:val="0"/>
      <w:marBottom w:val="0"/>
      <w:divBdr>
        <w:top w:val="none" w:sz="0" w:space="0" w:color="auto"/>
        <w:left w:val="none" w:sz="0" w:space="0" w:color="auto"/>
        <w:bottom w:val="none" w:sz="0" w:space="0" w:color="auto"/>
        <w:right w:val="none" w:sz="0" w:space="0" w:color="auto"/>
      </w:divBdr>
    </w:div>
    <w:div w:id="813915724">
      <w:bodyDiv w:val="1"/>
      <w:marLeft w:val="0"/>
      <w:marRight w:val="0"/>
      <w:marTop w:val="0"/>
      <w:marBottom w:val="0"/>
      <w:divBdr>
        <w:top w:val="none" w:sz="0" w:space="0" w:color="auto"/>
        <w:left w:val="none" w:sz="0" w:space="0" w:color="auto"/>
        <w:bottom w:val="none" w:sz="0" w:space="0" w:color="auto"/>
        <w:right w:val="none" w:sz="0" w:space="0" w:color="auto"/>
      </w:divBdr>
    </w:div>
    <w:div w:id="813983653">
      <w:bodyDiv w:val="1"/>
      <w:marLeft w:val="0"/>
      <w:marRight w:val="0"/>
      <w:marTop w:val="0"/>
      <w:marBottom w:val="0"/>
      <w:divBdr>
        <w:top w:val="none" w:sz="0" w:space="0" w:color="auto"/>
        <w:left w:val="none" w:sz="0" w:space="0" w:color="auto"/>
        <w:bottom w:val="none" w:sz="0" w:space="0" w:color="auto"/>
        <w:right w:val="none" w:sz="0" w:space="0" w:color="auto"/>
      </w:divBdr>
    </w:div>
    <w:div w:id="815300047">
      <w:bodyDiv w:val="1"/>
      <w:marLeft w:val="0"/>
      <w:marRight w:val="0"/>
      <w:marTop w:val="0"/>
      <w:marBottom w:val="0"/>
      <w:divBdr>
        <w:top w:val="none" w:sz="0" w:space="0" w:color="auto"/>
        <w:left w:val="none" w:sz="0" w:space="0" w:color="auto"/>
        <w:bottom w:val="none" w:sz="0" w:space="0" w:color="auto"/>
        <w:right w:val="none" w:sz="0" w:space="0" w:color="auto"/>
      </w:divBdr>
    </w:div>
    <w:div w:id="821392490">
      <w:bodyDiv w:val="1"/>
      <w:marLeft w:val="0"/>
      <w:marRight w:val="0"/>
      <w:marTop w:val="0"/>
      <w:marBottom w:val="0"/>
      <w:divBdr>
        <w:top w:val="none" w:sz="0" w:space="0" w:color="auto"/>
        <w:left w:val="none" w:sz="0" w:space="0" w:color="auto"/>
        <w:bottom w:val="none" w:sz="0" w:space="0" w:color="auto"/>
        <w:right w:val="none" w:sz="0" w:space="0" w:color="auto"/>
      </w:divBdr>
    </w:div>
    <w:div w:id="837382805">
      <w:bodyDiv w:val="1"/>
      <w:marLeft w:val="0"/>
      <w:marRight w:val="0"/>
      <w:marTop w:val="0"/>
      <w:marBottom w:val="0"/>
      <w:divBdr>
        <w:top w:val="none" w:sz="0" w:space="0" w:color="auto"/>
        <w:left w:val="none" w:sz="0" w:space="0" w:color="auto"/>
        <w:bottom w:val="none" w:sz="0" w:space="0" w:color="auto"/>
        <w:right w:val="none" w:sz="0" w:space="0" w:color="auto"/>
      </w:divBdr>
    </w:div>
    <w:div w:id="844127589">
      <w:bodyDiv w:val="1"/>
      <w:marLeft w:val="0"/>
      <w:marRight w:val="0"/>
      <w:marTop w:val="0"/>
      <w:marBottom w:val="0"/>
      <w:divBdr>
        <w:top w:val="none" w:sz="0" w:space="0" w:color="auto"/>
        <w:left w:val="none" w:sz="0" w:space="0" w:color="auto"/>
        <w:bottom w:val="none" w:sz="0" w:space="0" w:color="auto"/>
        <w:right w:val="none" w:sz="0" w:space="0" w:color="auto"/>
      </w:divBdr>
    </w:div>
    <w:div w:id="847713460">
      <w:bodyDiv w:val="1"/>
      <w:marLeft w:val="0"/>
      <w:marRight w:val="0"/>
      <w:marTop w:val="0"/>
      <w:marBottom w:val="0"/>
      <w:divBdr>
        <w:top w:val="none" w:sz="0" w:space="0" w:color="auto"/>
        <w:left w:val="none" w:sz="0" w:space="0" w:color="auto"/>
        <w:bottom w:val="none" w:sz="0" w:space="0" w:color="auto"/>
        <w:right w:val="none" w:sz="0" w:space="0" w:color="auto"/>
      </w:divBdr>
    </w:div>
    <w:div w:id="857231780">
      <w:bodyDiv w:val="1"/>
      <w:marLeft w:val="0"/>
      <w:marRight w:val="0"/>
      <w:marTop w:val="0"/>
      <w:marBottom w:val="0"/>
      <w:divBdr>
        <w:top w:val="none" w:sz="0" w:space="0" w:color="auto"/>
        <w:left w:val="none" w:sz="0" w:space="0" w:color="auto"/>
        <w:bottom w:val="none" w:sz="0" w:space="0" w:color="auto"/>
        <w:right w:val="none" w:sz="0" w:space="0" w:color="auto"/>
      </w:divBdr>
    </w:div>
    <w:div w:id="874272997">
      <w:bodyDiv w:val="1"/>
      <w:marLeft w:val="0"/>
      <w:marRight w:val="0"/>
      <w:marTop w:val="0"/>
      <w:marBottom w:val="0"/>
      <w:divBdr>
        <w:top w:val="none" w:sz="0" w:space="0" w:color="auto"/>
        <w:left w:val="none" w:sz="0" w:space="0" w:color="auto"/>
        <w:bottom w:val="none" w:sz="0" w:space="0" w:color="auto"/>
        <w:right w:val="none" w:sz="0" w:space="0" w:color="auto"/>
      </w:divBdr>
    </w:div>
    <w:div w:id="876967812">
      <w:bodyDiv w:val="1"/>
      <w:marLeft w:val="0"/>
      <w:marRight w:val="0"/>
      <w:marTop w:val="0"/>
      <w:marBottom w:val="0"/>
      <w:divBdr>
        <w:top w:val="none" w:sz="0" w:space="0" w:color="auto"/>
        <w:left w:val="none" w:sz="0" w:space="0" w:color="auto"/>
        <w:bottom w:val="none" w:sz="0" w:space="0" w:color="auto"/>
        <w:right w:val="none" w:sz="0" w:space="0" w:color="auto"/>
      </w:divBdr>
    </w:div>
    <w:div w:id="886644160">
      <w:bodyDiv w:val="1"/>
      <w:marLeft w:val="0"/>
      <w:marRight w:val="0"/>
      <w:marTop w:val="0"/>
      <w:marBottom w:val="0"/>
      <w:divBdr>
        <w:top w:val="none" w:sz="0" w:space="0" w:color="auto"/>
        <w:left w:val="none" w:sz="0" w:space="0" w:color="auto"/>
        <w:bottom w:val="none" w:sz="0" w:space="0" w:color="auto"/>
        <w:right w:val="none" w:sz="0" w:space="0" w:color="auto"/>
      </w:divBdr>
    </w:div>
    <w:div w:id="895118037">
      <w:bodyDiv w:val="1"/>
      <w:marLeft w:val="0"/>
      <w:marRight w:val="0"/>
      <w:marTop w:val="0"/>
      <w:marBottom w:val="0"/>
      <w:divBdr>
        <w:top w:val="none" w:sz="0" w:space="0" w:color="auto"/>
        <w:left w:val="none" w:sz="0" w:space="0" w:color="auto"/>
        <w:bottom w:val="none" w:sz="0" w:space="0" w:color="auto"/>
        <w:right w:val="none" w:sz="0" w:space="0" w:color="auto"/>
      </w:divBdr>
    </w:div>
    <w:div w:id="897088413">
      <w:bodyDiv w:val="1"/>
      <w:marLeft w:val="0"/>
      <w:marRight w:val="0"/>
      <w:marTop w:val="0"/>
      <w:marBottom w:val="0"/>
      <w:divBdr>
        <w:top w:val="none" w:sz="0" w:space="0" w:color="auto"/>
        <w:left w:val="none" w:sz="0" w:space="0" w:color="auto"/>
        <w:bottom w:val="none" w:sz="0" w:space="0" w:color="auto"/>
        <w:right w:val="none" w:sz="0" w:space="0" w:color="auto"/>
      </w:divBdr>
    </w:div>
    <w:div w:id="905796689">
      <w:bodyDiv w:val="1"/>
      <w:marLeft w:val="0"/>
      <w:marRight w:val="0"/>
      <w:marTop w:val="0"/>
      <w:marBottom w:val="0"/>
      <w:divBdr>
        <w:top w:val="none" w:sz="0" w:space="0" w:color="auto"/>
        <w:left w:val="none" w:sz="0" w:space="0" w:color="auto"/>
        <w:bottom w:val="none" w:sz="0" w:space="0" w:color="auto"/>
        <w:right w:val="none" w:sz="0" w:space="0" w:color="auto"/>
      </w:divBdr>
    </w:div>
    <w:div w:id="905804865">
      <w:bodyDiv w:val="1"/>
      <w:marLeft w:val="0"/>
      <w:marRight w:val="0"/>
      <w:marTop w:val="0"/>
      <w:marBottom w:val="0"/>
      <w:divBdr>
        <w:top w:val="none" w:sz="0" w:space="0" w:color="auto"/>
        <w:left w:val="none" w:sz="0" w:space="0" w:color="auto"/>
        <w:bottom w:val="none" w:sz="0" w:space="0" w:color="auto"/>
        <w:right w:val="none" w:sz="0" w:space="0" w:color="auto"/>
      </w:divBdr>
    </w:div>
    <w:div w:id="909074204">
      <w:bodyDiv w:val="1"/>
      <w:marLeft w:val="0"/>
      <w:marRight w:val="0"/>
      <w:marTop w:val="0"/>
      <w:marBottom w:val="0"/>
      <w:divBdr>
        <w:top w:val="none" w:sz="0" w:space="0" w:color="auto"/>
        <w:left w:val="none" w:sz="0" w:space="0" w:color="auto"/>
        <w:bottom w:val="none" w:sz="0" w:space="0" w:color="auto"/>
        <w:right w:val="none" w:sz="0" w:space="0" w:color="auto"/>
      </w:divBdr>
    </w:div>
    <w:div w:id="914322771">
      <w:bodyDiv w:val="1"/>
      <w:marLeft w:val="0"/>
      <w:marRight w:val="0"/>
      <w:marTop w:val="0"/>
      <w:marBottom w:val="0"/>
      <w:divBdr>
        <w:top w:val="none" w:sz="0" w:space="0" w:color="auto"/>
        <w:left w:val="none" w:sz="0" w:space="0" w:color="auto"/>
        <w:bottom w:val="none" w:sz="0" w:space="0" w:color="auto"/>
        <w:right w:val="none" w:sz="0" w:space="0" w:color="auto"/>
      </w:divBdr>
    </w:div>
    <w:div w:id="915750060">
      <w:bodyDiv w:val="1"/>
      <w:marLeft w:val="0"/>
      <w:marRight w:val="0"/>
      <w:marTop w:val="0"/>
      <w:marBottom w:val="0"/>
      <w:divBdr>
        <w:top w:val="none" w:sz="0" w:space="0" w:color="auto"/>
        <w:left w:val="none" w:sz="0" w:space="0" w:color="auto"/>
        <w:bottom w:val="none" w:sz="0" w:space="0" w:color="auto"/>
        <w:right w:val="none" w:sz="0" w:space="0" w:color="auto"/>
      </w:divBdr>
    </w:div>
    <w:div w:id="918291231">
      <w:bodyDiv w:val="1"/>
      <w:marLeft w:val="0"/>
      <w:marRight w:val="0"/>
      <w:marTop w:val="0"/>
      <w:marBottom w:val="0"/>
      <w:divBdr>
        <w:top w:val="none" w:sz="0" w:space="0" w:color="auto"/>
        <w:left w:val="none" w:sz="0" w:space="0" w:color="auto"/>
        <w:bottom w:val="none" w:sz="0" w:space="0" w:color="auto"/>
        <w:right w:val="none" w:sz="0" w:space="0" w:color="auto"/>
      </w:divBdr>
    </w:div>
    <w:div w:id="920404526">
      <w:bodyDiv w:val="1"/>
      <w:marLeft w:val="0"/>
      <w:marRight w:val="0"/>
      <w:marTop w:val="0"/>
      <w:marBottom w:val="0"/>
      <w:divBdr>
        <w:top w:val="none" w:sz="0" w:space="0" w:color="auto"/>
        <w:left w:val="none" w:sz="0" w:space="0" w:color="auto"/>
        <w:bottom w:val="none" w:sz="0" w:space="0" w:color="auto"/>
        <w:right w:val="none" w:sz="0" w:space="0" w:color="auto"/>
      </w:divBdr>
    </w:div>
    <w:div w:id="921989750">
      <w:bodyDiv w:val="1"/>
      <w:marLeft w:val="0"/>
      <w:marRight w:val="0"/>
      <w:marTop w:val="0"/>
      <w:marBottom w:val="0"/>
      <w:divBdr>
        <w:top w:val="none" w:sz="0" w:space="0" w:color="auto"/>
        <w:left w:val="none" w:sz="0" w:space="0" w:color="auto"/>
        <w:bottom w:val="none" w:sz="0" w:space="0" w:color="auto"/>
        <w:right w:val="none" w:sz="0" w:space="0" w:color="auto"/>
      </w:divBdr>
    </w:div>
    <w:div w:id="938951240">
      <w:bodyDiv w:val="1"/>
      <w:marLeft w:val="0"/>
      <w:marRight w:val="0"/>
      <w:marTop w:val="0"/>
      <w:marBottom w:val="0"/>
      <w:divBdr>
        <w:top w:val="none" w:sz="0" w:space="0" w:color="auto"/>
        <w:left w:val="none" w:sz="0" w:space="0" w:color="auto"/>
        <w:bottom w:val="none" w:sz="0" w:space="0" w:color="auto"/>
        <w:right w:val="none" w:sz="0" w:space="0" w:color="auto"/>
      </w:divBdr>
    </w:div>
    <w:div w:id="939148255">
      <w:bodyDiv w:val="1"/>
      <w:marLeft w:val="0"/>
      <w:marRight w:val="0"/>
      <w:marTop w:val="0"/>
      <w:marBottom w:val="0"/>
      <w:divBdr>
        <w:top w:val="none" w:sz="0" w:space="0" w:color="auto"/>
        <w:left w:val="none" w:sz="0" w:space="0" w:color="auto"/>
        <w:bottom w:val="none" w:sz="0" w:space="0" w:color="auto"/>
        <w:right w:val="none" w:sz="0" w:space="0" w:color="auto"/>
      </w:divBdr>
    </w:div>
    <w:div w:id="953251460">
      <w:bodyDiv w:val="1"/>
      <w:marLeft w:val="0"/>
      <w:marRight w:val="0"/>
      <w:marTop w:val="0"/>
      <w:marBottom w:val="0"/>
      <w:divBdr>
        <w:top w:val="none" w:sz="0" w:space="0" w:color="auto"/>
        <w:left w:val="none" w:sz="0" w:space="0" w:color="auto"/>
        <w:bottom w:val="none" w:sz="0" w:space="0" w:color="auto"/>
        <w:right w:val="none" w:sz="0" w:space="0" w:color="auto"/>
      </w:divBdr>
    </w:div>
    <w:div w:id="968054351">
      <w:bodyDiv w:val="1"/>
      <w:marLeft w:val="0"/>
      <w:marRight w:val="0"/>
      <w:marTop w:val="0"/>
      <w:marBottom w:val="0"/>
      <w:divBdr>
        <w:top w:val="none" w:sz="0" w:space="0" w:color="auto"/>
        <w:left w:val="none" w:sz="0" w:space="0" w:color="auto"/>
        <w:bottom w:val="none" w:sz="0" w:space="0" w:color="auto"/>
        <w:right w:val="none" w:sz="0" w:space="0" w:color="auto"/>
      </w:divBdr>
    </w:div>
    <w:div w:id="969898198">
      <w:bodyDiv w:val="1"/>
      <w:marLeft w:val="0"/>
      <w:marRight w:val="0"/>
      <w:marTop w:val="0"/>
      <w:marBottom w:val="0"/>
      <w:divBdr>
        <w:top w:val="none" w:sz="0" w:space="0" w:color="auto"/>
        <w:left w:val="none" w:sz="0" w:space="0" w:color="auto"/>
        <w:bottom w:val="none" w:sz="0" w:space="0" w:color="auto"/>
        <w:right w:val="none" w:sz="0" w:space="0" w:color="auto"/>
      </w:divBdr>
    </w:div>
    <w:div w:id="971593259">
      <w:bodyDiv w:val="1"/>
      <w:marLeft w:val="0"/>
      <w:marRight w:val="0"/>
      <w:marTop w:val="0"/>
      <w:marBottom w:val="0"/>
      <w:divBdr>
        <w:top w:val="none" w:sz="0" w:space="0" w:color="auto"/>
        <w:left w:val="none" w:sz="0" w:space="0" w:color="auto"/>
        <w:bottom w:val="none" w:sz="0" w:space="0" w:color="auto"/>
        <w:right w:val="none" w:sz="0" w:space="0" w:color="auto"/>
      </w:divBdr>
    </w:div>
    <w:div w:id="972835107">
      <w:bodyDiv w:val="1"/>
      <w:marLeft w:val="0"/>
      <w:marRight w:val="0"/>
      <w:marTop w:val="0"/>
      <w:marBottom w:val="0"/>
      <w:divBdr>
        <w:top w:val="none" w:sz="0" w:space="0" w:color="auto"/>
        <w:left w:val="none" w:sz="0" w:space="0" w:color="auto"/>
        <w:bottom w:val="none" w:sz="0" w:space="0" w:color="auto"/>
        <w:right w:val="none" w:sz="0" w:space="0" w:color="auto"/>
      </w:divBdr>
    </w:div>
    <w:div w:id="974916636">
      <w:bodyDiv w:val="1"/>
      <w:marLeft w:val="0"/>
      <w:marRight w:val="0"/>
      <w:marTop w:val="0"/>
      <w:marBottom w:val="0"/>
      <w:divBdr>
        <w:top w:val="none" w:sz="0" w:space="0" w:color="auto"/>
        <w:left w:val="none" w:sz="0" w:space="0" w:color="auto"/>
        <w:bottom w:val="none" w:sz="0" w:space="0" w:color="auto"/>
        <w:right w:val="none" w:sz="0" w:space="0" w:color="auto"/>
      </w:divBdr>
    </w:div>
    <w:div w:id="976109870">
      <w:bodyDiv w:val="1"/>
      <w:marLeft w:val="0"/>
      <w:marRight w:val="0"/>
      <w:marTop w:val="0"/>
      <w:marBottom w:val="0"/>
      <w:divBdr>
        <w:top w:val="none" w:sz="0" w:space="0" w:color="auto"/>
        <w:left w:val="none" w:sz="0" w:space="0" w:color="auto"/>
        <w:bottom w:val="none" w:sz="0" w:space="0" w:color="auto"/>
        <w:right w:val="none" w:sz="0" w:space="0" w:color="auto"/>
      </w:divBdr>
    </w:div>
    <w:div w:id="976227625">
      <w:bodyDiv w:val="1"/>
      <w:marLeft w:val="0"/>
      <w:marRight w:val="0"/>
      <w:marTop w:val="0"/>
      <w:marBottom w:val="0"/>
      <w:divBdr>
        <w:top w:val="none" w:sz="0" w:space="0" w:color="auto"/>
        <w:left w:val="none" w:sz="0" w:space="0" w:color="auto"/>
        <w:bottom w:val="none" w:sz="0" w:space="0" w:color="auto"/>
        <w:right w:val="none" w:sz="0" w:space="0" w:color="auto"/>
      </w:divBdr>
    </w:div>
    <w:div w:id="979572264">
      <w:bodyDiv w:val="1"/>
      <w:marLeft w:val="0"/>
      <w:marRight w:val="0"/>
      <w:marTop w:val="0"/>
      <w:marBottom w:val="0"/>
      <w:divBdr>
        <w:top w:val="none" w:sz="0" w:space="0" w:color="auto"/>
        <w:left w:val="none" w:sz="0" w:space="0" w:color="auto"/>
        <w:bottom w:val="none" w:sz="0" w:space="0" w:color="auto"/>
        <w:right w:val="none" w:sz="0" w:space="0" w:color="auto"/>
      </w:divBdr>
    </w:div>
    <w:div w:id="980380845">
      <w:bodyDiv w:val="1"/>
      <w:marLeft w:val="0"/>
      <w:marRight w:val="0"/>
      <w:marTop w:val="0"/>
      <w:marBottom w:val="0"/>
      <w:divBdr>
        <w:top w:val="none" w:sz="0" w:space="0" w:color="auto"/>
        <w:left w:val="none" w:sz="0" w:space="0" w:color="auto"/>
        <w:bottom w:val="none" w:sz="0" w:space="0" w:color="auto"/>
        <w:right w:val="none" w:sz="0" w:space="0" w:color="auto"/>
      </w:divBdr>
    </w:div>
    <w:div w:id="982345705">
      <w:bodyDiv w:val="1"/>
      <w:marLeft w:val="0"/>
      <w:marRight w:val="0"/>
      <w:marTop w:val="0"/>
      <w:marBottom w:val="0"/>
      <w:divBdr>
        <w:top w:val="none" w:sz="0" w:space="0" w:color="auto"/>
        <w:left w:val="none" w:sz="0" w:space="0" w:color="auto"/>
        <w:bottom w:val="none" w:sz="0" w:space="0" w:color="auto"/>
        <w:right w:val="none" w:sz="0" w:space="0" w:color="auto"/>
      </w:divBdr>
    </w:div>
    <w:div w:id="988091607">
      <w:bodyDiv w:val="1"/>
      <w:marLeft w:val="0"/>
      <w:marRight w:val="0"/>
      <w:marTop w:val="0"/>
      <w:marBottom w:val="0"/>
      <w:divBdr>
        <w:top w:val="none" w:sz="0" w:space="0" w:color="auto"/>
        <w:left w:val="none" w:sz="0" w:space="0" w:color="auto"/>
        <w:bottom w:val="none" w:sz="0" w:space="0" w:color="auto"/>
        <w:right w:val="none" w:sz="0" w:space="0" w:color="auto"/>
      </w:divBdr>
    </w:div>
    <w:div w:id="990448906">
      <w:bodyDiv w:val="1"/>
      <w:marLeft w:val="0"/>
      <w:marRight w:val="0"/>
      <w:marTop w:val="0"/>
      <w:marBottom w:val="0"/>
      <w:divBdr>
        <w:top w:val="none" w:sz="0" w:space="0" w:color="auto"/>
        <w:left w:val="none" w:sz="0" w:space="0" w:color="auto"/>
        <w:bottom w:val="none" w:sz="0" w:space="0" w:color="auto"/>
        <w:right w:val="none" w:sz="0" w:space="0" w:color="auto"/>
      </w:divBdr>
    </w:div>
    <w:div w:id="994068345">
      <w:bodyDiv w:val="1"/>
      <w:marLeft w:val="0"/>
      <w:marRight w:val="0"/>
      <w:marTop w:val="0"/>
      <w:marBottom w:val="0"/>
      <w:divBdr>
        <w:top w:val="none" w:sz="0" w:space="0" w:color="auto"/>
        <w:left w:val="none" w:sz="0" w:space="0" w:color="auto"/>
        <w:bottom w:val="none" w:sz="0" w:space="0" w:color="auto"/>
        <w:right w:val="none" w:sz="0" w:space="0" w:color="auto"/>
      </w:divBdr>
    </w:div>
    <w:div w:id="995374202">
      <w:bodyDiv w:val="1"/>
      <w:marLeft w:val="0"/>
      <w:marRight w:val="0"/>
      <w:marTop w:val="0"/>
      <w:marBottom w:val="0"/>
      <w:divBdr>
        <w:top w:val="none" w:sz="0" w:space="0" w:color="auto"/>
        <w:left w:val="none" w:sz="0" w:space="0" w:color="auto"/>
        <w:bottom w:val="none" w:sz="0" w:space="0" w:color="auto"/>
        <w:right w:val="none" w:sz="0" w:space="0" w:color="auto"/>
      </w:divBdr>
    </w:div>
    <w:div w:id="995449858">
      <w:bodyDiv w:val="1"/>
      <w:marLeft w:val="0"/>
      <w:marRight w:val="0"/>
      <w:marTop w:val="0"/>
      <w:marBottom w:val="0"/>
      <w:divBdr>
        <w:top w:val="none" w:sz="0" w:space="0" w:color="auto"/>
        <w:left w:val="none" w:sz="0" w:space="0" w:color="auto"/>
        <w:bottom w:val="none" w:sz="0" w:space="0" w:color="auto"/>
        <w:right w:val="none" w:sz="0" w:space="0" w:color="auto"/>
      </w:divBdr>
    </w:div>
    <w:div w:id="997227942">
      <w:bodyDiv w:val="1"/>
      <w:marLeft w:val="0"/>
      <w:marRight w:val="0"/>
      <w:marTop w:val="0"/>
      <w:marBottom w:val="0"/>
      <w:divBdr>
        <w:top w:val="none" w:sz="0" w:space="0" w:color="auto"/>
        <w:left w:val="none" w:sz="0" w:space="0" w:color="auto"/>
        <w:bottom w:val="none" w:sz="0" w:space="0" w:color="auto"/>
        <w:right w:val="none" w:sz="0" w:space="0" w:color="auto"/>
      </w:divBdr>
    </w:div>
    <w:div w:id="999576418">
      <w:bodyDiv w:val="1"/>
      <w:marLeft w:val="0"/>
      <w:marRight w:val="0"/>
      <w:marTop w:val="0"/>
      <w:marBottom w:val="0"/>
      <w:divBdr>
        <w:top w:val="none" w:sz="0" w:space="0" w:color="auto"/>
        <w:left w:val="none" w:sz="0" w:space="0" w:color="auto"/>
        <w:bottom w:val="none" w:sz="0" w:space="0" w:color="auto"/>
        <w:right w:val="none" w:sz="0" w:space="0" w:color="auto"/>
      </w:divBdr>
    </w:div>
    <w:div w:id="1010910631">
      <w:bodyDiv w:val="1"/>
      <w:marLeft w:val="0"/>
      <w:marRight w:val="0"/>
      <w:marTop w:val="0"/>
      <w:marBottom w:val="0"/>
      <w:divBdr>
        <w:top w:val="none" w:sz="0" w:space="0" w:color="auto"/>
        <w:left w:val="none" w:sz="0" w:space="0" w:color="auto"/>
        <w:bottom w:val="none" w:sz="0" w:space="0" w:color="auto"/>
        <w:right w:val="none" w:sz="0" w:space="0" w:color="auto"/>
      </w:divBdr>
    </w:div>
    <w:div w:id="1013259875">
      <w:bodyDiv w:val="1"/>
      <w:marLeft w:val="0"/>
      <w:marRight w:val="0"/>
      <w:marTop w:val="0"/>
      <w:marBottom w:val="0"/>
      <w:divBdr>
        <w:top w:val="none" w:sz="0" w:space="0" w:color="auto"/>
        <w:left w:val="none" w:sz="0" w:space="0" w:color="auto"/>
        <w:bottom w:val="none" w:sz="0" w:space="0" w:color="auto"/>
        <w:right w:val="none" w:sz="0" w:space="0" w:color="auto"/>
      </w:divBdr>
    </w:div>
    <w:div w:id="1014914546">
      <w:bodyDiv w:val="1"/>
      <w:marLeft w:val="0"/>
      <w:marRight w:val="0"/>
      <w:marTop w:val="0"/>
      <w:marBottom w:val="0"/>
      <w:divBdr>
        <w:top w:val="none" w:sz="0" w:space="0" w:color="auto"/>
        <w:left w:val="none" w:sz="0" w:space="0" w:color="auto"/>
        <w:bottom w:val="none" w:sz="0" w:space="0" w:color="auto"/>
        <w:right w:val="none" w:sz="0" w:space="0" w:color="auto"/>
      </w:divBdr>
    </w:div>
    <w:div w:id="1015839529">
      <w:bodyDiv w:val="1"/>
      <w:marLeft w:val="0"/>
      <w:marRight w:val="0"/>
      <w:marTop w:val="0"/>
      <w:marBottom w:val="0"/>
      <w:divBdr>
        <w:top w:val="none" w:sz="0" w:space="0" w:color="auto"/>
        <w:left w:val="none" w:sz="0" w:space="0" w:color="auto"/>
        <w:bottom w:val="none" w:sz="0" w:space="0" w:color="auto"/>
        <w:right w:val="none" w:sz="0" w:space="0" w:color="auto"/>
      </w:divBdr>
    </w:div>
    <w:div w:id="1019741502">
      <w:bodyDiv w:val="1"/>
      <w:marLeft w:val="0"/>
      <w:marRight w:val="0"/>
      <w:marTop w:val="0"/>
      <w:marBottom w:val="0"/>
      <w:divBdr>
        <w:top w:val="none" w:sz="0" w:space="0" w:color="auto"/>
        <w:left w:val="none" w:sz="0" w:space="0" w:color="auto"/>
        <w:bottom w:val="none" w:sz="0" w:space="0" w:color="auto"/>
        <w:right w:val="none" w:sz="0" w:space="0" w:color="auto"/>
      </w:divBdr>
    </w:div>
    <w:div w:id="1026251712">
      <w:bodyDiv w:val="1"/>
      <w:marLeft w:val="0"/>
      <w:marRight w:val="0"/>
      <w:marTop w:val="0"/>
      <w:marBottom w:val="0"/>
      <w:divBdr>
        <w:top w:val="none" w:sz="0" w:space="0" w:color="auto"/>
        <w:left w:val="none" w:sz="0" w:space="0" w:color="auto"/>
        <w:bottom w:val="none" w:sz="0" w:space="0" w:color="auto"/>
        <w:right w:val="none" w:sz="0" w:space="0" w:color="auto"/>
      </w:divBdr>
    </w:div>
    <w:div w:id="1026256410">
      <w:bodyDiv w:val="1"/>
      <w:marLeft w:val="0"/>
      <w:marRight w:val="0"/>
      <w:marTop w:val="0"/>
      <w:marBottom w:val="0"/>
      <w:divBdr>
        <w:top w:val="none" w:sz="0" w:space="0" w:color="auto"/>
        <w:left w:val="none" w:sz="0" w:space="0" w:color="auto"/>
        <w:bottom w:val="none" w:sz="0" w:space="0" w:color="auto"/>
        <w:right w:val="none" w:sz="0" w:space="0" w:color="auto"/>
      </w:divBdr>
    </w:div>
    <w:div w:id="1028677171">
      <w:bodyDiv w:val="1"/>
      <w:marLeft w:val="0"/>
      <w:marRight w:val="0"/>
      <w:marTop w:val="0"/>
      <w:marBottom w:val="0"/>
      <w:divBdr>
        <w:top w:val="none" w:sz="0" w:space="0" w:color="auto"/>
        <w:left w:val="none" w:sz="0" w:space="0" w:color="auto"/>
        <w:bottom w:val="none" w:sz="0" w:space="0" w:color="auto"/>
        <w:right w:val="none" w:sz="0" w:space="0" w:color="auto"/>
      </w:divBdr>
    </w:div>
    <w:div w:id="1031999331">
      <w:bodyDiv w:val="1"/>
      <w:marLeft w:val="0"/>
      <w:marRight w:val="0"/>
      <w:marTop w:val="0"/>
      <w:marBottom w:val="0"/>
      <w:divBdr>
        <w:top w:val="none" w:sz="0" w:space="0" w:color="auto"/>
        <w:left w:val="none" w:sz="0" w:space="0" w:color="auto"/>
        <w:bottom w:val="none" w:sz="0" w:space="0" w:color="auto"/>
        <w:right w:val="none" w:sz="0" w:space="0" w:color="auto"/>
      </w:divBdr>
    </w:div>
    <w:div w:id="1033577499">
      <w:bodyDiv w:val="1"/>
      <w:marLeft w:val="0"/>
      <w:marRight w:val="0"/>
      <w:marTop w:val="0"/>
      <w:marBottom w:val="0"/>
      <w:divBdr>
        <w:top w:val="none" w:sz="0" w:space="0" w:color="auto"/>
        <w:left w:val="none" w:sz="0" w:space="0" w:color="auto"/>
        <w:bottom w:val="none" w:sz="0" w:space="0" w:color="auto"/>
        <w:right w:val="none" w:sz="0" w:space="0" w:color="auto"/>
      </w:divBdr>
    </w:div>
    <w:div w:id="1039553944">
      <w:bodyDiv w:val="1"/>
      <w:marLeft w:val="0"/>
      <w:marRight w:val="0"/>
      <w:marTop w:val="0"/>
      <w:marBottom w:val="0"/>
      <w:divBdr>
        <w:top w:val="none" w:sz="0" w:space="0" w:color="auto"/>
        <w:left w:val="none" w:sz="0" w:space="0" w:color="auto"/>
        <w:bottom w:val="none" w:sz="0" w:space="0" w:color="auto"/>
        <w:right w:val="none" w:sz="0" w:space="0" w:color="auto"/>
      </w:divBdr>
    </w:div>
    <w:div w:id="1049916934">
      <w:bodyDiv w:val="1"/>
      <w:marLeft w:val="0"/>
      <w:marRight w:val="0"/>
      <w:marTop w:val="0"/>
      <w:marBottom w:val="0"/>
      <w:divBdr>
        <w:top w:val="none" w:sz="0" w:space="0" w:color="auto"/>
        <w:left w:val="none" w:sz="0" w:space="0" w:color="auto"/>
        <w:bottom w:val="none" w:sz="0" w:space="0" w:color="auto"/>
        <w:right w:val="none" w:sz="0" w:space="0" w:color="auto"/>
      </w:divBdr>
    </w:div>
    <w:div w:id="1054505093">
      <w:bodyDiv w:val="1"/>
      <w:marLeft w:val="0"/>
      <w:marRight w:val="0"/>
      <w:marTop w:val="0"/>
      <w:marBottom w:val="0"/>
      <w:divBdr>
        <w:top w:val="none" w:sz="0" w:space="0" w:color="auto"/>
        <w:left w:val="none" w:sz="0" w:space="0" w:color="auto"/>
        <w:bottom w:val="none" w:sz="0" w:space="0" w:color="auto"/>
        <w:right w:val="none" w:sz="0" w:space="0" w:color="auto"/>
      </w:divBdr>
    </w:div>
    <w:div w:id="1067656042">
      <w:bodyDiv w:val="1"/>
      <w:marLeft w:val="0"/>
      <w:marRight w:val="0"/>
      <w:marTop w:val="0"/>
      <w:marBottom w:val="0"/>
      <w:divBdr>
        <w:top w:val="none" w:sz="0" w:space="0" w:color="auto"/>
        <w:left w:val="none" w:sz="0" w:space="0" w:color="auto"/>
        <w:bottom w:val="none" w:sz="0" w:space="0" w:color="auto"/>
        <w:right w:val="none" w:sz="0" w:space="0" w:color="auto"/>
      </w:divBdr>
    </w:div>
    <w:div w:id="1074744090">
      <w:bodyDiv w:val="1"/>
      <w:marLeft w:val="0"/>
      <w:marRight w:val="0"/>
      <w:marTop w:val="0"/>
      <w:marBottom w:val="0"/>
      <w:divBdr>
        <w:top w:val="none" w:sz="0" w:space="0" w:color="auto"/>
        <w:left w:val="none" w:sz="0" w:space="0" w:color="auto"/>
        <w:bottom w:val="none" w:sz="0" w:space="0" w:color="auto"/>
        <w:right w:val="none" w:sz="0" w:space="0" w:color="auto"/>
      </w:divBdr>
    </w:div>
    <w:div w:id="1087576824">
      <w:bodyDiv w:val="1"/>
      <w:marLeft w:val="0"/>
      <w:marRight w:val="0"/>
      <w:marTop w:val="0"/>
      <w:marBottom w:val="0"/>
      <w:divBdr>
        <w:top w:val="none" w:sz="0" w:space="0" w:color="auto"/>
        <w:left w:val="none" w:sz="0" w:space="0" w:color="auto"/>
        <w:bottom w:val="none" w:sz="0" w:space="0" w:color="auto"/>
        <w:right w:val="none" w:sz="0" w:space="0" w:color="auto"/>
      </w:divBdr>
    </w:div>
    <w:div w:id="1099175849">
      <w:bodyDiv w:val="1"/>
      <w:marLeft w:val="0"/>
      <w:marRight w:val="0"/>
      <w:marTop w:val="0"/>
      <w:marBottom w:val="0"/>
      <w:divBdr>
        <w:top w:val="none" w:sz="0" w:space="0" w:color="auto"/>
        <w:left w:val="none" w:sz="0" w:space="0" w:color="auto"/>
        <w:bottom w:val="none" w:sz="0" w:space="0" w:color="auto"/>
        <w:right w:val="none" w:sz="0" w:space="0" w:color="auto"/>
      </w:divBdr>
    </w:div>
    <w:div w:id="1102451624">
      <w:bodyDiv w:val="1"/>
      <w:marLeft w:val="0"/>
      <w:marRight w:val="0"/>
      <w:marTop w:val="0"/>
      <w:marBottom w:val="0"/>
      <w:divBdr>
        <w:top w:val="none" w:sz="0" w:space="0" w:color="auto"/>
        <w:left w:val="none" w:sz="0" w:space="0" w:color="auto"/>
        <w:bottom w:val="none" w:sz="0" w:space="0" w:color="auto"/>
        <w:right w:val="none" w:sz="0" w:space="0" w:color="auto"/>
      </w:divBdr>
    </w:div>
    <w:div w:id="1114596907">
      <w:bodyDiv w:val="1"/>
      <w:marLeft w:val="0"/>
      <w:marRight w:val="0"/>
      <w:marTop w:val="0"/>
      <w:marBottom w:val="0"/>
      <w:divBdr>
        <w:top w:val="none" w:sz="0" w:space="0" w:color="auto"/>
        <w:left w:val="none" w:sz="0" w:space="0" w:color="auto"/>
        <w:bottom w:val="none" w:sz="0" w:space="0" w:color="auto"/>
        <w:right w:val="none" w:sz="0" w:space="0" w:color="auto"/>
      </w:divBdr>
    </w:div>
    <w:div w:id="1126318031">
      <w:bodyDiv w:val="1"/>
      <w:marLeft w:val="0"/>
      <w:marRight w:val="0"/>
      <w:marTop w:val="0"/>
      <w:marBottom w:val="0"/>
      <w:divBdr>
        <w:top w:val="none" w:sz="0" w:space="0" w:color="auto"/>
        <w:left w:val="none" w:sz="0" w:space="0" w:color="auto"/>
        <w:bottom w:val="none" w:sz="0" w:space="0" w:color="auto"/>
        <w:right w:val="none" w:sz="0" w:space="0" w:color="auto"/>
      </w:divBdr>
    </w:div>
    <w:div w:id="1130170480">
      <w:bodyDiv w:val="1"/>
      <w:marLeft w:val="0"/>
      <w:marRight w:val="0"/>
      <w:marTop w:val="0"/>
      <w:marBottom w:val="0"/>
      <w:divBdr>
        <w:top w:val="none" w:sz="0" w:space="0" w:color="auto"/>
        <w:left w:val="none" w:sz="0" w:space="0" w:color="auto"/>
        <w:bottom w:val="none" w:sz="0" w:space="0" w:color="auto"/>
        <w:right w:val="none" w:sz="0" w:space="0" w:color="auto"/>
      </w:divBdr>
    </w:div>
    <w:div w:id="1133597878">
      <w:bodyDiv w:val="1"/>
      <w:marLeft w:val="0"/>
      <w:marRight w:val="0"/>
      <w:marTop w:val="0"/>
      <w:marBottom w:val="0"/>
      <w:divBdr>
        <w:top w:val="none" w:sz="0" w:space="0" w:color="auto"/>
        <w:left w:val="none" w:sz="0" w:space="0" w:color="auto"/>
        <w:bottom w:val="none" w:sz="0" w:space="0" w:color="auto"/>
        <w:right w:val="none" w:sz="0" w:space="0" w:color="auto"/>
      </w:divBdr>
    </w:div>
    <w:div w:id="1135173937">
      <w:bodyDiv w:val="1"/>
      <w:marLeft w:val="0"/>
      <w:marRight w:val="0"/>
      <w:marTop w:val="0"/>
      <w:marBottom w:val="0"/>
      <w:divBdr>
        <w:top w:val="none" w:sz="0" w:space="0" w:color="auto"/>
        <w:left w:val="none" w:sz="0" w:space="0" w:color="auto"/>
        <w:bottom w:val="none" w:sz="0" w:space="0" w:color="auto"/>
        <w:right w:val="none" w:sz="0" w:space="0" w:color="auto"/>
      </w:divBdr>
    </w:div>
    <w:div w:id="1139108868">
      <w:bodyDiv w:val="1"/>
      <w:marLeft w:val="0"/>
      <w:marRight w:val="0"/>
      <w:marTop w:val="0"/>
      <w:marBottom w:val="0"/>
      <w:divBdr>
        <w:top w:val="none" w:sz="0" w:space="0" w:color="auto"/>
        <w:left w:val="none" w:sz="0" w:space="0" w:color="auto"/>
        <w:bottom w:val="none" w:sz="0" w:space="0" w:color="auto"/>
        <w:right w:val="none" w:sz="0" w:space="0" w:color="auto"/>
      </w:divBdr>
    </w:div>
    <w:div w:id="1149444919">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
    <w:div w:id="1152791959">
      <w:bodyDiv w:val="1"/>
      <w:marLeft w:val="0"/>
      <w:marRight w:val="0"/>
      <w:marTop w:val="0"/>
      <w:marBottom w:val="0"/>
      <w:divBdr>
        <w:top w:val="none" w:sz="0" w:space="0" w:color="auto"/>
        <w:left w:val="none" w:sz="0" w:space="0" w:color="auto"/>
        <w:bottom w:val="none" w:sz="0" w:space="0" w:color="auto"/>
        <w:right w:val="none" w:sz="0" w:space="0" w:color="auto"/>
      </w:divBdr>
    </w:div>
    <w:div w:id="1153375265">
      <w:bodyDiv w:val="1"/>
      <w:marLeft w:val="0"/>
      <w:marRight w:val="0"/>
      <w:marTop w:val="0"/>
      <w:marBottom w:val="0"/>
      <w:divBdr>
        <w:top w:val="none" w:sz="0" w:space="0" w:color="auto"/>
        <w:left w:val="none" w:sz="0" w:space="0" w:color="auto"/>
        <w:bottom w:val="none" w:sz="0" w:space="0" w:color="auto"/>
        <w:right w:val="none" w:sz="0" w:space="0" w:color="auto"/>
      </w:divBdr>
    </w:div>
    <w:div w:id="1154179917">
      <w:bodyDiv w:val="1"/>
      <w:marLeft w:val="0"/>
      <w:marRight w:val="0"/>
      <w:marTop w:val="0"/>
      <w:marBottom w:val="0"/>
      <w:divBdr>
        <w:top w:val="none" w:sz="0" w:space="0" w:color="auto"/>
        <w:left w:val="none" w:sz="0" w:space="0" w:color="auto"/>
        <w:bottom w:val="none" w:sz="0" w:space="0" w:color="auto"/>
        <w:right w:val="none" w:sz="0" w:space="0" w:color="auto"/>
      </w:divBdr>
    </w:div>
    <w:div w:id="1158576768">
      <w:bodyDiv w:val="1"/>
      <w:marLeft w:val="0"/>
      <w:marRight w:val="0"/>
      <w:marTop w:val="0"/>
      <w:marBottom w:val="0"/>
      <w:divBdr>
        <w:top w:val="none" w:sz="0" w:space="0" w:color="auto"/>
        <w:left w:val="none" w:sz="0" w:space="0" w:color="auto"/>
        <w:bottom w:val="none" w:sz="0" w:space="0" w:color="auto"/>
        <w:right w:val="none" w:sz="0" w:space="0" w:color="auto"/>
      </w:divBdr>
    </w:div>
    <w:div w:id="1167674036">
      <w:bodyDiv w:val="1"/>
      <w:marLeft w:val="0"/>
      <w:marRight w:val="0"/>
      <w:marTop w:val="0"/>
      <w:marBottom w:val="0"/>
      <w:divBdr>
        <w:top w:val="none" w:sz="0" w:space="0" w:color="auto"/>
        <w:left w:val="none" w:sz="0" w:space="0" w:color="auto"/>
        <w:bottom w:val="none" w:sz="0" w:space="0" w:color="auto"/>
        <w:right w:val="none" w:sz="0" w:space="0" w:color="auto"/>
      </w:divBdr>
    </w:div>
    <w:div w:id="1168908841">
      <w:bodyDiv w:val="1"/>
      <w:marLeft w:val="0"/>
      <w:marRight w:val="0"/>
      <w:marTop w:val="0"/>
      <w:marBottom w:val="0"/>
      <w:divBdr>
        <w:top w:val="none" w:sz="0" w:space="0" w:color="auto"/>
        <w:left w:val="none" w:sz="0" w:space="0" w:color="auto"/>
        <w:bottom w:val="none" w:sz="0" w:space="0" w:color="auto"/>
        <w:right w:val="none" w:sz="0" w:space="0" w:color="auto"/>
      </w:divBdr>
    </w:div>
    <w:div w:id="1168986902">
      <w:bodyDiv w:val="1"/>
      <w:marLeft w:val="0"/>
      <w:marRight w:val="0"/>
      <w:marTop w:val="0"/>
      <w:marBottom w:val="0"/>
      <w:divBdr>
        <w:top w:val="none" w:sz="0" w:space="0" w:color="auto"/>
        <w:left w:val="none" w:sz="0" w:space="0" w:color="auto"/>
        <w:bottom w:val="none" w:sz="0" w:space="0" w:color="auto"/>
        <w:right w:val="none" w:sz="0" w:space="0" w:color="auto"/>
      </w:divBdr>
    </w:div>
    <w:div w:id="1173911854">
      <w:bodyDiv w:val="1"/>
      <w:marLeft w:val="0"/>
      <w:marRight w:val="0"/>
      <w:marTop w:val="0"/>
      <w:marBottom w:val="0"/>
      <w:divBdr>
        <w:top w:val="none" w:sz="0" w:space="0" w:color="auto"/>
        <w:left w:val="none" w:sz="0" w:space="0" w:color="auto"/>
        <w:bottom w:val="none" w:sz="0" w:space="0" w:color="auto"/>
        <w:right w:val="none" w:sz="0" w:space="0" w:color="auto"/>
      </w:divBdr>
    </w:div>
    <w:div w:id="1174030532">
      <w:bodyDiv w:val="1"/>
      <w:marLeft w:val="0"/>
      <w:marRight w:val="0"/>
      <w:marTop w:val="0"/>
      <w:marBottom w:val="0"/>
      <w:divBdr>
        <w:top w:val="none" w:sz="0" w:space="0" w:color="auto"/>
        <w:left w:val="none" w:sz="0" w:space="0" w:color="auto"/>
        <w:bottom w:val="none" w:sz="0" w:space="0" w:color="auto"/>
        <w:right w:val="none" w:sz="0" w:space="0" w:color="auto"/>
      </w:divBdr>
    </w:div>
    <w:div w:id="1174347179">
      <w:bodyDiv w:val="1"/>
      <w:marLeft w:val="0"/>
      <w:marRight w:val="0"/>
      <w:marTop w:val="0"/>
      <w:marBottom w:val="0"/>
      <w:divBdr>
        <w:top w:val="none" w:sz="0" w:space="0" w:color="auto"/>
        <w:left w:val="none" w:sz="0" w:space="0" w:color="auto"/>
        <w:bottom w:val="none" w:sz="0" w:space="0" w:color="auto"/>
        <w:right w:val="none" w:sz="0" w:space="0" w:color="auto"/>
      </w:divBdr>
    </w:div>
    <w:div w:id="1181775962">
      <w:bodyDiv w:val="1"/>
      <w:marLeft w:val="0"/>
      <w:marRight w:val="0"/>
      <w:marTop w:val="0"/>
      <w:marBottom w:val="0"/>
      <w:divBdr>
        <w:top w:val="none" w:sz="0" w:space="0" w:color="auto"/>
        <w:left w:val="none" w:sz="0" w:space="0" w:color="auto"/>
        <w:bottom w:val="none" w:sz="0" w:space="0" w:color="auto"/>
        <w:right w:val="none" w:sz="0" w:space="0" w:color="auto"/>
      </w:divBdr>
    </w:div>
    <w:div w:id="1202866291">
      <w:bodyDiv w:val="1"/>
      <w:marLeft w:val="0"/>
      <w:marRight w:val="0"/>
      <w:marTop w:val="0"/>
      <w:marBottom w:val="0"/>
      <w:divBdr>
        <w:top w:val="none" w:sz="0" w:space="0" w:color="auto"/>
        <w:left w:val="none" w:sz="0" w:space="0" w:color="auto"/>
        <w:bottom w:val="none" w:sz="0" w:space="0" w:color="auto"/>
        <w:right w:val="none" w:sz="0" w:space="0" w:color="auto"/>
      </w:divBdr>
    </w:div>
    <w:div w:id="1206599686">
      <w:bodyDiv w:val="1"/>
      <w:marLeft w:val="0"/>
      <w:marRight w:val="0"/>
      <w:marTop w:val="0"/>
      <w:marBottom w:val="0"/>
      <w:divBdr>
        <w:top w:val="none" w:sz="0" w:space="0" w:color="auto"/>
        <w:left w:val="none" w:sz="0" w:space="0" w:color="auto"/>
        <w:bottom w:val="none" w:sz="0" w:space="0" w:color="auto"/>
        <w:right w:val="none" w:sz="0" w:space="0" w:color="auto"/>
      </w:divBdr>
    </w:div>
    <w:div w:id="1219590042">
      <w:bodyDiv w:val="1"/>
      <w:marLeft w:val="0"/>
      <w:marRight w:val="0"/>
      <w:marTop w:val="0"/>
      <w:marBottom w:val="0"/>
      <w:divBdr>
        <w:top w:val="none" w:sz="0" w:space="0" w:color="auto"/>
        <w:left w:val="none" w:sz="0" w:space="0" w:color="auto"/>
        <w:bottom w:val="none" w:sz="0" w:space="0" w:color="auto"/>
        <w:right w:val="none" w:sz="0" w:space="0" w:color="auto"/>
      </w:divBdr>
    </w:div>
    <w:div w:id="1235041881">
      <w:bodyDiv w:val="1"/>
      <w:marLeft w:val="0"/>
      <w:marRight w:val="0"/>
      <w:marTop w:val="0"/>
      <w:marBottom w:val="0"/>
      <w:divBdr>
        <w:top w:val="none" w:sz="0" w:space="0" w:color="auto"/>
        <w:left w:val="none" w:sz="0" w:space="0" w:color="auto"/>
        <w:bottom w:val="none" w:sz="0" w:space="0" w:color="auto"/>
        <w:right w:val="none" w:sz="0" w:space="0" w:color="auto"/>
      </w:divBdr>
    </w:div>
    <w:div w:id="1243877047">
      <w:bodyDiv w:val="1"/>
      <w:marLeft w:val="0"/>
      <w:marRight w:val="0"/>
      <w:marTop w:val="0"/>
      <w:marBottom w:val="0"/>
      <w:divBdr>
        <w:top w:val="none" w:sz="0" w:space="0" w:color="auto"/>
        <w:left w:val="none" w:sz="0" w:space="0" w:color="auto"/>
        <w:bottom w:val="none" w:sz="0" w:space="0" w:color="auto"/>
        <w:right w:val="none" w:sz="0" w:space="0" w:color="auto"/>
      </w:divBdr>
    </w:div>
    <w:div w:id="1253397199">
      <w:bodyDiv w:val="1"/>
      <w:marLeft w:val="0"/>
      <w:marRight w:val="0"/>
      <w:marTop w:val="0"/>
      <w:marBottom w:val="0"/>
      <w:divBdr>
        <w:top w:val="none" w:sz="0" w:space="0" w:color="auto"/>
        <w:left w:val="none" w:sz="0" w:space="0" w:color="auto"/>
        <w:bottom w:val="none" w:sz="0" w:space="0" w:color="auto"/>
        <w:right w:val="none" w:sz="0" w:space="0" w:color="auto"/>
      </w:divBdr>
    </w:div>
    <w:div w:id="1253666819">
      <w:bodyDiv w:val="1"/>
      <w:marLeft w:val="0"/>
      <w:marRight w:val="0"/>
      <w:marTop w:val="0"/>
      <w:marBottom w:val="0"/>
      <w:divBdr>
        <w:top w:val="none" w:sz="0" w:space="0" w:color="auto"/>
        <w:left w:val="none" w:sz="0" w:space="0" w:color="auto"/>
        <w:bottom w:val="none" w:sz="0" w:space="0" w:color="auto"/>
        <w:right w:val="none" w:sz="0" w:space="0" w:color="auto"/>
      </w:divBdr>
    </w:div>
    <w:div w:id="1254052396">
      <w:bodyDiv w:val="1"/>
      <w:marLeft w:val="0"/>
      <w:marRight w:val="0"/>
      <w:marTop w:val="0"/>
      <w:marBottom w:val="0"/>
      <w:divBdr>
        <w:top w:val="none" w:sz="0" w:space="0" w:color="auto"/>
        <w:left w:val="none" w:sz="0" w:space="0" w:color="auto"/>
        <w:bottom w:val="none" w:sz="0" w:space="0" w:color="auto"/>
        <w:right w:val="none" w:sz="0" w:space="0" w:color="auto"/>
      </w:divBdr>
    </w:div>
    <w:div w:id="1259484371">
      <w:bodyDiv w:val="1"/>
      <w:marLeft w:val="0"/>
      <w:marRight w:val="0"/>
      <w:marTop w:val="0"/>
      <w:marBottom w:val="0"/>
      <w:divBdr>
        <w:top w:val="none" w:sz="0" w:space="0" w:color="auto"/>
        <w:left w:val="none" w:sz="0" w:space="0" w:color="auto"/>
        <w:bottom w:val="none" w:sz="0" w:space="0" w:color="auto"/>
        <w:right w:val="none" w:sz="0" w:space="0" w:color="auto"/>
      </w:divBdr>
    </w:div>
    <w:div w:id="1267270180">
      <w:bodyDiv w:val="1"/>
      <w:marLeft w:val="0"/>
      <w:marRight w:val="0"/>
      <w:marTop w:val="0"/>
      <w:marBottom w:val="0"/>
      <w:divBdr>
        <w:top w:val="none" w:sz="0" w:space="0" w:color="auto"/>
        <w:left w:val="none" w:sz="0" w:space="0" w:color="auto"/>
        <w:bottom w:val="none" w:sz="0" w:space="0" w:color="auto"/>
        <w:right w:val="none" w:sz="0" w:space="0" w:color="auto"/>
      </w:divBdr>
    </w:div>
    <w:div w:id="1271089652">
      <w:bodyDiv w:val="1"/>
      <w:marLeft w:val="0"/>
      <w:marRight w:val="0"/>
      <w:marTop w:val="0"/>
      <w:marBottom w:val="0"/>
      <w:divBdr>
        <w:top w:val="none" w:sz="0" w:space="0" w:color="auto"/>
        <w:left w:val="none" w:sz="0" w:space="0" w:color="auto"/>
        <w:bottom w:val="none" w:sz="0" w:space="0" w:color="auto"/>
        <w:right w:val="none" w:sz="0" w:space="0" w:color="auto"/>
      </w:divBdr>
    </w:div>
    <w:div w:id="1277061221">
      <w:bodyDiv w:val="1"/>
      <w:marLeft w:val="0"/>
      <w:marRight w:val="0"/>
      <w:marTop w:val="0"/>
      <w:marBottom w:val="0"/>
      <w:divBdr>
        <w:top w:val="none" w:sz="0" w:space="0" w:color="auto"/>
        <w:left w:val="none" w:sz="0" w:space="0" w:color="auto"/>
        <w:bottom w:val="none" w:sz="0" w:space="0" w:color="auto"/>
        <w:right w:val="none" w:sz="0" w:space="0" w:color="auto"/>
      </w:divBdr>
    </w:div>
    <w:div w:id="1277251826">
      <w:bodyDiv w:val="1"/>
      <w:marLeft w:val="0"/>
      <w:marRight w:val="0"/>
      <w:marTop w:val="0"/>
      <w:marBottom w:val="0"/>
      <w:divBdr>
        <w:top w:val="none" w:sz="0" w:space="0" w:color="auto"/>
        <w:left w:val="none" w:sz="0" w:space="0" w:color="auto"/>
        <w:bottom w:val="none" w:sz="0" w:space="0" w:color="auto"/>
        <w:right w:val="none" w:sz="0" w:space="0" w:color="auto"/>
      </w:divBdr>
    </w:div>
    <w:div w:id="1281492284">
      <w:bodyDiv w:val="1"/>
      <w:marLeft w:val="0"/>
      <w:marRight w:val="0"/>
      <w:marTop w:val="0"/>
      <w:marBottom w:val="0"/>
      <w:divBdr>
        <w:top w:val="none" w:sz="0" w:space="0" w:color="auto"/>
        <w:left w:val="none" w:sz="0" w:space="0" w:color="auto"/>
        <w:bottom w:val="none" w:sz="0" w:space="0" w:color="auto"/>
        <w:right w:val="none" w:sz="0" w:space="0" w:color="auto"/>
      </w:divBdr>
    </w:div>
    <w:div w:id="1292443065">
      <w:bodyDiv w:val="1"/>
      <w:marLeft w:val="0"/>
      <w:marRight w:val="0"/>
      <w:marTop w:val="0"/>
      <w:marBottom w:val="0"/>
      <w:divBdr>
        <w:top w:val="none" w:sz="0" w:space="0" w:color="auto"/>
        <w:left w:val="none" w:sz="0" w:space="0" w:color="auto"/>
        <w:bottom w:val="none" w:sz="0" w:space="0" w:color="auto"/>
        <w:right w:val="none" w:sz="0" w:space="0" w:color="auto"/>
      </w:divBdr>
    </w:div>
    <w:div w:id="1293363040">
      <w:bodyDiv w:val="1"/>
      <w:marLeft w:val="0"/>
      <w:marRight w:val="0"/>
      <w:marTop w:val="0"/>
      <w:marBottom w:val="0"/>
      <w:divBdr>
        <w:top w:val="none" w:sz="0" w:space="0" w:color="auto"/>
        <w:left w:val="none" w:sz="0" w:space="0" w:color="auto"/>
        <w:bottom w:val="none" w:sz="0" w:space="0" w:color="auto"/>
        <w:right w:val="none" w:sz="0" w:space="0" w:color="auto"/>
      </w:divBdr>
    </w:div>
    <w:div w:id="1296596006">
      <w:bodyDiv w:val="1"/>
      <w:marLeft w:val="0"/>
      <w:marRight w:val="0"/>
      <w:marTop w:val="0"/>
      <w:marBottom w:val="0"/>
      <w:divBdr>
        <w:top w:val="none" w:sz="0" w:space="0" w:color="auto"/>
        <w:left w:val="none" w:sz="0" w:space="0" w:color="auto"/>
        <w:bottom w:val="none" w:sz="0" w:space="0" w:color="auto"/>
        <w:right w:val="none" w:sz="0" w:space="0" w:color="auto"/>
      </w:divBdr>
    </w:div>
    <w:div w:id="1298534485">
      <w:bodyDiv w:val="1"/>
      <w:marLeft w:val="0"/>
      <w:marRight w:val="0"/>
      <w:marTop w:val="0"/>
      <w:marBottom w:val="0"/>
      <w:divBdr>
        <w:top w:val="none" w:sz="0" w:space="0" w:color="auto"/>
        <w:left w:val="none" w:sz="0" w:space="0" w:color="auto"/>
        <w:bottom w:val="none" w:sz="0" w:space="0" w:color="auto"/>
        <w:right w:val="none" w:sz="0" w:space="0" w:color="auto"/>
      </w:divBdr>
    </w:div>
    <w:div w:id="1299723999">
      <w:bodyDiv w:val="1"/>
      <w:marLeft w:val="0"/>
      <w:marRight w:val="0"/>
      <w:marTop w:val="0"/>
      <w:marBottom w:val="0"/>
      <w:divBdr>
        <w:top w:val="none" w:sz="0" w:space="0" w:color="auto"/>
        <w:left w:val="none" w:sz="0" w:space="0" w:color="auto"/>
        <w:bottom w:val="none" w:sz="0" w:space="0" w:color="auto"/>
        <w:right w:val="none" w:sz="0" w:space="0" w:color="auto"/>
      </w:divBdr>
    </w:div>
    <w:div w:id="1299990104">
      <w:bodyDiv w:val="1"/>
      <w:marLeft w:val="0"/>
      <w:marRight w:val="0"/>
      <w:marTop w:val="0"/>
      <w:marBottom w:val="0"/>
      <w:divBdr>
        <w:top w:val="none" w:sz="0" w:space="0" w:color="auto"/>
        <w:left w:val="none" w:sz="0" w:space="0" w:color="auto"/>
        <w:bottom w:val="none" w:sz="0" w:space="0" w:color="auto"/>
        <w:right w:val="none" w:sz="0" w:space="0" w:color="auto"/>
      </w:divBdr>
    </w:div>
    <w:div w:id="1305040478">
      <w:bodyDiv w:val="1"/>
      <w:marLeft w:val="0"/>
      <w:marRight w:val="0"/>
      <w:marTop w:val="0"/>
      <w:marBottom w:val="0"/>
      <w:divBdr>
        <w:top w:val="none" w:sz="0" w:space="0" w:color="auto"/>
        <w:left w:val="none" w:sz="0" w:space="0" w:color="auto"/>
        <w:bottom w:val="none" w:sz="0" w:space="0" w:color="auto"/>
        <w:right w:val="none" w:sz="0" w:space="0" w:color="auto"/>
      </w:divBdr>
    </w:div>
    <w:div w:id="1306274001">
      <w:bodyDiv w:val="1"/>
      <w:marLeft w:val="0"/>
      <w:marRight w:val="0"/>
      <w:marTop w:val="0"/>
      <w:marBottom w:val="0"/>
      <w:divBdr>
        <w:top w:val="none" w:sz="0" w:space="0" w:color="auto"/>
        <w:left w:val="none" w:sz="0" w:space="0" w:color="auto"/>
        <w:bottom w:val="none" w:sz="0" w:space="0" w:color="auto"/>
        <w:right w:val="none" w:sz="0" w:space="0" w:color="auto"/>
      </w:divBdr>
    </w:div>
    <w:div w:id="1310285043">
      <w:bodyDiv w:val="1"/>
      <w:marLeft w:val="0"/>
      <w:marRight w:val="0"/>
      <w:marTop w:val="0"/>
      <w:marBottom w:val="0"/>
      <w:divBdr>
        <w:top w:val="none" w:sz="0" w:space="0" w:color="auto"/>
        <w:left w:val="none" w:sz="0" w:space="0" w:color="auto"/>
        <w:bottom w:val="none" w:sz="0" w:space="0" w:color="auto"/>
        <w:right w:val="none" w:sz="0" w:space="0" w:color="auto"/>
      </w:divBdr>
    </w:div>
    <w:div w:id="1312059008">
      <w:bodyDiv w:val="1"/>
      <w:marLeft w:val="0"/>
      <w:marRight w:val="0"/>
      <w:marTop w:val="0"/>
      <w:marBottom w:val="0"/>
      <w:divBdr>
        <w:top w:val="none" w:sz="0" w:space="0" w:color="auto"/>
        <w:left w:val="none" w:sz="0" w:space="0" w:color="auto"/>
        <w:bottom w:val="none" w:sz="0" w:space="0" w:color="auto"/>
        <w:right w:val="none" w:sz="0" w:space="0" w:color="auto"/>
      </w:divBdr>
    </w:div>
    <w:div w:id="1315449768">
      <w:bodyDiv w:val="1"/>
      <w:marLeft w:val="0"/>
      <w:marRight w:val="0"/>
      <w:marTop w:val="0"/>
      <w:marBottom w:val="0"/>
      <w:divBdr>
        <w:top w:val="none" w:sz="0" w:space="0" w:color="auto"/>
        <w:left w:val="none" w:sz="0" w:space="0" w:color="auto"/>
        <w:bottom w:val="none" w:sz="0" w:space="0" w:color="auto"/>
        <w:right w:val="none" w:sz="0" w:space="0" w:color="auto"/>
      </w:divBdr>
    </w:div>
    <w:div w:id="1322151935">
      <w:bodyDiv w:val="1"/>
      <w:marLeft w:val="0"/>
      <w:marRight w:val="0"/>
      <w:marTop w:val="0"/>
      <w:marBottom w:val="0"/>
      <w:divBdr>
        <w:top w:val="none" w:sz="0" w:space="0" w:color="auto"/>
        <w:left w:val="none" w:sz="0" w:space="0" w:color="auto"/>
        <w:bottom w:val="none" w:sz="0" w:space="0" w:color="auto"/>
        <w:right w:val="none" w:sz="0" w:space="0" w:color="auto"/>
      </w:divBdr>
    </w:div>
    <w:div w:id="1323311162">
      <w:bodyDiv w:val="1"/>
      <w:marLeft w:val="0"/>
      <w:marRight w:val="0"/>
      <w:marTop w:val="0"/>
      <w:marBottom w:val="0"/>
      <w:divBdr>
        <w:top w:val="none" w:sz="0" w:space="0" w:color="auto"/>
        <w:left w:val="none" w:sz="0" w:space="0" w:color="auto"/>
        <w:bottom w:val="none" w:sz="0" w:space="0" w:color="auto"/>
        <w:right w:val="none" w:sz="0" w:space="0" w:color="auto"/>
      </w:divBdr>
    </w:div>
    <w:div w:id="1326519483">
      <w:bodyDiv w:val="1"/>
      <w:marLeft w:val="0"/>
      <w:marRight w:val="0"/>
      <w:marTop w:val="0"/>
      <w:marBottom w:val="0"/>
      <w:divBdr>
        <w:top w:val="none" w:sz="0" w:space="0" w:color="auto"/>
        <w:left w:val="none" w:sz="0" w:space="0" w:color="auto"/>
        <w:bottom w:val="none" w:sz="0" w:space="0" w:color="auto"/>
        <w:right w:val="none" w:sz="0" w:space="0" w:color="auto"/>
      </w:divBdr>
    </w:div>
    <w:div w:id="1331640162">
      <w:bodyDiv w:val="1"/>
      <w:marLeft w:val="0"/>
      <w:marRight w:val="0"/>
      <w:marTop w:val="0"/>
      <w:marBottom w:val="0"/>
      <w:divBdr>
        <w:top w:val="none" w:sz="0" w:space="0" w:color="auto"/>
        <w:left w:val="none" w:sz="0" w:space="0" w:color="auto"/>
        <w:bottom w:val="none" w:sz="0" w:space="0" w:color="auto"/>
        <w:right w:val="none" w:sz="0" w:space="0" w:color="auto"/>
      </w:divBdr>
    </w:div>
    <w:div w:id="1335959380">
      <w:bodyDiv w:val="1"/>
      <w:marLeft w:val="0"/>
      <w:marRight w:val="0"/>
      <w:marTop w:val="0"/>
      <w:marBottom w:val="0"/>
      <w:divBdr>
        <w:top w:val="none" w:sz="0" w:space="0" w:color="auto"/>
        <w:left w:val="none" w:sz="0" w:space="0" w:color="auto"/>
        <w:bottom w:val="none" w:sz="0" w:space="0" w:color="auto"/>
        <w:right w:val="none" w:sz="0" w:space="0" w:color="auto"/>
      </w:divBdr>
    </w:div>
    <w:div w:id="1341466160">
      <w:bodyDiv w:val="1"/>
      <w:marLeft w:val="0"/>
      <w:marRight w:val="0"/>
      <w:marTop w:val="0"/>
      <w:marBottom w:val="0"/>
      <w:divBdr>
        <w:top w:val="none" w:sz="0" w:space="0" w:color="auto"/>
        <w:left w:val="none" w:sz="0" w:space="0" w:color="auto"/>
        <w:bottom w:val="none" w:sz="0" w:space="0" w:color="auto"/>
        <w:right w:val="none" w:sz="0" w:space="0" w:color="auto"/>
      </w:divBdr>
    </w:div>
    <w:div w:id="1342779875">
      <w:bodyDiv w:val="1"/>
      <w:marLeft w:val="0"/>
      <w:marRight w:val="0"/>
      <w:marTop w:val="0"/>
      <w:marBottom w:val="0"/>
      <w:divBdr>
        <w:top w:val="none" w:sz="0" w:space="0" w:color="auto"/>
        <w:left w:val="none" w:sz="0" w:space="0" w:color="auto"/>
        <w:bottom w:val="none" w:sz="0" w:space="0" w:color="auto"/>
        <w:right w:val="none" w:sz="0" w:space="0" w:color="auto"/>
      </w:divBdr>
    </w:div>
    <w:div w:id="1345089713">
      <w:bodyDiv w:val="1"/>
      <w:marLeft w:val="0"/>
      <w:marRight w:val="0"/>
      <w:marTop w:val="0"/>
      <w:marBottom w:val="0"/>
      <w:divBdr>
        <w:top w:val="none" w:sz="0" w:space="0" w:color="auto"/>
        <w:left w:val="none" w:sz="0" w:space="0" w:color="auto"/>
        <w:bottom w:val="none" w:sz="0" w:space="0" w:color="auto"/>
        <w:right w:val="none" w:sz="0" w:space="0" w:color="auto"/>
      </w:divBdr>
    </w:div>
    <w:div w:id="1345283232">
      <w:bodyDiv w:val="1"/>
      <w:marLeft w:val="0"/>
      <w:marRight w:val="0"/>
      <w:marTop w:val="0"/>
      <w:marBottom w:val="0"/>
      <w:divBdr>
        <w:top w:val="none" w:sz="0" w:space="0" w:color="auto"/>
        <w:left w:val="none" w:sz="0" w:space="0" w:color="auto"/>
        <w:bottom w:val="none" w:sz="0" w:space="0" w:color="auto"/>
        <w:right w:val="none" w:sz="0" w:space="0" w:color="auto"/>
      </w:divBdr>
    </w:div>
    <w:div w:id="1350907627">
      <w:bodyDiv w:val="1"/>
      <w:marLeft w:val="0"/>
      <w:marRight w:val="0"/>
      <w:marTop w:val="0"/>
      <w:marBottom w:val="0"/>
      <w:divBdr>
        <w:top w:val="none" w:sz="0" w:space="0" w:color="auto"/>
        <w:left w:val="none" w:sz="0" w:space="0" w:color="auto"/>
        <w:bottom w:val="none" w:sz="0" w:space="0" w:color="auto"/>
        <w:right w:val="none" w:sz="0" w:space="0" w:color="auto"/>
      </w:divBdr>
    </w:div>
    <w:div w:id="1355770086">
      <w:bodyDiv w:val="1"/>
      <w:marLeft w:val="0"/>
      <w:marRight w:val="0"/>
      <w:marTop w:val="0"/>
      <w:marBottom w:val="0"/>
      <w:divBdr>
        <w:top w:val="none" w:sz="0" w:space="0" w:color="auto"/>
        <w:left w:val="none" w:sz="0" w:space="0" w:color="auto"/>
        <w:bottom w:val="none" w:sz="0" w:space="0" w:color="auto"/>
        <w:right w:val="none" w:sz="0" w:space="0" w:color="auto"/>
      </w:divBdr>
    </w:div>
    <w:div w:id="1369842611">
      <w:bodyDiv w:val="1"/>
      <w:marLeft w:val="0"/>
      <w:marRight w:val="0"/>
      <w:marTop w:val="0"/>
      <w:marBottom w:val="0"/>
      <w:divBdr>
        <w:top w:val="none" w:sz="0" w:space="0" w:color="auto"/>
        <w:left w:val="none" w:sz="0" w:space="0" w:color="auto"/>
        <w:bottom w:val="none" w:sz="0" w:space="0" w:color="auto"/>
        <w:right w:val="none" w:sz="0" w:space="0" w:color="auto"/>
      </w:divBdr>
    </w:div>
    <w:div w:id="1370496233">
      <w:bodyDiv w:val="1"/>
      <w:marLeft w:val="0"/>
      <w:marRight w:val="0"/>
      <w:marTop w:val="0"/>
      <w:marBottom w:val="0"/>
      <w:divBdr>
        <w:top w:val="none" w:sz="0" w:space="0" w:color="auto"/>
        <w:left w:val="none" w:sz="0" w:space="0" w:color="auto"/>
        <w:bottom w:val="none" w:sz="0" w:space="0" w:color="auto"/>
        <w:right w:val="none" w:sz="0" w:space="0" w:color="auto"/>
      </w:divBdr>
    </w:div>
    <w:div w:id="1372615060">
      <w:bodyDiv w:val="1"/>
      <w:marLeft w:val="0"/>
      <w:marRight w:val="0"/>
      <w:marTop w:val="0"/>
      <w:marBottom w:val="0"/>
      <w:divBdr>
        <w:top w:val="none" w:sz="0" w:space="0" w:color="auto"/>
        <w:left w:val="none" w:sz="0" w:space="0" w:color="auto"/>
        <w:bottom w:val="none" w:sz="0" w:space="0" w:color="auto"/>
        <w:right w:val="none" w:sz="0" w:space="0" w:color="auto"/>
      </w:divBdr>
    </w:div>
    <w:div w:id="1373261456">
      <w:bodyDiv w:val="1"/>
      <w:marLeft w:val="0"/>
      <w:marRight w:val="0"/>
      <w:marTop w:val="0"/>
      <w:marBottom w:val="0"/>
      <w:divBdr>
        <w:top w:val="none" w:sz="0" w:space="0" w:color="auto"/>
        <w:left w:val="none" w:sz="0" w:space="0" w:color="auto"/>
        <w:bottom w:val="none" w:sz="0" w:space="0" w:color="auto"/>
        <w:right w:val="none" w:sz="0" w:space="0" w:color="auto"/>
      </w:divBdr>
    </w:div>
    <w:div w:id="1375158389">
      <w:bodyDiv w:val="1"/>
      <w:marLeft w:val="0"/>
      <w:marRight w:val="0"/>
      <w:marTop w:val="0"/>
      <w:marBottom w:val="0"/>
      <w:divBdr>
        <w:top w:val="none" w:sz="0" w:space="0" w:color="auto"/>
        <w:left w:val="none" w:sz="0" w:space="0" w:color="auto"/>
        <w:bottom w:val="none" w:sz="0" w:space="0" w:color="auto"/>
        <w:right w:val="none" w:sz="0" w:space="0" w:color="auto"/>
      </w:divBdr>
    </w:div>
    <w:div w:id="1383600941">
      <w:bodyDiv w:val="1"/>
      <w:marLeft w:val="0"/>
      <w:marRight w:val="0"/>
      <w:marTop w:val="0"/>
      <w:marBottom w:val="0"/>
      <w:divBdr>
        <w:top w:val="none" w:sz="0" w:space="0" w:color="auto"/>
        <w:left w:val="none" w:sz="0" w:space="0" w:color="auto"/>
        <w:bottom w:val="none" w:sz="0" w:space="0" w:color="auto"/>
        <w:right w:val="none" w:sz="0" w:space="0" w:color="auto"/>
      </w:divBdr>
    </w:div>
    <w:div w:id="1383603595">
      <w:bodyDiv w:val="1"/>
      <w:marLeft w:val="0"/>
      <w:marRight w:val="0"/>
      <w:marTop w:val="0"/>
      <w:marBottom w:val="0"/>
      <w:divBdr>
        <w:top w:val="none" w:sz="0" w:space="0" w:color="auto"/>
        <w:left w:val="none" w:sz="0" w:space="0" w:color="auto"/>
        <w:bottom w:val="none" w:sz="0" w:space="0" w:color="auto"/>
        <w:right w:val="none" w:sz="0" w:space="0" w:color="auto"/>
      </w:divBdr>
    </w:div>
    <w:div w:id="1384526934">
      <w:bodyDiv w:val="1"/>
      <w:marLeft w:val="0"/>
      <w:marRight w:val="0"/>
      <w:marTop w:val="0"/>
      <w:marBottom w:val="0"/>
      <w:divBdr>
        <w:top w:val="none" w:sz="0" w:space="0" w:color="auto"/>
        <w:left w:val="none" w:sz="0" w:space="0" w:color="auto"/>
        <w:bottom w:val="none" w:sz="0" w:space="0" w:color="auto"/>
        <w:right w:val="none" w:sz="0" w:space="0" w:color="auto"/>
      </w:divBdr>
    </w:div>
    <w:div w:id="1387336090">
      <w:bodyDiv w:val="1"/>
      <w:marLeft w:val="0"/>
      <w:marRight w:val="0"/>
      <w:marTop w:val="0"/>
      <w:marBottom w:val="0"/>
      <w:divBdr>
        <w:top w:val="none" w:sz="0" w:space="0" w:color="auto"/>
        <w:left w:val="none" w:sz="0" w:space="0" w:color="auto"/>
        <w:bottom w:val="none" w:sz="0" w:space="0" w:color="auto"/>
        <w:right w:val="none" w:sz="0" w:space="0" w:color="auto"/>
      </w:divBdr>
    </w:div>
    <w:div w:id="1395662028">
      <w:bodyDiv w:val="1"/>
      <w:marLeft w:val="0"/>
      <w:marRight w:val="0"/>
      <w:marTop w:val="0"/>
      <w:marBottom w:val="0"/>
      <w:divBdr>
        <w:top w:val="none" w:sz="0" w:space="0" w:color="auto"/>
        <w:left w:val="none" w:sz="0" w:space="0" w:color="auto"/>
        <w:bottom w:val="none" w:sz="0" w:space="0" w:color="auto"/>
        <w:right w:val="none" w:sz="0" w:space="0" w:color="auto"/>
      </w:divBdr>
    </w:div>
    <w:div w:id="1397557504">
      <w:bodyDiv w:val="1"/>
      <w:marLeft w:val="0"/>
      <w:marRight w:val="0"/>
      <w:marTop w:val="0"/>
      <w:marBottom w:val="0"/>
      <w:divBdr>
        <w:top w:val="none" w:sz="0" w:space="0" w:color="auto"/>
        <w:left w:val="none" w:sz="0" w:space="0" w:color="auto"/>
        <w:bottom w:val="none" w:sz="0" w:space="0" w:color="auto"/>
        <w:right w:val="none" w:sz="0" w:space="0" w:color="auto"/>
      </w:divBdr>
    </w:div>
    <w:div w:id="1411073554">
      <w:bodyDiv w:val="1"/>
      <w:marLeft w:val="0"/>
      <w:marRight w:val="0"/>
      <w:marTop w:val="0"/>
      <w:marBottom w:val="0"/>
      <w:divBdr>
        <w:top w:val="none" w:sz="0" w:space="0" w:color="auto"/>
        <w:left w:val="none" w:sz="0" w:space="0" w:color="auto"/>
        <w:bottom w:val="none" w:sz="0" w:space="0" w:color="auto"/>
        <w:right w:val="none" w:sz="0" w:space="0" w:color="auto"/>
      </w:divBdr>
    </w:div>
    <w:div w:id="1425803170">
      <w:bodyDiv w:val="1"/>
      <w:marLeft w:val="0"/>
      <w:marRight w:val="0"/>
      <w:marTop w:val="0"/>
      <w:marBottom w:val="0"/>
      <w:divBdr>
        <w:top w:val="none" w:sz="0" w:space="0" w:color="auto"/>
        <w:left w:val="none" w:sz="0" w:space="0" w:color="auto"/>
        <w:bottom w:val="none" w:sz="0" w:space="0" w:color="auto"/>
        <w:right w:val="none" w:sz="0" w:space="0" w:color="auto"/>
      </w:divBdr>
    </w:div>
    <w:div w:id="1435595606">
      <w:bodyDiv w:val="1"/>
      <w:marLeft w:val="0"/>
      <w:marRight w:val="0"/>
      <w:marTop w:val="0"/>
      <w:marBottom w:val="0"/>
      <w:divBdr>
        <w:top w:val="none" w:sz="0" w:space="0" w:color="auto"/>
        <w:left w:val="none" w:sz="0" w:space="0" w:color="auto"/>
        <w:bottom w:val="none" w:sz="0" w:space="0" w:color="auto"/>
        <w:right w:val="none" w:sz="0" w:space="0" w:color="auto"/>
      </w:divBdr>
    </w:div>
    <w:div w:id="1437629640">
      <w:bodyDiv w:val="1"/>
      <w:marLeft w:val="0"/>
      <w:marRight w:val="0"/>
      <w:marTop w:val="0"/>
      <w:marBottom w:val="0"/>
      <w:divBdr>
        <w:top w:val="none" w:sz="0" w:space="0" w:color="auto"/>
        <w:left w:val="none" w:sz="0" w:space="0" w:color="auto"/>
        <w:bottom w:val="none" w:sz="0" w:space="0" w:color="auto"/>
        <w:right w:val="none" w:sz="0" w:space="0" w:color="auto"/>
      </w:divBdr>
    </w:div>
    <w:div w:id="1439640802">
      <w:bodyDiv w:val="1"/>
      <w:marLeft w:val="0"/>
      <w:marRight w:val="0"/>
      <w:marTop w:val="0"/>
      <w:marBottom w:val="0"/>
      <w:divBdr>
        <w:top w:val="none" w:sz="0" w:space="0" w:color="auto"/>
        <w:left w:val="none" w:sz="0" w:space="0" w:color="auto"/>
        <w:bottom w:val="none" w:sz="0" w:space="0" w:color="auto"/>
        <w:right w:val="none" w:sz="0" w:space="0" w:color="auto"/>
      </w:divBdr>
    </w:div>
    <w:div w:id="1448891193">
      <w:bodyDiv w:val="1"/>
      <w:marLeft w:val="0"/>
      <w:marRight w:val="0"/>
      <w:marTop w:val="0"/>
      <w:marBottom w:val="0"/>
      <w:divBdr>
        <w:top w:val="none" w:sz="0" w:space="0" w:color="auto"/>
        <w:left w:val="none" w:sz="0" w:space="0" w:color="auto"/>
        <w:bottom w:val="none" w:sz="0" w:space="0" w:color="auto"/>
        <w:right w:val="none" w:sz="0" w:space="0" w:color="auto"/>
      </w:divBdr>
    </w:div>
    <w:div w:id="1451902802">
      <w:bodyDiv w:val="1"/>
      <w:marLeft w:val="0"/>
      <w:marRight w:val="0"/>
      <w:marTop w:val="0"/>
      <w:marBottom w:val="0"/>
      <w:divBdr>
        <w:top w:val="none" w:sz="0" w:space="0" w:color="auto"/>
        <w:left w:val="none" w:sz="0" w:space="0" w:color="auto"/>
        <w:bottom w:val="none" w:sz="0" w:space="0" w:color="auto"/>
        <w:right w:val="none" w:sz="0" w:space="0" w:color="auto"/>
      </w:divBdr>
    </w:div>
    <w:div w:id="1466195634">
      <w:bodyDiv w:val="1"/>
      <w:marLeft w:val="0"/>
      <w:marRight w:val="0"/>
      <w:marTop w:val="0"/>
      <w:marBottom w:val="0"/>
      <w:divBdr>
        <w:top w:val="none" w:sz="0" w:space="0" w:color="auto"/>
        <w:left w:val="none" w:sz="0" w:space="0" w:color="auto"/>
        <w:bottom w:val="none" w:sz="0" w:space="0" w:color="auto"/>
        <w:right w:val="none" w:sz="0" w:space="0" w:color="auto"/>
      </w:divBdr>
    </w:div>
    <w:div w:id="1470049960">
      <w:bodyDiv w:val="1"/>
      <w:marLeft w:val="0"/>
      <w:marRight w:val="0"/>
      <w:marTop w:val="0"/>
      <w:marBottom w:val="0"/>
      <w:divBdr>
        <w:top w:val="none" w:sz="0" w:space="0" w:color="auto"/>
        <w:left w:val="none" w:sz="0" w:space="0" w:color="auto"/>
        <w:bottom w:val="none" w:sz="0" w:space="0" w:color="auto"/>
        <w:right w:val="none" w:sz="0" w:space="0" w:color="auto"/>
      </w:divBdr>
    </w:div>
    <w:div w:id="1471358515">
      <w:bodyDiv w:val="1"/>
      <w:marLeft w:val="0"/>
      <w:marRight w:val="0"/>
      <w:marTop w:val="0"/>
      <w:marBottom w:val="0"/>
      <w:divBdr>
        <w:top w:val="none" w:sz="0" w:space="0" w:color="auto"/>
        <w:left w:val="none" w:sz="0" w:space="0" w:color="auto"/>
        <w:bottom w:val="none" w:sz="0" w:space="0" w:color="auto"/>
        <w:right w:val="none" w:sz="0" w:space="0" w:color="auto"/>
      </w:divBdr>
    </w:div>
    <w:div w:id="1479297368">
      <w:bodyDiv w:val="1"/>
      <w:marLeft w:val="0"/>
      <w:marRight w:val="0"/>
      <w:marTop w:val="0"/>
      <w:marBottom w:val="0"/>
      <w:divBdr>
        <w:top w:val="none" w:sz="0" w:space="0" w:color="auto"/>
        <w:left w:val="none" w:sz="0" w:space="0" w:color="auto"/>
        <w:bottom w:val="none" w:sz="0" w:space="0" w:color="auto"/>
        <w:right w:val="none" w:sz="0" w:space="0" w:color="auto"/>
      </w:divBdr>
    </w:div>
    <w:div w:id="1484664590">
      <w:bodyDiv w:val="1"/>
      <w:marLeft w:val="0"/>
      <w:marRight w:val="0"/>
      <w:marTop w:val="0"/>
      <w:marBottom w:val="0"/>
      <w:divBdr>
        <w:top w:val="none" w:sz="0" w:space="0" w:color="auto"/>
        <w:left w:val="none" w:sz="0" w:space="0" w:color="auto"/>
        <w:bottom w:val="none" w:sz="0" w:space="0" w:color="auto"/>
        <w:right w:val="none" w:sz="0" w:space="0" w:color="auto"/>
      </w:divBdr>
    </w:div>
    <w:div w:id="1500533836">
      <w:bodyDiv w:val="1"/>
      <w:marLeft w:val="0"/>
      <w:marRight w:val="0"/>
      <w:marTop w:val="0"/>
      <w:marBottom w:val="0"/>
      <w:divBdr>
        <w:top w:val="none" w:sz="0" w:space="0" w:color="auto"/>
        <w:left w:val="none" w:sz="0" w:space="0" w:color="auto"/>
        <w:bottom w:val="none" w:sz="0" w:space="0" w:color="auto"/>
        <w:right w:val="none" w:sz="0" w:space="0" w:color="auto"/>
      </w:divBdr>
    </w:div>
    <w:div w:id="1504853408">
      <w:bodyDiv w:val="1"/>
      <w:marLeft w:val="0"/>
      <w:marRight w:val="0"/>
      <w:marTop w:val="0"/>
      <w:marBottom w:val="0"/>
      <w:divBdr>
        <w:top w:val="none" w:sz="0" w:space="0" w:color="auto"/>
        <w:left w:val="none" w:sz="0" w:space="0" w:color="auto"/>
        <w:bottom w:val="none" w:sz="0" w:space="0" w:color="auto"/>
        <w:right w:val="none" w:sz="0" w:space="0" w:color="auto"/>
      </w:divBdr>
    </w:div>
    <w:div w:id="1507985935">
      <w:bodyDiv w:val="1"/>
      <w:marLeft w:val="0"/>
      <w:marRight w:val="0"/>
      <w:marTop w:val="0"/>
      <w:marBottom w:val="0"/>
      <w:divBdr>
        <w:top w:val="none" w:sz="0" w:space="0" w:color="auto"/>
        <w:left w:val="none" w:sz="0" w:space="0" w:color="auto"/>
        <w:bottom w:val="none" w:sz="0" w:space="0" w:color="auto"/>
        <w:right w:val="none" w:sz="0" w:space="0" w:color="auto"/>
      </w:divBdr>
    </w:div>
    <w:div w:id="1508906968">
      <w:bodyDiv w:val="1"/>
      <w:marLeft w:val="0"/>
      <w:marRight w:val="0"/>
      <w:marTop w:val="0"/>
      <w:marBottom w:val="0"/>
      <w:divBdr>
        <w:top w:val="none" w:sz="0" w:space="0" w:color="auto"/>
        <w:left w:val="none" w:sz="0" w:space="0" w:color="auto"/>
        <w:bottom w:val="none" w:sz="0" w:space="0" w:color="auto"/>
        <w:right w:val="none" w:sz="0" w:space="0" w:color="auto"/>
      </w:divBdr>
    </w:div>
    <w:div w:id="1512601306">
      <w:bodyDiv w:val="1"/>
      <w:marLeft w:val="0"/>
      <w:marRight w:val="0"/>
      <w:marTop w:val="0"/>
      <w:marBottom w:val="0"/>
      <w:divBdr>
        <w:top w:val="none" w:sz="0" w:space="0" w:color="auto"/>
        <w:left w:val="none" w:sz="0" w:space="0" w:color="auto"/>
        <w:bottom w:val="none" w:sz="0" w:space="0" w:color="auto"/>
        <w:right w:val="none" w:sz="0" w:space="0" w:color="auto"/>
      </w:divBdr>
    </w:div>
    <w:div w:id="1519464295">
      <w:bodyDiv w:val="1"/>
      <w:marLeft w:val="0"/>
      <w:marRight w:val="0"/>
      <w:marTop w:val="0"/>
      <w:marBottom w:val="0"/>
      <w:divBdr>
        <w:top w:val="none" w:sz="0" w:space="0" w:color="auto"/>
        <w:left w:val="none" w:sz="0" w:space="0" w:color="auto"/>
        <w:bottom w:val="none" w:sz="0" w:space="0" w:color="auto"/>
        <w:right w:val="none" w:sz="0" w:space="0" w:color="auto"/>
      </w:divBdr>
    </w:div>
    <w:div w:id="1520049684">
      <w:bodyDiv w:val="1"/>
      <w:marLeft w:val="0"/>
      <w:marRight w:val="0"/>
      <w:marTop w:val="0"/>
      <w:marBottom w:val="0"/>
      <w:divBdr>
        <w:top w:val="none" w:sz="0" w:space="0" w:color="auto"/>
        <w:left w:val="none" w:sz="0" w:space="0" w:color="auto"/>
        <w:bottom w:val="none" w:sz="0" w:space="0" w:color="auto"/>
        <w:right w:val="none" w:sz="0" w:space="0" w:color="auto"/>
      </w:divBdr>
    </w:div>
    <w:div w:id="1522813966">
      <w:bodyDiv w:val="1"/>
      <w:marLeft w:val="0"/>
      <w:marRight w:val="0"/>
      <w:marTop w:val="0"/>
      <w:marBottom w:val="0"/>
      <w:divBdr>
        <w:top w:val="none" w:sz="0" w:space="0" w:color="auto"/>
        <w:left w:val="none" w:sz="0" w:space="0" w:color="auto"/>
        <w:bottom w:val="none" w:sz="0" w:space="0" w:color="auto"/>
        <w:right w:val="none" w:sz="0" w:space="0" w:color="auto"/>
      </w:divBdr>
    </w:div>
    <w:div w:id="1531869148">
      <w:bodyDiv w:val="1"/>
      <w:marLeft w:val="0"/>
      <w:marRight w:val="0"/>
      <w:marTop w:val="0"/>
      <w:marBottom w:val="0"/>
      <w:divBdr>
        <w:top w:val="none" w:sz="0" w:space="0" w:color="auto"/>
        <w:left w:val="none" w:sz="0" w:space="0" w:color="auto"/>
        <w:bottom w:val="none" w:sz="0" w:space="0" w:color="auto"/>
        <w:right w:val="none" w:sz="0" w:space="0" w:color="auto"/>
      </w:divBdr>
    </w:div>
    <w:div w:id="1533226260">
      <w:bodyDiv w:val="1"/>
      <w:marLeft w:val="0"/>
      <w:marRight w:val="0"/>
      <w:marTop w:val="0"/>
      <w:marBottom w:val="0"/>
      <w:divBdr>
        <w:top w:val="none" w:sz="0" w:space="0" w:color="auto"/>
        <w:left w:val="none" w:sz="0" w:space="0" w:color="auto"/>
        <w:bottom w:val="none" w:sz="0" w:space="0" w:color="auto"/>
        <w:right w:val="none" w:sz="0" w:space="0" w:color="auto"/>
      </w:divBdr>
    </w:div>
    <w:div w:id="1538935389">
      <w:bodyDiv w:val="1"/>
      <w:marLeft w:val="0"/>
      <w:marRight w:val="0"/>
      <w:marTop w:val="0"/>
      <w:marBottom w:val="0"/>
      <w:divBdr>
        <w:top w:val="none" w:sz="0" w:space="0" w:color="auto"/>
        <w:left w:val="none" w:sz="0" w:space="0" w:color="auto"/>
        <w:bottom w:val="none" w:sz="0" w:space="0" w:color="auto"/>
        <w:right w:val="none" w:sz="0" w:space="0" w:color="auto"/>
      </w:divBdr>
    </w:div>
    <w:div w:id="1544908397">
      <w:bodyDiv w:val="1"/>
      <w:marLeft w:val="0"/>
      <w:marRight w:val="0"/>
      <w:marTop w:val="0"/>
      <w:marBottom w:val="0"/>
      <w:divBdr>
        <w:top w:val="none" w:sz="0" w:space="0" w:color="auto"/>
        <w:left w:val="none" w:sz="0" w:space="0" w:color="auto"/>
        <w:bottom w:val="none" w:sz="0" w:space="0" w:color="auto"/>
        <w:right w:val="none" w:sz="0" w:space="0" w:color="auto"/>
      </w:divBdr>
    </w:div>
    <w:div w:id="1547060910">
      <w:bodyDiv w:val="1"/>
      <w:marLeft w:val="0"/>
      <w:marRight w:val="0"/>
      <w:marTop w:val="0"/>
      <w:marBottom w:val="0"/>
      <w:divBdr>
        <w:top w:val="none" w:sz="0" w:space="0" w:color="auto"/>
        <w:left w:val="none" w:sz="0" w:space="0" w:color="auto"/>
        <w:bottom w:val="none" w:sz="0" w:space="0" w:color="auto"/>
        <w:right w:val="none" w:sz="0" w:space="0" w:color="auto"/>
      </w:divBdr>
    </w:div>
    <w:div w:id="1550606301">
      <w:bodyDiv w:val="1"/>
      <w:marLeft w:val="0"/>
      <w:marRight w:val="0"/>
      <w:marTop w:val="0"/>
      <w:marBottom w:val="0"/>
      <w:divBdr>
        <w:top w:val="none" w:sz="0" w:space="0" w:color="auto"/>
        <w:left w:val="none" w:sz="0" w:space="0" w:color="auto"/>
        <w:bottom w:val="none" w:sz="0" w:space="0" w:color="auto"/>
        <w:right w:val="none" w:sz="0" w:space="0" w:color="auto"/>
      </w:divBdr>
    </w:div>
    <w:div w:id="1553806176">
      <w:bodyDiv w:val="1"/>
      <w:marLeft w:val="0"/>
      <w:marRight w:val="0"/>
      <w:marTop w:val="0"/>
      <w:marBottom w:val="0"/>
      <w:divBdr>
        <w:top w:val="none" w:sz="0" w:space="0" w:color="auto"/>
        <w:left w:val="none" w:sz="0" w:space="0" w:color="auto"/>
        <w:bottom w:val="none" w:sz="0" w:space="0" w:color="auto"/>
        <w:right w:val="none" w:sz="0" w:space="0" w:color="auto"/>
      </w:divBdr>
    </w:div>
    <w:div w:id="1582132650">
      <w:bodyDiv w:val="1"/>
      <w:marLeft w:val="0"/>
      <w:marRight w:val="0"/>
      <w:marTop w:val="0"/>
      <w:marBottom w:val="0"/>
      <w:divBdr>
        <w:top w:val="none" w:sz="0" w:space="0" w:color="auto"/>
        <w:left w:val="none" w:sz="0" w:space="0" w:color="auto"/>
        <w:bottom w:val="none" w:sz="0" w:space="0" w:color="auto"/>
        <w:right w:val="none" w:sz="0" w:space="0" w:color="auto"/>
      </w:divBdr>
    </w:div>
    <w:div w:id="1582569373">
      <w:bodyDiv w:val="1"/>
      <w:marLeft w:val="0"/>
      <w:marRight w:val="0"/>
      <w:marTop w:val="0"/>
      <w:marBottom w:val="0"/>
      <w:divBdr>
        <w:top w:val="none" w:sz="0" w:space="0" w:color="auto"/>
        <w:left w:val="none" w:sz="0" w:space="0" w:color="auto"/>
        <w:bottom w:val="none" w:sz="0" w:space="0" w:color="auto"/>
        <w:right w:val="none" w:sz="0" w:space="0" w:color="auto"/>
      </w:divBdr>
    </w:div>
    <w:div w:id="1592279825">
      <w:bodyDiv w:val="1"/>
      <w:marLeft w:val="0"/>
      <w:marRight w:val="0"/>
      <w:marTop w:val="0"/>
      <w:marBottom w:val="0"/>
      <w:divBdr>
        <w:top w:val="none" w:sz="0" w:space="0" w:color="auto"/>
        <w:left w:val="none" w:sz="0" w:space="0" w:color="auto"/>
        <w:bottom w:val="none" w:sz="0" w:space="0" w:color="auto"/>
        <w:right w:val="none" w:sz="0" w:space="0" w:color="auto"/>
      </w:divBdr>
    </w:div>
    <w:div w:id="1596747783">
      <w:bodyDiv w:val="1"/>
      <w:marLeft w:val="0"/>
      <w:marRight w:val="0"/>
      <w:marTop w:val="0"/>
      <w:marBottom w:val="0"/>
      <w:divBdr>
        <w:top w:val="none" w:sz="0" w:space="0" w:color="auto"/>
        <w:left w:val="none" w:sz="0" w:space="0" w:color="auto"/>
        <w:bottom w:val="none" w:sz="0" w:space="0" w:color="auto"/>
        <w:right w:val="none" w:sz="0" w:space="0" w:color="auto"/>
      </w:divBdr>
    </w:div>
    <w:div w:id="1598293054">
      <w:bodyDiv w:val="1"/>
      <w:marLeft w:val="0"/>
      <w:marRight w:val="0"/>
      <w:marTop w:val="0"/>
      <w:marBottom w:val="0"/>
      <w:divBdr>
        <w:top w:val="none" w:sz="0" w:space="0" w:color="auto"/>
        <w:left w:val="none" w:sz="0" w:space="0" w:color="auto"/>
        <w:bottom w:val="none" w:sz="0" w:space="0" w:color="auto"/>
        <w:right w:val="none" w:sz="0" w:space="0" w:color="auto"/>
      </w:divBdr>
    </w:div>
    <w:div w:id="1601141415">
      <w:bodyDiv w:val="1"/>
      <w:marLeft w:val="0"/>
      <w:marRight w:val="0"/>
      <w:marTop w:val="0"/>
      <w:marBottom w:val="0"/>
      <w:divBdr>
        <w:top w:val="none" w:sz="0" w:space="0" w:color="auto"/>
        <w:left w:val="none" w:sz="0" w:space="0" w:color="auto"/>
        <w:bottom w:val="none" w:sz="0" w:space="0" w:color="auto"/>
        <w:right w:val="none" w:sz="0" w:space="0" w:color="auto"/>
      </w:divBdr>
    </w:div>
    <w:div w:id="1605310302">
      <w:bodyDiv w:val="1"/>
      <w:marLeft w:val="0"/>
      <w:marRight w:val="0"/>
      <w:marTop w:val="0"/>
      <w:marBottom w:val="0"/>
      <w:divBdr>
        <w:top w:val="none" w:sz="0" w:space="0" w:color="auto"/>
        <w:left w:val="none" w:sz="0" w:space="0" w:color="auto"/>
        <w:bottom w:val="none" w:sz="0" w:space="0" w:color="auto"/>
        <w:right w:val="none" w:sz="0" w:space="0" w:color="auto"/>
      </w:divBdr>
    </w:div>
    <w:div w:id="1605649762">
      <w:bodyDiv w:val="1"/>
      <w:marLeft w:val="0"/>
      <w:marRight w:val="0"/>
      <w:marTop w:val="0"/>
      <w:marBottom w:val="0"/>
      <w:divBdr>
        <w:top w:val="none" w:sz="0" w:space="0" w:color="auto"/>
        <w:left w:val="none" w:sz="0" w:space="0" w:color="auto"/>
        <w:bottom w:val="none" w:sz="0" w:space="0" w:color="auto"/>
        <w:right w:val="none" w:sz="0" w:space="0" w:color="auto"/>
      </w:divBdr>
    </w:div>
    <w:div w:id="1607691572">
      <w:bodyDiv w:val="1"/>
      <w:marLeft w:val="0"/>
      <w:marRight w:val="0"/>
      <w:marTop w:val="0"/>
      <w:marBottom w:val="0"/>
      <w:divBdr>
        <w:top w:val="none" w:sz="0" w:space="0" w:color="auto"/>
        <w:left w:val="none" w:sz="0" w:space="0" w:color="auto"/>
        <w:bottom w:val="none" w:sz="0" w:space="0" w:color="auto"/>
        <w:right w:val="none" w:sz="0" w:space="0" w:color="auto"/>
      </w:divBdr>
    </w:div>
    <w:div w:id="1609973148">
      <w:bodyDiv w:val="1"/>
      <w:marLeft w:val="0"/>
      <w:marRight w:val="0"/>
      <w:marTop w:val="0"/>
      <w:marBottom w:val="0"/>
      <w:divBdr>
        <w:top w:val="none" w:sz="0" w:space="0" w:color="auto"/>
        <w:left w:val="none" w:sz="0" w:space="0" w:color="auto"/>
        <w:bottom w:val="none" w:sz="0" w:space="0" w:color="auto"/>
        <w:right w:val="none" w:sz="0" w:space="0" w:color="auto"/>
      </w:divBdr>
    </w:div>
    <w:div w:id="1619876566">
      <w:bodyDiv w:val="1"/>
      <w:marLeft w:val="0"/>
      <w:marRight w:val="0"/>
      <w:marTop w:val="0"/>
      <w:marBottom w:val="0"/>
      <w:divBdr>
        <w:top w:val="none" w:sz="0" w:space="0" w:color="auto"/>
        <w:left w:val="none" w:sz="0" w:space="0" w:color="auto"/>
        <w:bottom w:val="none" w:sz="0" w:space="0" w:color="auto"/>
        <w:right w:val="none" w:sz="0" w:space="0" w:color="auto"/>
      </w:divBdr>
    </w:div>
    <w:div w:id="1621717708">
      <w:bodyDiv w:val="1"/>
      <w:marLeft w:val="0"/>
      <w:marRight w:val="0"/>
      <w:marTop w:val="0"/>
      <w:marBottom w:val="0"/>
      <w:divBdr>
        <w:top w:val="none" w:sz="0" w:space="0" w:color="auto"/>
        <w:left w:val="none" w:sz="0" w:space="0" w:color="auto"/>
        <w:bottom w:val="none" w:sz="0" w:space="0" w:color="auto"/>
        <w:right w:val="none" w:sz="0" w:space="0" w:color="auto"/>
      </w:divBdr>
    </w:div>
    <w:div w:id="1635524014">
      <w:bodyDiv w:val="1"/>
      <w:marLeft w:val="0"/>
      <w:marRight w:val="0"/>
      <w:marTop w:val="0"/>
      <w:marBottom w:val="0"/>
      <w:divBdr>
        <w:top w:val="none" w:sz="0" w:space="0" w:color="auto"/>
        <w:left w:val="none" w:sz="0" w:space="0" w:color="auto"/>
        <w:bottom w:val="none" w:sz="0" w:space="0" w:color="auto"/>
        <w:right w:val="none" w:sz="0" w:space="0" w:color="auto"/>
      </w:divBdr>
    </w:div>
    <w:div w:id="1638098848">
      <w:bodyDiv w:val="1"/>
      <w:marLeft w:val="0"/>
      <w:marRight w:val="0"/>
      <w:marTop w:val="0"/>
      <w:marBottom w:val="0"/>
      <w:divBdr>
        <w:top w:val="none" w:sz="0" w:space="0" w:color="auto"/>
        <w:left w:val="none" w:sz="0" w:space="0" w:color="auto"/>
        <w:bottom w:val="none" w:sz="0" w:space="0" w:color="auto"/>
        <w:right w:val="none" w:sz="0" w:space="0" w:color="auto"/>
      </w:divBdr>
    </w:div>
    <w:div w:id="1642806481">
      <w:bodyDiv w:val="1"/>
      <w:marLeft w:val="0"/>
      <w:marRight w:val="0"/>
      <w:marTop w:val="0"/>
      <w:marBottom w:val="0"/>
      <w:divBdr>
        <w:top w:val="none" w:sz="0" w:space="0" w:color="auto"/>
        <w:left w:val="none" w:sz="0" w:space="0" w:color="auto"/>
        <w:bottom w:val="none" w:sz="0" w:space="0" w:color="auto"/>
        <w:right w:val="none" w:sz="0" w:space="0" w:color="auto"/>
      </w:divBdr>
    </w:div>
    <w:div w:id="1644457022">
      <w:bodyDiv w:val="1"/>
      <w:marLeft w:val="0"/>
      <w:marRight w:val="0"/>
      <w:marTop w:val="0"/>
      <w:marBottom w:val="0"/>
      <w:divBdr>
        <w:top w:val="none" w:sz="0" w:space="0" w:color="auto"/>
        <w:left w:val="none" w:sz="0" w:space="0" w:color="auto"/>
        <w:bottom w:val="none" w:sz="0" w:space="0" w:color="auto"/>
        <w:right w:val="none" w:sz="0" w:space="0" w:color="auto"/>
      </w:divBdr>
    </w:div>
    <w:div w:id="1650549804">
      <w:bodyDiv w:val="1"/>
      <w:marLeft w:val="0"/>
      <w:marRight w:val="0"/>
      <w:marTop w:val="0"/>
      <w:marBottom w:val="0"/>
      <w:divBdr>
        <w:top w:val="none" w:sz="0" w:space="0" w:color="auto"/>
        <w:left w:val="none" w:sz="0" w:space="0" w:color="auto"/>
        <w:bottom w:val="none" w:sz="0" w:space="0" w:color="auto"/>
        <w:right w:val="none" w:sz="0" w:space="0" w:color="auto"/>
      </w:divBdr>
    </w:div>
    <w:div w:id="1652101181">
      <w:bodyDiv w:val="1"/>
      <w:marLeft w:val="0"/>
      <w:marRight w:val="0"/>
      <w:marTop w:val="0"/>
      <w:marBottom w:val="0"/>
      <w:divBdr>
        <w:top w:val="none" w:sz="0" w:space="0" w:color="auto"/>
        <w:left w:val="none" w:sz="0" w:space="0" w:color="auto"/>
        <w:bottom w:val="none" w:sz="0" w:space="0" w:color="auto"/>
        <w:right w:val="none" w:sz="0" w:space="0" w:color="auto"/>
      </w:divBdr>
    </w:div>
    <w:div w:id="1653295698">
      <w:bodyDiv w:val="1"/>
      <w:marLeft w:val="0"/>
      <w:marRight w:val="0"/>
      <w:marTop w:val="0"/>
      <w:marBottom w:val="0"/>
      <w:divBdr>
        <w:top w:val="none" w:sz="0" w:space="0" w:color="auto"/>
        <w:left w:val="none" w:sz="0" w:space="0" w:color="auto"/>
        <w:bottom w:val="none" w:sz="0" w:space="0" w:color="auto"/>
        <w:right w:val="none" w:sz="0" w:space="0" w:color="auto"/>
      </w:divBdr>
    </w:div>
    <w:div w:id="1658457218">
      <w:bodyDiv w:val="1"/>
      <w:marLeft w:val="0"/>
      <w:marRight w:val="0"/>
      <w:marTop w:val="0"/>
      <w:marBottom w:val="0"/>
      <w:divBdr>
        <w:top w:val="none" w:sz="0" w:space="0" w:color="auto"/>
        <w:left w:val="none" w:sz="0" w:space="0" w:color="auto"/>
        <w:bottom w:val="none" w:sz="0" w:space="0" w:color="auto"/>
        <w:right w:val="none" w:sz="0" w:space="0" w:color="auto"/>
      </w:divBdr>
    </w:div>
    <w:div w:id="1665932777">
      <w:bodyDiv w:val="1"/>
      <w:marLeft w:val="0"/>
      <w:marRight w:val="0"/>
      <w:marTop w:val="0"/>
      <w:marBottom w:val="0"/>
      <w:divBdr>
        <w:top w:val="none" w:sz="0" w:space="0" w:color="auto"/>
        <w:left w:val="none" w:sz="0" w:space="0" w:color="auto"/>
        <w:bottom w:val="none" w:sz="0" w:space="0" w:color="auto"/>
        <w:right w:val="none" w:sz="0" w:space="0" w:color="auto"/>
      </w:divBdr>
    </w:div>
    <w:div w:id="1672489582">
      <w:bodyDiv w:val="1"/>
      <w:marLeft w:val="0"/>
      <w:marRight w:val="0"/>
      <w:marTop w:val="0"/>
      <w:marBottom w:val="0"/>
      <w:divBdr>
        <w:top w:val="none" w:sz="0" w:space="0" w:color="auto"/>
        <w:left w:val="none" w:sz="0" w:space="0" w:color="auto"/>
        <w:bottom w:val="none" w:sz="0" w:space="0" w:color="auto"/>
        <w:right w:val="none" w:sz="0" w:space="0" w:color="auto"/>
      </w:divBdr>
    </w:div>
    <w:div w:id="1676228391">
      <w:bodyDiv w:val="1"/>
      <w:marLeft w:val="0"/>
      <w:marRight w:val="0"/>
      <w:marTop w:val="0"/>
      <w:marBottom w:val="0"/>
      <w:divBdr>
        <w:top w:val="none" w:sz="0" w:space="0" w:color="auto"/>
        <w:left w:val="none" w:sz="0" w:space="0" w:color="auto"/>
        <w:bottom w:val="none" w:sz="0" w:space="0" w:color="auto"/>
        <w:right w:val="none" w:sz="0" w:space="0" w:color="auto"/>
      </w:divBdr>
    </w:div>
    <w:div w:id="1682312002">
      <w:bodyDiv w:val="1"/>
      <w:marLeft w:val="0"/>
      <w:marRight w:val="0"/>
      <w:marTop w:val="0"/>
      <w:marBottom w:val="0"/>
      <w:divBdr>
        <w:top w:val="none" w:sz="0" w:space="0" w:color="auto"/>
        <w:left w:val="none" w:sz="0" w:space="0" w:color="auto"/>
        <w:bottom w:val="none" w:sz="0" w:space="0" w:color="auto"/>
        <w:right w:val="none" w:sz="0" w:space="0" w:color="auto"/>
      </w:divBdr>
    </w:div>
    <w:div w:id="1683898703">
      <w:bodyDiv w:val="1"/>
      <w:marLeft w:val="0"/>
      <w:marRight w:val="0"/>
      <w:marTop w:val="0"/>
      <w:marBottom w:val="0"/>
      <w:divBdr>
        <w:top w:val="none" w:sz="0" w:space="0" w:color="auto"/>
        <w:left w:val="none" w:sz="0" w:space="0" w:color="auto"/>
        <w:bottom w:val="none" w:sz="0" w:space="0" w:color="auto"/>
        <w:right w:val="none" w:sz="0" w:space="0" w:color="auto"/>
      </w:divBdr>
    </w:div>
    <w:div w:id="1688092862">
      <w:bodyDiv w:val="1"/>
      <w:marLeft w:val="0"/>
      <w:marRight w:val="0"/>
      <w:marTop w:val="0"/>
      <w:marBottom w:val="0"/>
      <w:divBdr>
        <w:top w:val="none" w:sz="0" w:space="0" w:color="auto"/>
        <w:left w:val="none" w:sz="0" w:space="0" w:color="auto"/>
        <w:bottom w:val="none" w:sz="0" w:space="0" w:color="auto"/>
        <w:right w:val="none" w:sz="0" w:space="0" w:color="auto"/>
      </w:divBdr>
    </w:div>
    <w:div w:id="1699696829">
      <w:bodyDiv w:val="1"/>
      <w:marLeft w:val="0"/>
      <w:marRight w:val="0"/>
      <w:marTop w:val="0"/>
      <w:marBottom w:val="0"/>
      <w:divBdr>
        <w:top w:val="none" w:sz="0" w:space="0" w:color="auto"/>
        <w:left w:val="none" w:sz="0" w:space="0" w:color="auto"/>
        <w:bottom w:val="none" w:sz="0" w:space="0" w:color="auto"/>
        <w:right w:val="none" w:sz="0" w:space="0" w:color="auto"/>
      </w:divBdr>
    </w:div>
    <w:div w:id="1700936797">
      <w:bodyDiv w:val="1"/>
      <w:marLeft w:val="0"/>
      <w:marRight w:val="0"/>
      <w:marTop w:val="0"/>
      <w:marBottom w:val="0"/>
      <w:divBdr>
        <w:top w:val="none" w:sz="0" w:space="0" w:color="auto"/>
        <w:left w:val="none" w:sz="0" w:space="0" w:color="auto"/>
        <w:bottom w:val="none" w:sz="0" w:space="0" w:color="auto"/>
        <w:right w:val="none" w:sz="0" w:space="0" w:color="auto"/>
      </w:divBdr>
    </w:div>
    <w:div w:id="1702778381">
      <w:bodyDiv w:val="1"/>
      <w:marLeft w:val="0"/>
      <w:marRight w:val="0"/>
      <w:marTop w:val="0"/>
      <w:marBottom w:val="0"/>
      <w:divBdr>
        <w:top w:val="none" w:sz="0" w:space="0" w:color="auto"/>
        <w:left w:val="none" w:sz="0" w:space="0" w:color="auto"/>
        <w:bottom w:val="none" w:sz="0" w:space="0" w:color="auto"/>
        <w:right w:val="none" w:sz="0" w:space="0" w:color="auto"/>
      </w:divBdr>
    </w:div>
    <w:div w:id="1703626621">
      <w:bodyDiv w:val="1"/>
      <w:marLeft w:val="0"/>
      <w:marRight w:val="0"/>
      <w:marTop w:val="0"/>
      <w:marBottom w:val="0"/>
      <w:divBdr>
        <w:top w:val="none" w:sz="0" w:space="0" w:color="auto"/>
        <w:left w:val="none" w:sz="0" w:space="0" w:color="auto"/>
        <w:bottom w:val="none" w:sz="0" w:space="0" w:color="auto"/>
        <w:right w:val="none" w:sz="0" w:space="0" w:color="auto"/>
      </w:divBdr>
    </w:div>
    <w:div w:id="1705516675">
      <w:bodyDiv w:val="1"/>
      <w:marLeft w:val="0"/>
      <w:marRight w:val="0"/>
      <w:marTop w:val="0"/>
      <w:marBottom w:val="0"/>
      <w:divBdr>
        <w:top w:val="none" w:sz="0" w:space="0" w:color="auto"/>
        <w:left w:val="none" w:sz="0" w:space="0" w:color="auto"/>
        <w:bottom w:val="none" w:sz="0" w:space="0" w:color="auto"/>
        <w:right w:val="none" w:sz="0" w:space="0" w:color="auto"/>
      </w:divBdr>
    </w:div>
    <w:div w:id="1708800222">
      <w:bodyDiv w:val="1"/>
      <w:marLeft w:val="0"/>
      <w:marRight w:val="0"/>
      <w:marTop w:val="0"/>
      <w:marBottom w:val="0"/>
      <w:divBdr>
        <w:top w:val="none" w:sz="0" w:space="0" w:color="auto"/>
        <w:left w:val="none" w:sz="0" w:space="0" w:color="auto"/>
        <w:bottom w:val="none" w:sz="0" w:space="0" w:color="auto"/>
        <w:right w:val="none" w:sz="0" w:space="0" w:color="auto"/>
      </w:divBdr>
    </w:div>
    <w:div w:id="1712536644">
      <w:bodyDiv w:val="1"/>
      <w:marLeft w:val="0"/>
      <w:marRight w:val="0"/>
      <w:marTop w:val="0"/>
      <w:marBottom w:val="0"/>
      <w:divBdr>
        <w:top w:val="none" w:sz="0" w:space="0" w:color="auto"/>
        <w:left w:val="none" w:sz="0" w:space="0" w:color="auto"/>
        <w:bottom w:val="none" w:sz="0" w:space="0" w:color="auto"/>
        <w:right w:val="none" w:sz="0" w:space="0" w:color="auto"/>
      </w:divBdr>
    </w:div>
    <w:div w:id="1712995303">
      <w:bodyDiv w:val="1"/>
      <w:marLeft w:val="0"/>
      <w:marRight w:val="0"/>
      <w:marTop w:val="0"/>
      <w:marBottom w:val="0"/>
      <w:divBdr>
        <w:top w:val="none" w:sz="0" w:space="0" w:color="auto"/>
        <w:left w:val="none" w:sz="0" w:space="0" w:color="auto"/>
        <w:bottom w:val="none" w:sz="0" w:space="0" w:color="auto"/>
        <w:right w:val="none" w:sz="0" w:space="0" w:color="auto"/>
      </w:divBdr>
    </w:div>
    <w:div w:id="1725518896">
      <w:bodyDiv w:val="1"/>
      <w:marLeft w:val="0"/>
      <w:marRight w:val="0"/>
      <w:marTop w:val="0"/>
      <w:marBottom w:val="0"/>
      <w:divBdr>
        <w:top w:val="none" w:sz="0" w:space="0" w:color="auto"/>
        <w:left w:val="none" w:sz="0" w:space="0" w:color="auto"/>
        <w:bottom w:val="none" w:sz="0" w:space="0" w:color="auto"/>
        <w:right w:val="none" w:sz="0" w:space="0" w:color="auto"/>
      </w:divBdr>
    </w:div>
    <w:div w:id="1731539871">
      <w:bodyDiv w:val="1"/>
      <w:marLeft w:val="0"/>
      <w:marRight w:val="0"/>
      <w:marTop w:val="0"/>
      <w:marBottom w:val="0"/>
      <w:divBdr>
        <w:top w:val="none" w:sz="0" w:space="0" w:color="auto"/>
        <w:left w:val="none" w:sz="0" w:space="0" w:color="auto"/>
        <w:bottom w:val="none" w:sz="0" w:space="0" w:color="auto"/>
        <w:right w:val="none" w:sz="0" w:space="0" w:color="auto"/>
      </w:divBdr>
    </w:div>
    <w:div w:id="1734700018">
      <w:bodyDiv w:val="1"/>
      <w:marLeft w:val="0"/>
      <w:marRight w:val="0"/>
      <w:marTop w:val="0"/>
      <w:marBottom w:val="0"/>
      <w:divBdr>
        <w:top w:val="none" w:sz="0" w:space="0" w:color="auto"/>
        <w:left w:val="none" w:sz="0" w:space="0" w:color="auto"/>
        <w:bottom w:val="none" w:sz="0" w:space="0" w:color="auto"/>
        <w:right w:val="none" w:sz="0" w:space="0" w:color="auto"/>
      </w:divBdr>
    </w:div>
    <w:div w:id="1739012601">
      <w:bodyDiv w:val="1"/>
      <w:marLeft w:val="0"/>
      <w:marRight w:val="0"/>
      <w:marTop w:val="0"/>
      <w:marBottom w:val="0"/>
      <w:divBdr>
        <w:top w:val="none" w:sz="0" w:space="0" w:color="auto"/>
        <w:left w:val="none" w:sz="0" w:space="0" w:color="auto"/>
        <w:bottom w:val="none" w:sz="0" w:space="0" w:color="auto"/>
        <w:right w:val="none" w:sz="0" w:space="0" w:color="auto"/>
      </w:divBdr>
    </w:div>
    <w:div w:id="1740666822">
      <w:bodyDiv w:val="1"/>
      <w:marLeft w:val="0"/>
      <w:marRight w:val="0"/>
      <w:marTop w:val="0"/>
      <w:marBottom w:val="0"/>
      <w:divBdr>
        <w:top w:val="none" w:sz="0" w:space="0" w:color="auto"/>
        <w:left w:val="none" w:sz="0" w:space="0" w:color="auto"/>
        <w:bottom w:val="none" w:sz="0" w:space="0" w:color="auto"/>
        <w:right w:val="none" w:sz="0" w:space="0" w:color="auto"/>
      </w:divBdr>
    </w:div>
    <w:div w:id="1752584312">
      <w:bodyDiv w:val="1"/>
      <w:marLeft w:val="0"/>
      <w:marRight w:val="0"/>
      <w:marTop w:val="0"/>
      <w:marBottom w:val="0"/>
      <w:divBdr>
        <w:top w:val="none" w:sz="0" w:space="0" w:color="auto"/>
        <w:left w:val="none" w:sz="0" w:space="0" w:color="auto"/>
        <w:bottom w:val="none" w:sz="0" w:space="0" w:color="auto"/>
        <w:right w:val="none" w:sz="0" w:space="0" w:color="auto"/>
      </w:divBdr>
    </w:div>
    <w:div w:id="1755128156">
      <w:bodyDiv w:val="1"/>
      <w:marLeft w:val="0"/>
      <w:marRight w:val="0"/>
      <w:marTop w:val="0"/>
      <w:marBottom w:val="0"/>
      <w:divBdr>
        <w:top w:val="none" w:sz="0" w:space="0" w:color="auto"/>
        <w:left w:val="none" w:sz="0" w:space="0" w:color="auto"/>
        <w:bottom w:val="none" w:sz="0" w:space="0" w:color="auto"/>
        <w:right w:val="none" w:sz="0" w:space="0" w:color="auto"/>
      </w:divBdr>
    </w:div>
    <w:div w:id="1760560739">
      <w:bodyDiv w:val="1"/>
      <w:marLeft w:val="0"/>
      <w:marRight w:val="0"/>
      <w:marTop w:val="0"/>
      <w:marBottom w:val="0"/>
      <w:divBdr>
        <w:top w:val="none" w:sz="0" w:space="0" w:color="auto"/>
        <w:left w:val="none" w:sz="0" w:space="0" w:color="auto"/>
        <w:bottom w:val="none" w:sz="0" w:space="0" w:color="auto"/>
        <w:right w:val="none" w:sz="0" w:space="0" w:color="auto"/>
      </w:divBdr>
    </w:div>
    <w:div w:id="1761557668">
      <w:bodyDiv w:val="1"/>
      <w:marLeft w:val="0"/>
      <w:marRight w:val="0"/>
      <w:marTop w:val="0"/>
      <w:marBottom w:val="0"/>
      <w:divBdr>
        <w:top w:val="none" w:sz="0" w:space="0" w:color="auto"/>
        <w:left w:val="none" w:sz="0" w:space="0" w:color="auto"/>
        <w:bottom w:val="none" w:sz="0" w:space="0" w:color="auto"/>
        <w:right w:val="none" w:sz="0" w:space="0" w:color="auto"/>
      </w:divBdr>
    </w:div>
    <w:div w:id="1770659921">
      <w:bodyDiv w:val="1"/>
      <w:marLeft w:val="0"/>
      <w:marRight w:val="0"/>
      <w:marTop w:val="0"/>
      <w:marBottom w:val="0"/>
      <w:divBdr>
        <w:top w:val="none" w:sz="0" w:space="0" w:color="auto"/>
        <w:left w:val="none" w:sz="0" w:space="0" w:color="auto"/>
        <w:bottom w:val="none" w:sz="0" w:space="0" w:color="auto"/>
        <w:right w:val="none" w:sz="0" w:space="0" w:color="auto"/>
      </w:divBdr>
    </w:div>
    <w:div w:id="1772159153">
      <w:bodyDiv w:val="1"/>
      <w:marLeft w:val="0"/>
      <w:marRight w:val="0"/>
      <w:marTop w:val="0"/>
      <w:marBottom w:val="0"/>
      <w:divBdr>
        <w:top w:val="none" w:sz="0" w:space="0" w:color="auto"/>
        <w:left w:val="none" w:sz="0" w:space="0" w:color="auto"/>
        <w:bottom w:val="none" w:sz="0" w:space="0" w:color="auto"/>
        <w:right w:val="none" w:sz="0" w:space="0" w:color="auto"/>
      </w:divBdr>
    </w:div>
    <w:div w:id="1779451315">
      <w:bodyDiv w:val="1"/>
      <w:marLeft w:val="0"/>
      <w:marRight w:val="0"/>
      <w:marTop w:val="0"/>
      <w:marBottom w:val="0"/>
      <w:divBdr>
        <w:top w:val="none" w:sz="0" w:space="0" w:color="auto"/>
        <w:left w:val="none" w:sz="0" w:space="0" w:color="auto"/>
        <w:bottom w:val="none" w:sz="0" w:space="0" w:color="auto"/>
        <w:right w:val="none" w:sz="0" w:space="0" w:color="auto"/>
      </w:divBdr>
    </w:div>
    <w:div w:id="1779596395">
      <w:bodyDiv w:val="1"/>
      <w:marLeft w:val="0"/>
      <w:marRight w:val="0"/>
      <w:marTop w:val="0"/>
      <w:marBottom w:val="0"/>
      <w:divBdr>
        <w:top w:val="none" w:sz="0" w:space="0" w:color="auto"/>
        <w:left w:val="none" w:sz="0" w:space="0" w:color="auto"/>
        <w:bottom w:val="none" w:sz="0" w:space="0" w:color="auto"/>
        <w:right w:val="none" w:sz="0" w:space="0" w:color="auto"/>
      </w:divBdr>
    </w:div>
    <w:div w:id="1780569014">
      <w:bodyDiv w:val="1"/>
      <w:marLeft w:val="0"/>
      <w:marRight w:val="0"/>
      <w:marTop w:val="0"/>
      <w:marBottom w:val="0"/>
      <w:divBdr>
        <w:top w:val="none" w:sz="0" w:space="0" w:color="auto"/>
        <w:left w:val="none" w:sz="0" w:space="0" w:color="auto"/>
        <w:bottom w:val="none" w:sz="0" w:space="0" w:color="auto"/>
        <w:right w:val="none" w:sz="0" w:space="0" w:color="auto"/>
      </w:divBdr>
    </w:div>
    <w:div w:id="1784614729">
      <w:bodyDiv w:val="1"/>
      <w:marLeft w:val="0"/>
      <w:marRight w:val="0"/>
      <w:marTop w:val="0"/>
      <w:marBottom w:val="0"/>
      <w:divBdr>
        <w:top w:val="none" w:sz="0" w:space="0" w:color="auto"/>
        <w:left w:val="none" w:sz="0" w:space="0" w:color="auto"/>
        <w:bottom w:val="none" w:sz="0" w:space="0" w:color="auto"/>
        <w:right w:val="none" w:sz="0" w:space="0" w:color="auto"/>
      </w:divBdr>
    </w:div>
    <w:div w:id="1787580569">
      <w:bodyDiv w:val="1"/>
      <w:marLeft w:val="0"/>
      <w:marRight w:val="0"/>
      <w:marTop w:val="0"/>
      <w:marBottom w:val="0"/>
      <w:divBdr>
        <w:top w:val="none" w:sz="0" w:space="0" w:color="auto"/>
        <w:left w:val="none" w:sz="0" w:space="0" w:color="auto"/>
        <w:bottom w:val="none" w:sz="0" w:space="0" w:color="auto"/>
        <w:right w:val="none" w:sz="0" w:space="0" w:color="auto"/>
      </w:divBdr>
    </w:div>
    <w:div w:id="1787894179">
      <w:bodyDiv w:val="1"/>
      <w:marLeft w:val="0"/>
      <w:marRight w:val="0"/>
      <w:marTop w:val="0"/>
      <w:marBottom w:val="0"/>
      <w:divBdr>
        <w:top w:val="none" w:sz="0" w:space="0" w:color="auto"/>
        <w:left w:val="none" w:sz="0" w:space="0" w:color="auto"/>
        <w:bottom w:val="none" w:sz="0" w:space="0" w:color="auto"/>
        <w:right w:val="none" w:sz="0" w:space="0" w:color="auto"/>
      </w:divBdr>
    </w:div>
    <w:div w:id="1795832252">
      <w:bodyDiv w:val="1"/>
      <w:marLeft w:val="0"/>
      <w:marRight w:val="0"/>
      <w:marTop w:val="0"/>
      <w:marBottom w:val="0"/>
      <w:divBdr>
        <w:top w:val="none" w:sz="0" w:space="0" w:color="auto"/>
        <w:left w:val="none" w:sz="0" w:space="0" w:color="auto"/>
        <w:bottom w:val="none" w:sz="0" w:space="0" w:color="auto"/>
        <w:right w:val="none" w:sz="0" w:space="0" w:color="auto"/>
      </w:divBdr>
    </w:div>
    <w:div w:id="1796176421">
      <w:bodyDiv w:val="1"/>
      <w:marLeft w:val="0"/>
      <w:marRight w:val="0"/>
      <w:marTop w:val="0"/>
      <w:marBottom w:val="0"/>
      <w:divBdr>
        <w:top w:val="none" w:sz="0" w:space="0" w:color="auto"/>
        <w:left w:val="none" w:sz="0" w:space="0" w:color="auto"/>
        <w:bottom w:val="none" w:sz="0" w:space="0" w:color="auto"/>
        <w:right w:val="none" w:sz="0" w:space="0" w:color="auto"/>
      </w:divBdr>
    </w:div>
    <w:div w:id="1799492953">
      <w:bodyDiv w:val="1"/>
      <w:marLeft w:val="0"/>
      <w:marRight w:val="0"/>
      <w:marTop w:val="0"/>
      <w:marBottom w:val="0"/>
      <w:divBdr>
        <w:top w:val="none" w:sz="0" w:space="0" w:color="auto"/>
        <w:left w:val="none" w:sz="0" w:space="0" w:color="auto"/>
        <w:bottom w:val="none" w:sz="0" w:space="0" w:color="auto"/>
        <w:right w:val="none" w:sz="0" w:space="0" w:color="auto"/>
      </w:divBdr>
    </w:div>
    <w:div w:id="1802309746">
      <w:bodyDiv w:val="1"/>
      <w:marLeft w:val="0"/>
      <w:marRight w:val="0"/>
      <w:marTop w:val="0"/>
      <w:marBottom w:val="0"/>
      <w:divBdr>
        <w:top w:val="none" w:sz="0" w:space="0" w:color="auto"/>
        <w:left w:val="none" w:sz="0" w:space="0" w:color="auto"/>
        <w:bottom w:val="none" w:sz="0" w:space="0" w:color="auto"/>
        <w:right w:val="none" w:sz="0" w:space="0" w:color="auto"/>
      </w:divBdr>
    </w:div>
    <w:div w:id="1813717880">
      <w:bodyDiv w:val="1"/>
      <w:marLeft w:val="0"/>
      <w:marRight w:val="0"/>
      <w:marTop w:val="0"/>
      <w:marBottom w:val="0"/>
      <w:divBdr>
        <w:top w:val="none" w:sz="0" w:space="0" w:color="auto"/>
        <w:left w:val="none" w:sz="0" w:space="0" w:color="auto"/>
        <w:bottom w:val="none" w:sz="0" w:space="0" w:color="auto"/>
        <w:right w:val="none" w:sz="0" w:space="0" w:color="auto"/>
      </w:divBdr>
    </w:div>
    <w:div w:id="1814329079">
      <w:bodyDiv w:val="1"/>
      <w:marLeft w:val="0"/>
      <w:marRight w:val="0"/>
      <w:marTop w:val="0"/>
      <w:marBottom w:val="0"/>
      <w:divBdr>
        <w:top w:val="none" w:sz="0" w:space="0" w:color="auto"/>
        <w:left w:val="none" w:sz="0" w:space="0" w:color="auto"/>
        <w:bottom w:val="none" w:sz="0" w:space="0" w:color="auto"/>
        <w:right w:val="none" w:sz="0" w:space="0" w:color="auto"/>
      </w:divBdr>
    </w:div>
    <w:div w:id="1820414438">
      <w:bodyDiv w:val="1"/>
      <w:marLeft w:val="0"/>
      <w:marRight w:val="0"/>
      <w:marTop w:val="0"/>
      <w:marBottom w:val="0"/>
      <w:divBdr>
        <w:top w:val="none" w:sz="0" w:space="0" w:color="auto"/>
        <w:left w:val="none" w:sz="0" w:space="0" w:color="auto"/>
        <w:bottom w:val="none" w:sz="0" w:space="0" w:color="auto"/>
        <w:right w:val="none" w:sz="0" w:space="0" w:color="auto"/>
      </w:divBdr>
    </w:div>
    <w:div w:id="1821848103">
      <w:bodyDiv w:val="1"/>
      <w:marLeft w:val="0"/>
      <w:marRight w:val="0"/>
      <w:marTop w:val="0"/>
      <w:marBottom w:val="0"/>
      <w:divBdr>
        <w:top w:val="none" w:sz="0" w:space="0" w:color="auto"/>
        <w:left w:val="none" w:sz="0" w:space="0" w:color="auto"/>
        <w:bottom w:val="none" w:sz="0" w:space="0" w:color="auto"/>
        <w:right w:val="none" w:sz="0" w:space="0" w:color="auto"/>
      </w:divBdr>
    </w:div>
    <w:div w:id="1823157795">
      <w:bodyDiv w:val="1"/>
      <w:marLeft w:val="0"/>
      <w:marRight w:val="0"/>
      <w:marTop w:val="0"/>
      <w:marBottom w:val="0"/>
      <w:divBdr>
        <w:top w:val="none" w:sz="0" w:space="0" w:color="auto"/>
        <w:left w:val="none" w:sz="0" w:space="0" w:color="auto"/>
        <w:bottom w:val="none" w:sz="0" w:space="0" w:color="auto"/>
        <w:right w:val="none" w:sz="0" w:space="0" w:color="auto"/>
      </w:divBdr>
    </w:div>
    <w:div w:id="1823234543">
      <w:bodyDiv w:val="1"/>
      <w:marLeft w:val="0"/>
      <w:marRight w:val="0"/>
      <w:marTop w:val="0"/>
      <w:marBottom w:val="0"/>
      <w:divBdr>
        <w:top w:val="none" w:sz="0" w:space="0" w:color="auto"/>
        <w:left w:val="none" w:sz="0" w:space="0" w:color="auto"/>
        <w:bottom w:val="none" w:sz="0" w:space="0" w:color="auto"/>
        <w:right w:val="none" w:sz="0" w:space="0" w:color="auto"/>
      </w:divBdr>
    </w:div>
    <w:div w:id="1829519951">
      <w:bodyDiv w:val="1"/>
      <w:marLeft w:val="0"/>
      <w:marRight w:val="0"/>
      <w:marTop w:val="0"/>
      <w:marBottom w:val="0"/>
      <w:divBdr>
        <w:top w:val="none" w:sz="0" w:space="0" w:color="auto"/>
        <w:left w:val="none" w:sz="0" w:space="0" w:color="auto"/>
        <w:bottom w:val="none" w:sz="0" w:space="0" w:color="auto"/>
        <w:right w:val="none" w:sz="0" w:space="0" w:color="auto"/>
      </w:divBdr>
    </w:div>
    <w:div w:id="1843543756">
      <w:bodyDiv w:val="1"/>
      <w:marLeft w:val="0"/>
      <w:marRight w:val="0"/>
      <w:marTop w:val="0"/>
      <w:marBottom w:val="0"/>
      <w:divBdr>
        <w:top w:val="none" w:sz="0" w:space="0" w:color="auto"/>
        <w:left w:val="none" w:sz="0" w:space="0" w:color="auto"/>
        <w:bottom w:val="none" w:sz="0" w:space="0" w:color="auto"/>
        <w:right w:val="none" w:sz="0" w:space="0" w:color="auto"/>
      </w:divBdr>
    </w:div>
    <w:div w:id="1857428945">
      <w:bodyDiv w:val="1"/>
      <w:marLeft w:val="0"/>
      <w:marRight w:val="0"/>
      <w:marTop w:val="0"/>
      <w:marBottom w:val="0"/>
      <w:divBdr>
        <w:top w:val="none" w:sz="0" w:space="0" w:color="auto"/>
        <w:left w:val="none" w:sz="0" w:space="0" w:color="auto"/>
        <w:bottom w:val="none" w:sz="0" w:space="0" w:color="auto"/>
        <w:right w:val="none" w:sz="0" w:space="0" w:color="auto"/>
      </w:divBdr>
    </w:div>
    <w:div w:id="1858498246">
      <w:bodyDiv w:val="1"/>
      <w:marLeft w:val="0"/>
      <w:marRight w:val="0"/>
      <w:marTop w:val="0"/>
      <w:marBottom w:val="0"/>
      <w:divBdr>
        <w:top w:val="none" w:sz="0" w:space="0" w:color="auto"/>
        <w:left w:val="none" w:sz="0" w:space="0" w:color="auto"/>
        <w:bottom w:val="none" w:sz="0" w:space="0" w:color="auto"/>
        <w:right w:val="none" w:sz="0" w:space="0" w:color="auto"/>
      </w:divBdr>
    </w:div>
    <w:div w:id="1867403595">
      <w:bodyDiv w:val="1"/>
      <w:marLeft w:val="0"/>
      <w:marRight w:val="0"/>
      <w:marTop w:val="0"/>
      <w:marBottom w:val="0"/>
      <w:divBdr>
        <w:top w:val="none" w:sz="0" w:space="0" w:color="auto"/>
        <w:left w:val="none" w:sz="0" w:space="0" w:color="auto"/>
        <w:bottom w:val="none" w:sz="0" w:space="0" w:color="auto"/>
        <w:right w:val="none" w:sz="0" w:space="0" w:color="auto"/>
      </w:divBdr>
    </w:div>
    <w:div w:id="1868327513">
      <w:bodyDiv w:val="1"/>
      <w:marLeft w:val="0"/>
      <w:marRight w:val="0"/>
      <w:marTop w:val="0"/>
      <w:marBottom w:val="0"/>
      <w:divBdr>
        <w:top w:val="none" w:sz="0" w:space="0" w:color="auto"/>
        <w:left w:val="none" w:sz="0" w:space="0" w:color="auto"/>
        <w:bottom w:val="none" w:sz="0" w:space="0" w:color="auto"/>
        <w:right w:val="none" w:sz="0" w:space="0" w:color="auto"/>
      </w:divBdr>
    </w:div>
    <w:div w:id="1870795362">
      <w:bodyDiv w:val="1"/>
      <w:marLeft w:val="0"/>
      <w:marRight w:val="0"/>
      <w:marTop w:val="0"/>
      <w:marBottom w:val="0"/>
      <w:divBdr>
        <w:top w:val="none" w:sz="0" w:space="0" w:color="auto"/>
        <w:left w:val="none" w:sz="0" w:space="0" w:color="auto"/>
        <w:bottom w:val="none" w:sz="0" w:space="0" w:color="auto"/>
        <w:right w:val="none" w:sz="0" w:space="0" w:color="auto"/>
      </w:divBdr>
    </w:div>
    <w:div w:id="1878732719">
      <w:bodyDiv w:val="1"/>
      <w:marLeft w:val="0"/>
      <w:marRight w:val="0"/>
      <w:marTop w:val="0"/>
      <w:marBottom w:val="0"/>
      <w:divBdr>
        <w:top w:val="none" w:sz="0" w:space="0" w:color="auto"/>
        <w:left w:val="none" w:sz="0" w:space="0" w:color="auto"/>
        <w:bottom w:val="none" w:sz="0" w:space="0" w:color="auto"/>
        <w:right w:val="none" w:sz="0" w:space="0" w:color="auto"/>
      </w:divBdr>
    </w:div>
    <w:div w:id="1879855591">
      <w:bodyDiv w:val="1"/>
      <w:marLeft w:val="0"/>
      <w:marRight w:val="0"/>
      <w:marTop w:val="0"/>
      <w:marBottom w:val="0"/>
      <w:divBdr>
        <w:top w:val="none" w:sz="0" w:space="0" w:color="auto"/>
        <w:left w:val="none" w:sz="0" w:space="0" w:color="auto"/>
        <w:bottom w:val="none" w:sz="0" w:space="0" w:color="auto"/>
        <w:right w:val="none" w:sz="0" w:space="0" w:color="auto"/>
      </w:divBdr>
    </w:div>
    <w:div w:id="1880776305">
      <w:bodyDiv w:val="1"/>
      <w:marLeft w:val="0"/>
      <w:marRight w:val="0"/>
      <w:marTop w:val="0"/>
      <w:marBottom w:val="0"/>
      <w:divBdr>
        <w:top w:val="none" w:sz="0" w:space="0" w:color="auto"/>
        <w:left w:val="none" w:sz="0" w:space="0" w:color="auto"/>
        <w:bottom w:val="none" w:sz="0" w:space="0" w:color="auto"/>
        <w:right w:val="none" w:sz="0" w:space="0" w:color="auto"/>
      </w:divBdr>
    </w:div>
    <w:div w:id="1882086488">
      <w:bodyDiv w:val="1"/>
      <w:marLeft w:val="0"/>
      <w:marRight w:val="0"/>
      <w:marTop w:val="0"/>
      <w:marBottom w:val="0"/>
      <w:divBdr>
        <w:top w:val="none" w:sz="0" w:space="0" w:color="auto"/>
        <w:left w:val="none" w:sz="0" w:space="0" w:color="auto"/>
        <w:bottom w:val="none" w:sz="0" w:space="0" w:color="auto"/>
        <w:right w:val="none" w:sz="0" w:space="0" w:color="auto"/>
      </w:divBdr>
    </w:div>
    <w:div w:id="1897813299">
      <w:bodyDiv w:val="1"/>
      <w:marLeft w:val="0"/>
      <w:marRight w:val="0"/>
      <w:marTop w:val="0"/>
      <w:marBottom w:val="0"/>
      <w:divBdr>
        <w:top w:val="none" w:sz="0" w:space="0" w:color="auto"/>
        <w:left w:val="none" w:sz="0" w:space="0" w:color="auto"/>
        <w:bottom w:val="none" w:sz="0" w:space="0" w:color="auto"/>
        <w:right w:val="none" w:sz="0" w:space="0" w:color="auto"/>
      </w:divBdr>
    </w:div>
    <w:div w:id="1918054015">
      <w:bodyDiv w:val="1"/>
      <w:marLeft w:val="0"/>
      <w:marRight w:val="0"/>
      <w:marTop w:val="0"/>
      <w:marBottom w:val="0"/>
      <w:divBdr>
        <w:top w:val="none" w:sz="0" w:space="0" w:color="auto"/>
        <w:left w:val="none" w:sz="0" w:space="0" w:color="auto"/>
        <w:bottom w:val="none" w:sz="0" w:space="0" w:color="auto"/>
        <w:right w:val="none" w:sz="0" w:space="0" w:color="auto"/>
      </w:divBdr>
    </w:div>
    <w:div w:id="1920287778">
      <w:bodyDiv w:val="1"/>
      <w:marLeft w:val="0"/>
      <w:marRight w:val="0"/>
      <w:marTop w:val="0"/>
      <w:marBottom w:val="0"/>
      <w:divBdr>
        <w:top w:val="none" w:sz="0" w:space="0" w:color="auto"/>
        <w:left w:val="none" w:sz="0" w:space="0" w:color="auto"/>
        <w:bottom w:val="none" w:sz="0" w:space="0" w:color="auto"/>
        <w:right w:val="none" w:sz="0" w:space="0" w:color="auto"/>
      </w:divBdr>
    </w:div>
    <w:div w:id="1923028314">
      <w:bodyDiv w:val="1"/>
      <w:marLeft w:val="0"/>
      <w:marRight w:val="0"/>
      <w:marTop w:val="0"/>
      <w:marBottom w:val="0"/>
      <w:divBdr>
        <w:top w:val="none" w:sz="0" w:space="0" w:color="auto"/>
        <w:left w:val="none" w:sz="0" w:space="0" w:color="auto"/>
        <w:bottom w:val="none" w:sz="0" w:space="0" w:color="auto"/>
        <w:right w:val="none" w:sz="0" w:space="0" w:color="auto"/>
      </w:divBdr>
    </w:div>
    <w:div w:id="1935087071">
      <w:bodyDiv w:val="1"/>
      <w:marLeft w:val="0"/>
      <w:marRight w:val="0"/>
      <w:marTop w:val="0"/>
      <w:marBottom w:val="0"/>
      <w:divBdr>
        <w:top w:val="none" w:sz="0" w:space="0" w:color="auto"/>
        <w:left w:val="none" w:sz="0" w:space="0" w:color="auto"/>
        <w:bottom w:val="none" w:sz="0" w:space="0" w:color="auto"/>
        <w:right w:val="none" w:sz="0" w:space="0" w:color="auto"/>
      </w:divBdr>
    </w:div>
    <w:div w:id="1940331771">
      <w:bodyDiv w:val="1"/>
      <w:marLeft w:val="0"/>
      <w:marRight w:val="0"/>
      <w:marTop w:val="0"/>
      <w:marBottom w:val="0"/>
      <w:divBdr>
        <w:top w:val="none" w:sz="0" w:space="0" w:color="auto"/>
        <w:left w:val="none" w:sz="0" w:space="0" w:color="auto"/>
        <w:bottom w:val="none" w:sz="0" w:space="0" w:color="auto"/>
        <w:right w:val="none" w:sz="0" w:space="0" w:color="auto"/>
      </w:divBdr>
    </w:div>
    <w:div w:id="1960867174">
      <w:bodyDiv w:val="1"/>
      <w:marLeft w:val="0"/>
      <w:marRight w:val="0"/>
      <w:marTop w:val="0"/>
      <w:marBottom w:val="0"/>
      <w:divBdr>
        <w:top w:val="none" w:sz="0" w:space="0" w:color="auto"/>
        <w:left w:val="none" w:sz="0" w:space="0" w:color="auto"/>
        <w:bottom w:val="none" w:sz="0" w:space="0" w:color="auto"/>
        <w:right w:val="none" w:sz="0" w:space="0" w:color="auto"/>
      </w:divBdr>
    </w:div>
    <w:div w:id="1962764529">
      <w:bodyDiv w:val="1"/>
      <w:marLeft w:val="0"/>
      <w:marRight w:val="0"/>
      <w:marTop w:val="0"/>
      <w:marBottom w:val="0"/>
      <w:divBdr>
        <w:top w:val="none" w:sz="0" w:space="0" w:color="auto"/>
        <w:left w:val="none" w:sz="0" w:space="0" w:color="auto"/>
        <w:bottom w:val="none" w:sz="0" w:space="0" w:color="auto"/>
        <w:right w:val="none" w:sz="0" w:space="0" w:color="auto"/>
      </w:divBdr>
    </w:div>
    <w:div w:id="2000573804">
      <w:bodyDiv w:val="1"/>
      <w:marLeft w:val="0"/>
      <w:marRight w:val="0"/>
      <w:marTop w:val="0"/>
      <w:marBottom w:val="0"/>
      <w:divBdr>
        <w:top w:val="none" w:sz="0" w:space="0" w:color="auto"/>
        <w:left w:val="none" w:sz="0" w:space="0" w:color="auto"/>
        <w:bottom w:val="none" w:sz="0" w:space="0" w:color="auto"/>
        <w:right w:val="none" w:sz="0" w:space="0" w:color="auto"/>
      </w:divBdr>
    </w:div>
    <w:div w:id="2005425119">
      <w:bodyDiv w:val="1"/>
      <w:marLeft w:val="0"/>
      <w:marRight w:val="0"/>
      <w:marTop w:val="0"/>
      <w:marBottom w:val="0"/>
      <w:divBdr>
        <w:top w:val="none" w:sz="0" w:space="0" w:color="auto"/>
        <w:left w:val="none" w:sz="0" w:space="0" w:color="auto"/>
        <w:bottom w:val="none" w:sz="0" w:space="0" w:color="auto"/>
        <w:right w:val="none" w:sz="0" w:space="0" w:color="auto"/>
      </w:divBdr>
    </w:div>
    <w:div w:id="2015372059">
      <w:bodyDiv w:val="1"/>
      <w:marLeft w:val="0"/>
      <w:marRight w:val="0"/>
      <w:marTop w:val="0"/>
      <w:marBottom w:val="0"/>
      <w:divBdr>
        <w:top w:val="none" w:sz="0" w:space="0" w:color="auto"/>
        <w:left w:val="none" w:sz="0" w:space="0" w:color="auto"/>
        <w:bottom w:val="none" w:sz="0" w:space="0" w:color="auto"/>
        <w:right w:val="none" w:sz="0" w:space="0" w:color="auto"/>
      </w:divBdr>
    </w:div>
    <w:div w:id="2015985598">
      <w:bodyDiv w:val="1"/>
      <w:marLeft w:val="0"/>
      <w:marRight w:val="0"/>
      <w:marTop w:val="0"/>
      <w:marBottom w:val="0"/>
      <w:divBdr>
        <w:top w:val="none" w:sz="0" w:space="0" w:color="auto"/>
        <w:left w:val="none" w:sz="0" w:space="0" w:color="auto"/>
        <w:bottom w:val="none" w:sz="0" w:space="0" w:color="auto"/>
        <w:right w:val="none" w:sz="0" w:space="0" w:color="auto"/>
      </w:divBdr>
    </w:div>
    <w:div w:id="2016372827">
      <w:bodyDiv w:val="1"/>
      <w:marLeft w:val="0"/>
      <w:marRight w:val="0"/>
      <w:marTop w:val="0"/>
      <w:marBottom w:val="0"/>
      <w:divBdr>
        <w:top w:val="none" w:sz="0" w:space="0" w:color="auto"/>
        <w:left w:val="none" w:sz="0" w:space="0" w:color="auto"/>
        <w:bottom w:val="none" w:sz="0" w:space="0" w:color="auto"/>
        <w:right w:val="none" w:sz="0" w:space="0" w:color="auto"/>
      </w:divBdr>
    </w:div>
    <w:div w:id="2026713193">
      <w:bodyDiv w:val="1"/>
      <w:marLeft w:val="0"/>
      <w:marRight w:val="0"/>
      <w:marTop w:val="0"/>
      <w:marBottom w:val="0"/>
      <w:divBdr>
        <w:top w:val="none" w:sz="0" w:space="0" w:color="auto"/>
        <w:left w:val="none" w:sz="0" w:space="0" w:color="auto"/>
        <w:bottom w:val="none" w:sz="0" w:space="0" w:color="auto"/>
        <w:right w:val="none" w:sz="0" w:space="0" w:color="auto"/>
      </w:divBdr>
    </w:div>
    <w:div w:id="2030907123">
      <w:bodyDiv w:val="1"/>
      <w:marLeft w:val="0"/>
      <w:marRight w:val="0"/>
      <w:marTop w:val="0"/>
      <w:marBottom w:val="0"/>
      <w:divBdr>
        <w:top w:val="none" w:sz="0" w:space="0" w:color="auto"/>
        <w:left w:val="none" w:sz="0" w:space="0" w:color="auto"/>
        <w:bottom w:val="none" w:sz="0" w:space="0" w:color="auto"/>
        <w:right w:val="none" w:sz="0" w:space="0" w:color="auto"/>
      </w:divBdr>
    </w:div>
    <w:div w:id="2033259263">
      <w:bodyDiv w:val="1"/>
      <w:marLeft w:val="0"/>
      <w:marRight w:val="0"/>
      <w:marTop w:val="0"/>
      <w:marBottom w:val="0"/>
      <w:divBdr>
        <w:top w:val="none" w:sz="0" w:space="0" w:color="auto"/>
        <w:left w:val="none" w:sz="0" w:space="0" w:color="auto"/>
        <w:bottom w:val="none" w:sz="0" w:space="0" w:color="auto"/>
        <w:right w:val="none" w:sz="0" w:space="0" w:color="auto"/>
      </w:divBdr>
    </w:div>
    <w:div w:id="2035032329">
      <w:bodyDiv w:val="1"/>
      <w:marLeft w:val="0"/>
      <w:marRight w:val="0"/>
      <w:marTop w:val="0"/>
      <w:marBottom w:val="0"/>
      <w:divBdr>
        <w:top w:val="none" w:sz="0" w:space="0" w:color="auto"/>
        <w:left w:val="none" w:sz="0" w:space="0" w:color="auto"/>
        <w:bottom w:val="none" w:sz="0" w:space="0" w:color="auto"/>
        <w:right w:val="none" w:sz="0" w:space="0" w:color="auto"/>
      </w:divBdr>
    </w:div>
    <w:div w:id="2052486779">
      <w:bodyDiv w:val="1"/>
      <w:marLeft w:val="0"/>
      <w:marRight w:val="0"/>
      <w:marTop w:val="0"/>
      <w:marBottom w:val="0"/>
      <w:divBdr>
        <w:top w:val="none" w:sz="0" w:space="0" w:color="auto"/>
        <w:left w:val="none" w:sz="0" w:space="0" w:color="auto"/>
        <w:bottom w:val="none" w:sz="0" w:space="0" w:color="auto"/>
        <w:right w:val="none" w:sz="0" w:space="0" w:color="auto"/>
      </w:divBdr>
    </w:div>
    <w:div w:id="2060783685">
      <w:bodyDiv w:val="1"/>
      <w:marLeft w:val="0"/>
      <w:marRight w:val="0"/>
      <w:marTop w:val="0"/>
      <w:marBottom w:val="0"/>
      <w:divBdr>
        <w:top w:val="none" w:sz="0" w:space="0" w:color="auto"/>
        <w:left w:val="none" w:sz="0" w:space="0" w:color="auto"/>
        <w:bottom w:val="none" w:sz="0" w:space="0" w:color="auto"/>
        <w:right w:val="none" w:sz="0" w:space="0" w:color="auto"/>
      </w:divBdr>
    </w:div>
    <w:div w:id="2061594239">
      <w:bodyDiv w:val="1"/>
      <w:marLeft w:val="0"/>
      <w:marRight w:val="0"/>
      <w:marTop w:val="0"/>
      <w:marBottom w:val="0"/>
      <w:divBdr>
        <w:top w:val="none" w:sz="0" w:space="0" w:color="auto"/>
        <w:left w:val="none" w:sz="0" w:space="0" w:color="auto"/>
        <w:bottom w:val="none" w:sz="0" w:space="0" w:color="auto"/>
        <w:right w:val="none" w:sz="0" w:space="0" w:color="auto"/>
      </w:divBdr>
    </w:div>
    <w:div w:id="2062946997">
      <w:bodyDiv w:val="1"/>
      <w:marLeft w:val="0"/>
      <w:marRight w:val="0"/>
      <w:marTop w:val="0"/>
      <w:marBottom w:val="0"/>
      <w:divBdr>
        <w:top w:val="none" w:sz="0" w:space="0" w:color="auto"/>
        <w:left w:val="none" w:sz="0" w:space="0" w:color="auto"/>
        <w:bottom w:val="none" w:sz="0" w:space="0" w:color="auto"/>
        <w:right w:val="none" w:sz="0" w:space="0" w:color="auto"/>
      </w:divBdr>
    </w:div>
    <w:div w:id="2065136196">
      <w:bodyDiv w:val="1"/>
      <w:marLeft w:val="0"/>
      <w:marRight w:val="0"/>
      <w:marTop w:val="0"/>
      <w:marBottom w:val="0"/>
      <w:divBdr>
        <w:top w:val="none" w:sz="0" w:space="0" w:color="auto"/>
        <w:left w:val="none" w:sz="0" w:space="0" w:color="auto"/>
        <w:bottom w:val="none" w:sz="0" w:space="0" w:color="auto"/>
        <w:right w:val="none" w:sz="0" w:space="0" w:color="auto"/>
      </w:divBdr>
    </w:div>
    <w:div w:id="2067146697">
      <w:bodyDiv w:val="1"/>
      <w:marLeft w:val="0"/>
      <w:marRight w:val="0"/>
      <w:marTop w:val="0"/>
      <w:marBottom w:val="0"/>
      <w:divBdr>
        <w:top w:val="none" w:sz="0" w:space="0" w:color="auto"/>
        <w:left w:val="none" w:sz="0" w:space="0" w:color="auto"/>
        <w:bottom w:val="none" w:sz="0" w:space="0" w:color="auto"/>
        <w:right w:val="none" w:sz="0" w:space="0" w:color="auto"/>
      </w:divBdr>
    </w:div>
    <w:div w:id="2078282958">
      <w:bodyDiv w:val="1"/>
      <w:marLeft w:val="0"/>
      <w:marRight w:val="0"/>
      <w:marTop w:val="0"/>
      <w:marBottom w:val="0"/>
      <w:divBdr>
        <w:top w:val="none" w:sz="0" w:space="0" w:color="auto"/>
        <w:left w:val="none" w:sz="0" w:space="0" w:color="auto"/>
        <w:bottom w:val="none" w:sz="0" w:space="0" w:color="auto"/>
        <w:right w:val="none" w:sz="0" w:space="0" w:color="auto"/>
      </w:divBdr>
    </w:div>
    <w:div w:id="2079785439">
      <w:bodyDiv w:val="1"/>
      <w:marLeft w:val="0"/>
      <w:marRight w:val="0"/>
      <w:marTop w:val="0"/>
      <w:marBottom w:val="0"/>
      <w:divBdr>
        <w:top w:val="none" w:sz="0" w:space="0" w:color="auto"/>
        <w:left w:val="none" w:sz="0" w:space="0" w:color="auto"/>
        <w:bottom w:val="none" w:sz="0" w:space="0" w:color="auto"/>
        <w:right w:val="none" w:sz="0" w:space="0" w:color="auto"/>
      </w:divBdr>
    </w:div>
    <w:div w:id="2081826417">
      <w:bodyDiv w:val="1"/>
      <w:marLeft w:val="0"/>
      <w:marRight w:val="0"/>
      <w:marTop w:val="0"/>
      <w:marBottom w:val="0"/>
      <w:divBdr>
        <w:top w:val="none" w:sz="0" w:space="0" w:color="auto"/>
        <w:left w:val="none" w:sz="0" w:space="0" w:color="auto"/>
        <w:bottom w:val="none" w:sz="0" w:space="0" w:color="auto"/>
        <w:right w:val="none" w:sz="0" w:space="0" w:color="auto"/>
      </w:divBdr>
    </w:div>
    <w:div w:id="2087914784">
      <w:bodyDiv w:val="1"/>
      <w:marLeft w:val="0"/>
      <w:marRight w:val="0"/>
      <w:marTop w:val="0"/>
      <w:marBottom w:val="0"/>
      <w:divBdr>
        <w:top w:val="none" w:sz="0" w:space="0" w:color="auto"/>
        <w:left w:val="none" w:sz="0" w:space="0" w:color="auto"/>
        <w:bottom w:val="none" w:sz="0" w:space="0" w:color="auto"/>
        <w:right w:val="none" w:sz="0" w:space="0" w:color="auto"/>
      </w:divBdr>
    </w:div>
    <w:div w:id="2089957780">
      <w:bodyDiv w:val="1"/>
      <w:marLeft w:val="0"/>
      <w:marRight w:val="0"/>
      <w:marTop w:val="0"/>
      <w:marBottom w:val="0"/>
      <w:divBdr>
        <w:top w:val="none" w:sz="0" w:space="0" w:color="auto"/>
        <w:left w:val="none" w:sz="0" w:space="0" w:color="auto"/>
        <w:bottom w:val="none" w:sz="0" w:space="0" w:color="auto"/>
        <w:right w:val="none" w:sz="0" w:space="0" w:color="auto"/>
      </w:divBdr>
    </w:div>
    <w:div w:id="2091150650">
      <w:bodyDiv w:val="1"/>
      <w:marLeft w:val="0"/>
      <w:marRight w:val="0"/>
      <w:marTop w:val="0"/>
      <w:marBottom w:val="0"/>
      <w:divBdr>
        <w:top w:val="none" w:sz="0" w:space="0" w:color="auto"/>
        <w:left w:val="none" w:sz="0" w:space="0" w:color="auto"/>
        <w:bottom w:val="none" w:sz="0" w:space="0" w:color="auto"/>
        <w:right w:val="none" w:sz="0" w:space="0" w:color="auto"/>
      </w:divBdr>
    </w:div>
    <w:div w:id="2098557118">
      <w:bodyDiv w:val="1"/>
      <w:marLeft w:val="0"/>
      <w:marRight w:val="0"/>
      <w:marTop w:val="0"/>
      <w:marBottom w:val="0"/>
      <w:divBdr>
        <w:top w:val="none" w:sz="0" w:space="0" w:color="auto"/>
        <w:left w:val="none" w:sz="0" w:space="0" w:color="auto"/>
        <w:bottom w:val="none" w:sz="0" w:space="0" w:color="auto"/>
        <w:right w:val="none" w:sz="0" w:space="0" w:color="auto"/>
      </w:divBdr>
    </w:div>
    <w:div w:id="2112118079">
      <w:bodyDiv w:val="1"/>
      <w:marLeft w:val="0"/>
      <w:marRight w:val="0"/>
      <w:marTop w:val="0"/>
      <w:marBottom w:val="0"/>
      <w:divBdr>
        <w:top w:val="none" w:sz="0" w:space="0" w:color="auto"/>
        <w:left w:val="none" w:sz="0" w:space="0" w:color="auto"/>
        <w:bottom w:val="none" w:sz="0" w:space="0" w:color="auto"/>
        <w:right w:val="none" w:sz="0" w:space="0" w:color="auto"/>
      </w:divBdr>
    </w:div>
    <w:div w:id="2118328259">
      <w:bodyDiv w:val="1"/>
      <w:marLeft w:val="0"/>
      <w:marRight w:val="0"/>
      <w:marTop w:val="0"/>
      <w:marBottom w:val="0"/>
      <w:divBdr>
        <w:top w:val="none" w:sz="0" w:space="0" w:color="auto"/>
        <w:left w:val="none" w:sz="0" w:space="0" w:color="auto"/>
        <w:bottom w:val="none" w:sz="0" w:space="0" w:color="auto"/>
        <w:right w:val="none" w:sz="0" w:space="0" w:color="auto"/>
      </w:divBdr>
    </w:div>
    <w:div w:id="2124691435">
      <w:bodyDiv w:val="1"/>
      <w:marLeft w:val="0"/>
      <w:marRight w:val="0"/>
      <w:marTop w:val="0"/>
      <w:marBottom w:val="0"/>
      <w:divBdr>
        <w:top w:val="none" w:sz="0" w:space="0" w:color="auto"/>
        <w:left w:val="none" w:sz="0" w:space="0" w:color="auto"/>
        <w:bottom w:val="none" w:sz="0" w:space="0" w:color="auto"/>
        <w:right w:val="none" w:sz="0" w:space="0" w:color="auto"/>
      </w:divBdr>
    </w:div>
    <w:div w:id="2125033979">
      <w:bodyDiv w:val="1"/>
      <w:marLeft w:val="0"/>
      <w:marRight w:val="0"/>
      <w:marTop w:val="0"/>
      <w:marBottom w:val="0"/>
      <w:divBdr>
        <w:top w:val="none" w:sz="0" w:space="0" w:color="auto"/>
        <w:left w:val="none" w:sz="0" w:space="0" w:color="auto"/>
        <w:bottom w:val="none" w:sz="0" w:space="0" w:color="auto"/>
        <w:right w:val="none" w:sz="0" w:space="0" w:color="auto"/>
      </w:divBdr>
    </w:div>
    <w:div w:id="2136827916">
      <w:bodyDiv w:val="1"/>
      <w:marLeft w:val="0"/>
      <w:marRight w:val="0"/>
      <w:marTop w:val="0"/>
      <w:marBottom w:val="0"/>
      <w:divBdr>
        <w:top w:val="none" w:sz="0" w:space="0" w:color="auto"/>
        <w:left w:val="none" w:sz="0" w:space="0" w:color="auto"/>
        <w:bottom w:val="none" w:sz="0" w:space="0" w:color="auto"/>
        <w:right w:val="none" w:sz="0" w:space="0" w:color="auto"/>
      </w:divBdr>
    </w:div>
    <w:div w:id="2138209192">
      <w:bodyDiv w:val="1"/>
      <w:marLeft w:val="0"/>
      <w:marRight w:val="0"/>
      <w:marTop w:val="0"/>
      <w:marBottom w:val="0"/>
      <w:divBdr>
        <w:top w:val="none" w:sz="0" w:space="0" w:color="auto"/>
        <w:left w:val="none" w:sz="0" w:space="0" w:color="auto"/>
        <w:bottom w:val="none" w:sz="0" w:space="0" w:color="auto"/>
        <w:right w:val="none" w:sz="0" w:space="0" w:color="auto"/>
      </w:divBdr>
    </w:div>
    <w:div w:id="21393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100545124167174E-2"/>
          <c:y val="7.5244033802133112E-2"/>
          <c:w val="0.45533163739147992"/>
          <c:h val="0.85539180434815587"/>
        </c:manualLayout>
      </c:layout>
      <c:doughnutChart>
        <c:varyColors val="1"/>
        <c:ser>
          <c:idx val="0"/>
          <c:order val="0"/>
          <c:tx>
            <c:strRef>
              <c:f>Sheet1!$B$1</c:f>
              <c:strCache>
                <c:ptCount val="1"/>
                <c:pt idx="0">
                  <c:v>2024</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1C8-4DBA-9F36-5FA4F43F39D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1C8-4DBA-9F36-5FA4F43F39D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1C8-4DBA-9F36-5FA4F43F39DF}"/>
              </c:ext>
            </c:extLst>
          </c:dPt>
          <c:dLbls>
            <c:dLbl>
              <c:idx val="0"/>
              <c:layout>
                <c:manualLayout>
                  <c:x val="-3.6288875429032919E-2"/>
                  <c:y val="-5.7475156645881709E-2"/>
                </c:manualLayout>
              </c:layout>
              <c:tx>
                <c:rich>
                  <a:bodyPr rot="0" spcFirstLastPara="1" vertOverflow="ellipsis" vert="horz" wrap="square" anchor="ctr" anchorCtr="1"/>
                  <a:lstStyle/>
                  <a:p>
                    <a:pPr>
                      <a:defRPr sz="900" b="0" i="0" u="none" strike="noStrike" kern="1200" baseline="0">
                        <a:ln>
                          <a:noFill/>
                        </a:ln>
                        <a:solidFill>
                          <a:schemeClr val="accent2">
                            <a:lumMod val="75000"/>
                          </a:schemeClr>
                        </a:solidFill>
                        <a:latin typeface="+mn-lt"/>
                        <a:ea typeface="+mn-ea"/>
                        <a:cs typeface="+mn-cs"/>
                      </a:defRPr>
                    </a:pPr>
                    <a:r>
                      <a:rPr lang="en-US">
                        <a:solidFill>
                          <a:schemeClr val="accent2">
                            <a:lumMod val="75000"/>
                          </a:schemeClr>
                        </a:solidFill>
                      </a:rPr>
                      <a:t> </a:t>
                    </a:r>
                    <a:fld id="{39EBB8A3-8357-4856-A2C2-5B8E9FC20951}" type="VALUE">
                      <a:rPr lang="en-US">
                        <a:solidFill>
                          <a:schemeClr val="accent2">
                            <a:lumMod val="75000"/>
                          </a:schemeClr>
                        </a:solidFill>
                      </a:rPr>
                      <a:pPr>
                        <a:defRPr>
                          <a:solidFill>
                            <a:schemeClr val="accent2">
                              <a:lumMod val="75000"/>
                            </a:schemeClr>
                          </a:solidFill>
                        </a:defRPr>
                      </a:pPr>
                      <a:t>[VALUE]</a:t>
                    </a:fld>
                    <a:r>
                      <a:rPr lang="en-US">
                        <a:solidFill>
                          <a:schemeClr val="accent2">
                            <a:lumMod val="75000"/>
                          </a:schemeClr>
                        </a:solidFill>
                      </a:rPr>
                      <a:t>%</a:t>
                    </a:r>
                  </a:p>
                </c:rich>
              </c:tx>
              <c:spPr>
                <a:noFill/>
                <a:ln>
                  <a:noFill/>
                </a:ln>
                <a:effectLst/>
              </c:spPr>
              <c:txPr>
                <a:bodyPr rot="0" spcFirstLastPara="1" vertOverflow="ellipsis" vert="horz" wrap="square" anchor="ctr" anchorCtr="1"/>
                <a:lstStyle/>
                <a:p>
                  <a:pPr>
                    <a:defRPr sz="900" b="0" i="0" u="none" strike="noStrike" kern="1200" baseline="0">
                      <a:ln>
                        <a:noFill/>
                      </a:ln>
                      <a:solidFill>
                        <a:schemeClr val="accent2">
                          <a:lumMod val="75000"/>
                        </a:schemeClr>
                      </a:solidFill>
                      <a:latin typeface="+mn-lt"/>
                      <a:ea typeface="+mn-ea"/>
                      <a:cs typeface="+mn-cs"/>
                    </a:defRPr>
                  </a:pPr>
                  <a:endParaRPr lang="sr-Latn-RS"/>
                </a:p>
              </c:txPr>
              <c:showLegendKey val="0"/>
              <c:showVal val="1"/>
              <c:showCatName val="1"/>
              <c:showSerName val="0"/>
              <c:showPercent val="1"/>
              <c:showBubbleSize val="0"/>
              <c:extLst>
                <c:ext xmlns:c15="http://schemas.microsoft.com/office/drawing/2012/chart" uri="{CE6537A1-D6FC-4f65-9D91-7224C49458BB}">
                  <c15:layout>
                    <c:manualLayout>
                      <c:w val="7.1702644861699971E-2"/>
                      <c:h val="0.10398859102149803"/>
                    </c:manualLayout>
                  </c15:layout>
                  <c15:dlblFieldTable/>
                  <c15:showDataLabelsRange val="0"/>
                </c:ext>
                <c:ext xmlns:c16="http://schemas.microsoft.com/office/drawing/2014/chart" uri="{C3380CC4-5D6E-409C-BE32-E72D297353CC}">
                  <c16:uniqueId val="{00000001-81C8-4DBA-9F36-5FA4F43F39DF}"/>
                </c:ext>
              </c:extLst>
            </c:dLbl>
            <c:dLbl>
              <c:idx val="1"/>
              <c:layout>
                <c:manualLayout>
                  <c:x val="4.8578558449424589E-2"/>
                  <c:y val="-9.17573164626098E-4"/>
                </c:manualLayout>
              </c:layout>
              <c:tx>
                <c:rich>
                  <a:bodyPr rot="0" spcFirstLastPara="1" vertOverflow="ellipsis" vert="horz" wrap="square" anchor="ctr" anchorCtr="1"/>
                  <a:lstStyle/>
                  <a:p>
                    <a:pPr>
                      <a:defRPr sz="900" b="0" i="0" u="none" strike="noStrike" kern="1200" baseline="0">
                        <a:ln>
                          <a:noFill/>
                        </a:ln>
                        <a:solidFill>
                          <a:schemeClr val="accent2">
                            <a:lumMod val="75000"/>
                          </a:schemeClr>
                        </a:solidFill>
                        <a:latin typeface="+mn-lt"/>
                        <a:ea typeface="+mn-ea"/>
                        <a:cs typeface="+mn-cs"/>
                      </a:defRPr>
                    </a:pPr>
                    <a:endParaRPr lang="en-US">
                      <a:solidFill>
                        <a:schemeClr val="accent2">
                          <a:lumMod val="75000"/>
                        </a:schemeClr>
                      </a:solidFill>
                    </a:endParaRPr>
                  </a:p>
                  <a:p>
                    <a:pPr>
                      <a:defRPr>
                        <a:solidFill>
                          <a:schemeClr val="accent2">
                            <a:lumMod val="75000"/>
                          </a:schemeClr>
                        </a:solidFill>
                      </a:defRPr>
                    </a:pPr>
                    <a:fld id="{4801D052-E82D-41F5-BCBA-A2477222273B}" type="VALUE">
                      <a:rPr lang="en-US">
                        <a:solidFill>
                          <a:schemeClr val="accent2">
                            <a:lumMod val="75000"/>
                          </a:schemeClr>
                        </a:solidFill>
                      </a:rPr>
                      <a:pPr>
                        <a:defRPr>
                          <a:solidFill>
                            <a:schemeClr val="accent2">
                              <a:lumMod val="75000"/>
                            </a:schemeClr>
                          </a:solidFill>
                        </a:defRPr>
                      </a:pPr>
                      <a:t>[VALUE]</a:t>
                    </a:fld>
                    <a:r>
                      <a:rPr lang="en-US">
                        <a:solidFill>
                          <a:schemeClr val="accent2">
                            <a:lumMod val="75000"/>
                          </a:schemeClr>
                        </a:solidFill>
                      </a:rPr>
                      <a:t>%</a:t>
                    </a:r>
                  </a:p>
                </c:rich>
              </c:tx>
              <c:spPr>
                <a:noFill/>
                <a:ln>
                  <a:noFill/>
                </a:ln>
                <a:effectLst/>
              </c:spPr>
              <c:txPr>
                <a:bodyPr rot="0" spcFirstLastPara="1" vertOverflow="ellipsis" vert="horz" wrap="square" anchor="ctr" anchorCtr="1"/>
                <a:lstStyle/>
                <a:p>
                  <a:pPr>
                    <a:defRPr sz="900" b="0" i="0" u="none" strike="noStrike" kern="1200" baseline="0">
                      <a:ln>
                        <a:noFill/>
                      </a:ln>
                      <a:solidFill>
                        <a:schemeClr val="accent2">
                          <a:lumMod val="7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C8-4DBA-9F36-5FA4F43F39DF}"/>
                </c:ext>
              </c:extLst>
            </c:dLbl>
            <c:dLbl>
              <c:idx val="2"/>
              <c:layout>
                <c:manualLayout>
                  <c:x val="2.3529174237835277E-3"/>
                  <c:y val="4.57839879841608E-2"/>
                </c:manualLayout>
              </c:layout>
              <c:tx>
                <c:rich>
                  <a:bodyPr rot="0" spcFirstLastPara="1" vertOverflow="ellipsis" vert="horz" wrap="square" anchor="ctr" anchorCtr="1"/>
                  <a:lstStyle/>
                  <a:p>
                    <a:pPr>
                      <a:defRPr sz="900" b="0" i="0" u="none" strike="noStrike" kern="1200" baseline="0">
                        <a:ln>
                          <a:noFill/>
                        </a:ln>
                        <a:solidFill>
                          <a:schemeClr val="accent2">
                            <a:lumMod val="75000"/>
                          </a:schemeClr>
                        </a:solidFill>
                        <a:latin typeface="+mn-lt"/>
                        <a:ea typeface="+mn-ea"/>
                        <a:cs typeface="+mn-cs"/>
                      </a:defRPr>
                    </a:pPr>
                    <a:endParaRPr lang="en-US">
                      <a:solidFill>
                        <a:schemeClr val="accent2">
                          <a:lumMod val="75000"/>
                        </a:schemeClr>
                      </a:solidFill>
                    </a:endParaRPr>
                  </a:p>
                  <a:p>
                    <a:pPr>
                      <a:defRPr>
                        <a:solidFill>
                          <a:schemeClr val="accent2">
                            <a:lumMod val="75000"/>
                          </a:schemeClr>
                        </a:solidFill>
                      </a:defRPr>
                    </a:pPr>
                    <a:r>
                      <a:rPr lang="en-US">
                        <a:solidFill>
                          <a:schemeClr val="accent2">
                            <a:lumMod val="75000"/>
                          </a:schemeClr>
                        </a:solidFill>
                      </a:rPr>
                      <a:t> </a:t>
                    </a:r>
                    <a:fld id="{7E6DD760-1950-47DB-9AC2-8C2FF16AECBC}" type="VALUE">
                      <a:rPr lang="en-US">
                        <a:solidFill>
                          <a:schemeClr val="accent2">
                            <a:lumMod val="75000"/>
                          </a:schemeClr>
                        </a:solidFill>
                      </a:rPr>
                      <a:pPr>
                        <a:defRPr>
                          <a:solidFill>
                            <a:schemeClr val="accent2">
                              <a:lumMod val="75000"/>
                            </a:schemeClr>
                          </a:solidFill>
                        </a:defRPr>
                      </a:pPr>
                      <a:t>[VALUE]</a:t>
                    </a:fld>
                    <a:r>
                      <a:rPr lang="en-US">
                        <a:solidFill>
                          <a:schemeClr val="accent2">
                            <a:lumMod val="75000"/>
                          </a:schemeClr>
                        </a:solidFill>
                      </a:rPr>
                      <a:t>%</a:t>
                    </a:r>
                  </a:p>
                </c:rich>
              </c:tx>
              <c:spPr>
                <a:noFill/>
                <a:ln>
                  <a:noFill/>
                </a:ln>
                <a:effectLst/>
              </c:spPr>
              <c:txPr>
                <a:bodyPr rot="0" spcFirstLastPara="1" vertOverflow="ellipsis" vert="horz" wrap="square" anchor="ctr" anchorCtr="1"/>
                <a:lstStyle/>
                <a:p>
                  <a:pPr>
                    <a:defRPr sz="900" b="0" i="0" u="none" strike="noStrike" kern="1200" baseline="0">
                      <a:ln>
                        <a:noFill/>
                      </a:ln>
                      <a:solidFill>
                        <a:schemeClr val="accent2">
                          <a:lumMod val="75000"/>
                        </a:schemeClr>
                      </a:solidFill>
                      <a:latin typeface="+mn-lt"/>
                      <a:ea typeface="+mn-ea"/>
                      <a:cs typeface="+mn-cs"/>
                    </a:defRPr>
                  </a:pPr>
                  <a:endParaRPr lang="en-US"/>
                </a:p>
              </c:txPr>
              <c:showLegendKey val="0"/>
              <c:showVal val="1"/>
              <c:showCatName val="1"/>
              <c:showSerName val="0"/>
              <c:showPercent val="1"/>
              <c:showBubbleSize val="0"/>
              <c:extLst>
                <c:ext xmlns:c15="http://schemas.microsoft.com/office/drawing/2012/chart" uri="{CE6537A1-D6FC-4f65-9D91-7224C49458BB}">
                  <c15:layout>
                    <c:manualLayout>
                      <c:w val="6.4400080759135864E-2"/>
                      <c:h val="9.622350674373796E-2"/>
                    </c:manualLayout>
                  </c15:layout>
                  <c15:dlblFieldTable/>
                  <c15:showDataLabelsRange val="0"/>
                </c:ext>
                <c:ext xmlns:c16="http://schemas.microsoft.com/office/drawing/2014/chart" uri="{C3380CC4-5D6E-409C-BE32-E72D297353CC}">
                  <c16:uniqueId val="{00000005-81C8-4DBA-9F36-5FA4F43F39DF}"/>
                </c:ext>
              </c:extLst>
            </c:dLbl>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sr-Latn-RS"/>
              </a:p>
            </c:txPr>
            <c:showLegendKey val="0"/>
            <c:showVal val="1"/>
            <c:showCatName val="1"/>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extLst>
          </c:dLbls>
          <c:cat>
            <c:strRef>
              <c:f>Sheet1!$A$2:$A$4</c:f>
              <c:strCache>
                <c:ptCount val="3"/>
                <c:pt idx="0">
                  <c:v>dugotrajna imovina</c:v>
                </c:pt>
                <c:pt idx="1">
                  <c:v>kratkotrajna imovina</c:v>
                </c:pt>
                <c:pt idx="2">
                  <c:v>budući troškovi/prihodi</c:v>
                </c:pt>
              </c:strCache>
            </c:strRef>
          </c:cat>
          <c:val>
            <c:numRef>
              <c:f>Sheet1!$B$2:$B$4</c:f>
              <c:numCache>
                <c:formatCode>0</c:formatCode>
                <c:ptCount val="3"/>
                <c:pt idx="0">
                  <c:v>91.07</c:v>
                </c:pt>
                <c:pt idx="1">
                  <c:v>8.52</c:v>
                </c:pt>
                <c:pt idx="2" formatCode="General">
                  <c:v>0.41</c:v>
                </c:pt>
              </c:numCache>
            </c:numRef>
          </c:val>
          <c:extLst>
            <c:ext xmlns:c16="http://schemas.microsoft.com/office/drawing/2014/chart" uri="{C3380CC4-5D6E-409C-BE32-E72D297353CC}">
              <c16:uniqueId val="{00000006-81C8-4DBA-9F36-5FA4F43F39DF}"/>
            </c:ext>
          </c:extLst>
        </c:ser>
        <c:dLbls>
          <c:showLegendKey val="0"/>
          <c:showVal val="1"/>
          <c:showCatName val="0"/>
          <c:showSerName val="0"/>
          <c:showPercent val="0"/>
          <c:showBubbleSize val="0"/>
          <c:showLeaderLines val="1"/>
        </c:dLbls>
        <c:firstSliceAng val="153"/>
        <c:holeSize val="90"/>
      </c:doughnutChart>
      <c:spPr>
        <a:noFill/>
        <a:ln>
          <a:noFill/>
        </a:ln>
        <a:effectLst/>
      </c:spPr>
    </c:plotArea>
    <c:legend>
      <c:legendPos val="b"/>
      <c:layout>
        <c:manualLayout>
          <c:xMode val="edge"/>
          <c:yMode val="edge"/>
          <c:x val="0.66642778114274182"/>
          <c:y val="4.4797232715852682E-2"/>
          <c:w val="0.25381110438118309"/>
          <c:h val="0.36175382701439779"/>
        </c:manualLayout>
      </c:layout>
      <c:overlay val="0"/>
      <c:spPr>
        <a:noFill/>
        <a:ln>
          <a:noFill/>
        </a:ln>
        <a:effectLst/>
      </c:spPr>
      <c:txPr>
        <a:bodyPr rot="0" spcFirstLastPara="1" vertOverflow="ellipsis" vert="horz" wrap="square" anchor="t" anchorCtr="0"/>
        <a:lstStyle/>
        <a:p>
          <a:pPr>
            <a:defRPr sz="900" b="0" i="0" u="none" strike="noStrike" kern="1200" baseline="0">
              <a:ln>
                <a:noFill/>
              </a:ln>
              <a:solidFill>
                <a:schemeClr val="tx1"/>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n>
            <a:noFill/>
          </a:ln>
          <a:solidFill>
            <a:schemeClr val="tx1"/>
          </a:solidFill>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05477834688147E-2"/>
          <c:y val="0.1952251064310741"/>
          <c:w val="0.45920954055500335"/>
          <c:h val="0.67892702407414374"/>
        </c:manualLayout>
      </c:layout>
      <c:doughnutChart>
        <c:varyColors val="1"/>
        <c:ser>
          <c:idx val="0"/>
          <c:order val="0"/>
          <c:tx>
            <c:strRef>
              <c:f>Sheet1!$B$1</c:f>
              <c:strCache>
                <c:ptCount val="1"/>
                <c:pt idx="0">
                  <c:v>2024</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2-D357-4A47-8A6F-86433EE2E13E}"/>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357-4A47-8A6F-86433EE2E13E}"/>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4-D357-4A47-8A6F-86433EE2E13E}"/>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5-D357-4A47-8A6F-86433EE2E13E}"/>
              </c:ext>
            </c:extLst>
          </c:dPt>
          <c:dPt>
            <c:idx val="4"/>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9-8D52-42A2-A392-9957066004EE}"/>
              </c:ext>
            </c:extLst>
          </c:dPt>
          <c:dLbls>
            <c:dLbl>
              <c:idx val="0"/>
              <c:layout>
                <c:manualLayout>
                  <c:x val="1.6877914532528095E-2"/>
                  <c:y val="-6.419445177008376E-2"/>
                </c:manualLayout>
              </c:layout>
              <c:tx>
                <c:rich>
                  <a:bodyPr/>
                  <a:lstStyle/>
                  <a:p>
                    <a:fld id="{46B27040-FB44-4355-A88B-6DE9653991D8}" type="PERCENTAGE">
                      <a:rPr lang="en-US"/>
                      <a:pPr/>
                      <a:t>[PERCENTAGE]</a:t>
                    </a:fld>
                    <a:endParaRPr lang="hr-HR"/>
                  </a:p>
                </c:rich>
              </c:tx>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D357-4A47-8A6F-86433EE2E13E}"/>
                </c:ext>
              </c:extLst>
            </c:dLbl>
            <c:dLbl>
              <c:idx val="1"/>
              <c:layout>
                <c:manualLayout>
                  <c:x val="6.4814814814814645E-2"/>
                  <c:y val="7.9365079365078632E-3"/>
                </c:manualLayout>
              </c:layout>
              <c:tx>
                <c:rich>
                  <a:bodyPr/>
                  <a:lstStyle/>
                  <a:p>
                    <a:r>
                      <a:rPr lang="en-US"/>
                      <a:t> </a:t>
                    </a:r>
                    <a:fld id="{5B7916C7-51BA-4C73-8306-6AFC70D352FA}" type="PERCENTAGE">
                      <a:rPr lang="en-US"/>
                      <a:pPr/>
                      <a:t>[PERCENTAGE]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357-4A47-8A6F-86433EE2E13E}"/>
                </c:ext>
              </c:extLst>
            </c:dLbl>
            <c:dLbl>
              <c:idx val="2"/>
              <c:layout>
                <c:manualLayout>
                  <c:x val="6.0814412761511609E-2"/>
                  <c:y val="4.4429290836253126E-2"/>
                </c:manualLayout>
              </c:layout>
              <c:tx>
                <c:rich>
                  <a:bodyPr/>
                  <a:lstStyle/>
                  <a:p>
                    <a:r>
                      <a:rPr lang="en-US"/>
                      <a:t> </a:t>
                    </a:r>
                    <a:fld id="{0695FED7-438D-48B2-9405-32627224C4E1}" type="PERCENTAGE">
                      <a:rPr lang="en-US"/>
                      <a:pPr/>
                      <a:t>[PERCENTAGE]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D357-4A47-8A6F-86433EE2E13E}"/>
                </c:ext>
              </c:extLst>
            </c:dLbl>
            <c:dLbl>
              <c:idx val="3"/>
              <c:layout>
                <c:manualLayout>
                  <c:x val="3.1778066576629377E-2"/>
                  <c:y val="6.5125017267578397E-2"/>
                </c:manualLayout>
              </c:layout>
              <c:tx>
                <c:rich>
                  <a:bodyPr/>
                  <a:lstStyle/>
                  <a:p>
                    <a:fld id="{AE5B27C0-319C-4FA3-BA7A-C91E3A3F46EE}" type="PERCENTAGE">
                      <a:rPr lang="en-US" baseline="0"/>
                      <a:pPr/>
                      <a:t>[PERCENTAGE]</a:t>
                    </a:fld>
                    <a:endParaRPr lang="hr-HR"/>
                  </a:p>
                </c:rich>
              </c:tx>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D357-4A47-8A6F-86433EE2E13E}"/>
                </c:ext>
              </c:extLst>
            </c:dLbl>
            <c:dLbl>
              <c:idx val="4"/>
              <c:layout>
                <c:manualLayout>
                  <c:x val="4.6296296296296294E-3"/>
                  <c:y val="0.21031746031746018"/>
                </c:manualLayout>
              </c:layout>
              <c:tx>
                <c:rich>
                  <a:bodyPr/>
                  <a:lstStyle/>
                  <a:p>
                    <a:r>
                      <a:rPr lang="en-US"/>
                      <a:t> </a:t>
                    </a:r>
                    <a:fld id="{432C6BCE-9ED3-4AB6-979B-EE50D4C6C3AE}" type="PERCENTAGE">
                      <a:rPr lang="en-US"/>
                      <a:pPr/>
                      <a:t>[PERCENTAGE]</a:t>
                    </a:fld>
                    <a:endParaRPr lang="en-US"/>
                  </a:p>
                </c:rich>
              </c:tx>
              <c:showLegendKey val="0"/>
              <c:showVal val="0"/>
              <c:showCatName val="0"/>
              <c:showSerName val="0"/>
              <c:showPercent val="1"/>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8D52-42A2-A392-9957066004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1">
                        <a:lumMod val="75000"/>
                      </a:schemeClr>
                    </a:solidFill>
                    <a:latin typeface="+mn-lt"/>
                    <a:ea typeface="+mn-ea"/>
                    <a:cs typeface="+mn-cs"/>
                  </a:defRPr>
                </a:pPr>
                <a:endParaRPr lang="sr-Latn-RS"/>
              </a:p>
            </c:txPr>
            <c:showLegendKey val="0"/>
            <c:showVal val="0"/>
            <c:showCatName val="0"/>
            <c:showSerName val="0"/>
            <c:showPercent val="1"/>
            <c:showBubbleSize val="0"/>
            <c:showLeaderLines val="1"/>
            <c:leaderLines>
              <c:spPr>
                <a:ln w="9525" cap="flat" cmpd="sng" algn="ctr">
                  <a:noFill/>
                  <a:round/>
                </a:ln>
                <a:effectLst/>
              </c:spPr>
            </c:leaderLines>
            <c:extLst>
              <c:ext xmlns:c15="http://schemas.microsoft.com/office/drawing/2012/chart" uri="{CE6537A1-D6FC-4f65-9D91-7224C49458BB}">
                <c15:showDataLabelsRange val="1"/>
              </c:ext>
            </c:extLst>
          </c:dLbls>
          <c:cat>
            <c:strRef>
              <c:f>Sheet1!$A$2:$A$6</c:f>
              <c:strCache>
                <c:ptCount val="5"/>
                <c:pt idx="0">
                  <c:v>kapital i rezerve</c:v>
                </c:pt>
                <c:pt idx="1">
                  <c:v>dugoročne obveze</c:v>
                </c:pt>
                <c:pt idx="2">
                  <c:v>kratkoročne obveze</c:v>
                </c:pt>
                <c:pt idx="3">
                  <c:v>dugoročna rezerviranja</c:v>
                </c:pt>
                <c:pt idx="4">
                  <c:v>prihod budućeg razdoblja</c:v>
                </c:pt>
              </c:strCache>
            </c:strRef>
          </c:cat>
          <c:val>
            <c:numRef>
              <c:f>Sheet1!$B$2:$B$6</c:f>
              <c:numCache>
                <c:formatCode>0</c:formatCode>
                <c:ptCount val="5"/>
                <c:pt idx="0">
                  <c:v>29.11</c:v>
                </c:pt>
                <c:pt idx="1">
                  <c:v>9.3699999999999992</c:v>
                </c:pt>
                <c:pt idx="2">
                  <c:v>10.3</c:v>
                </c:pt>
                <c:pt idx="3">
                  <c:v>5.54</c:v>
                </c:pt>
                <c:pt idx="4">
                  <c:v>45.67</c:v>
                </c:pt>
              </c:numCache>
            </c:numRef>
          </c:val>
          <c:extLst>
            <c:ext xmlns:c15="http://schemas.microsoft.com/office/drawing/2012/chart" uri="{02D57815-91ED-43cb-92C2-25804820EDAC}">
              <c15:datalabelsRange>
                <c15:f>Sheet1!$B$2:$B$6</c15:f>
                <c15:dlblRangeCache>
                  <c:ptCount val="5"/>
                  <c:pt idx="0">
                    <c:v>29</c:v>
                  </c:pt>
                  <c:pt idx="1">
                    <c:v>9</c:v>
                  </c:pt>
                  <c:pt idx="2">
                    <c:v>10</c:v>
                  </c:pt>
                  <c:pt idx="3">
                    <c:v>6</c:v>
                  </c:pt>
                  <c:pt idx="4">
                    <c:v>46</c:v>
                  </c:pt>
                </c15:dlblRangeCache>
              </c15:datalabelsRange>
            </c:ext>
            <c:ext xmlns:c16="http://schemas.microsoft.com/office/drawing/2014/chart" uri="{C3380CC4-5D6E-409C-BE32-E72D297353CC}">
              <c16:uniqueId val="{00000000-D357-4A47-8A6F-86433EE2E13E}"/>
            </c:ext>
          </c:extLst>
        </c:ser>
        <c:dLbls>
          <c:showLegendKey val="0"/>
          <c:showVal val="0"/>
          <c:showCatName val="1"/>
          <c:showSerName val="0"/>
          <c:showPercent val="0"/>
          <c:showBubbleSize val="0"/>
          <c:showLeaderLines val="1"/>
        </c:dLbls>
        <c:firstSliceAng val="350"/>
        <c:holeSize val="90"/>
      </c:doughnutChart>
      <c:spPr>
        <a:noFill/>
        <a:ln>
          <a:noFill/>
        </a:ln>
        <a:effectLst/>
      </c:spPr>
    </c:plotArea>
    <c:legend>
      <c:legendPos val="b"/>
      <c:layout>
        <c:manualLayout>
          <c:xMode val="edge"/>
          <c:yMode val="edge"/>
          <c:x val="0.71194506026552506"/>
          <c:y val="0.23213577967825796"/>
          <c:w val="0.23695962761936312"/>
          <c:h val="0.316587675344409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0.11383240364210057"/>
          <c:y val="0.10440174500371752"/>
          <c:w val="0.46927335306744034"/>
          <c:h val="0.82769916350384265"/>
        </c:manualLayout>
      </c:layout>
      <c:doughnutChart>
        <c:varyColors val="1"/>
        <c:ser>
          <c:idx val="0"/>
          <c:order val="0"/>
          <c:tx>
            <c:strRef>
              <c:f>Sheet1!$A$2</c:f>
              <c:strCache>
                <c:ptCount val="1"/>
                <c:pt idx="0">
                  <c:v>ukupni prihodi</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EF13-445A-8EBD-1980980FA0D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EF13-445A-8EBD-1980980FA0D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EF13-445A-8EBD-1980980FA0D6}"/>
              </c:ext>
            </c:extLst>
          </c:dPt>
          <c:dLbls>
            <c:dLbl>
              <c:idx val="0"/>
              <c:layout>
                <c:manualLayout>
                  <c:x val="7.2248742097793833E-2"/>
                  <c:y val="4.5506257110352671E-3"/>
                </c:manualLayout>
              </c:layout>
              <c:tx>
                <c:rich>
                  <a:bodyPr/>
                  <a:lstStyle/>
                  <a:p>
                    <a:fld id="{0E735B31-1ED7-42E9-8A85-F09CAE1A5958}" type="VALUE">
                      <a:rPr lang="en-US"/>
                      <a:pPr/>
                      <a:t>[VALUE]</a:t>
                    </a:fld>
                    <a:r>
                      <a:rPr lang="en-US"/>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F13-445A-8EBD-1980980FA0D6}"/>
                </c:ext>
              </c:extLst>
            </c:dLbl>
            <c:dLbl>
              <c:idx val="1"/>
              <c:layout>
                <c:manualLayout>
                  <c:x val="-9.0277607055020595E-2"/>
                  <c:y val="3.0043804251431029E-2"/>
                </c:manualLayout>
              </c:layout>
              <c:tx>
                <c:rich>
                  <a:bodyPr/>
                  <a:lstStyle/>
                  <a:p>
                    <a:fld id="{73BA6CFF-2D10-45D3-BD4B-E2AA748C4729}" type="VALUE">
                      <a:rPr lang="en-US"/>
                      <a:pPr/>
                      <a:t>[VALUE]</a:t>
                    </a:fld>
                    <a:r>
                      <a:rPr lang="en-US"/>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13-445A-8EBD-1980980FA0D6}"/>
                </c:ext>
              </c:extLst>
            </c:dLbl>
            <c:dLbl>
              <c:idx val="2"/>
              <c:layout>
                <c:manualLayout>
                  <c:x val="0.1666666666666666"/>
                  <c:y val="-0.10498687664041995"/>
                </c:manualLayout>
              </c:layout>
              <c:tx>
                <c:rich>
                  <a:bodyPr/>
                  <a:lstStyle/>
                  <a:p>
                    <a:r>
                      <a:rPr lang="en-US"/>
                      <a:t> </a:t>
                    </a:r>
                  </a:p>
                  <a:p>
                    <a:fld id="{DDBEDA87-104E-4594-A2F8-100C47161F90}" type="VALUE">
                      <a:rPr lang="en-US"/>
                      <a:pPr/>
                      <a:t>[VALUE]</a:t>
                    </a:fld>
                    <a:r>
                      <a:rPr lang="en-US"/>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13-445A-8EBD-1980980FA0D6}"/>
                </c:ext>
              </c:extLst>
            </c:dLbl>
            <c:spPr>
              <a:noFill/>
              <a:ln>
                <a:solidFill>
                  <a:schemeClr val="bg1">
                    <a:lumMod val="75000"/>
                  </a:schemeClr>
                </a:solidFill>
              </a:ln>
              <a:effectLst>
                <a:softEdge rad="571500"/>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Sheet1!$B$1:$D$1</c:f>
              <c:strCache>
                <c:ptCount val="3"/>
                <c:pt idx="0">
                  <c:v>prihodi od prodaje</c:v>
                </c:pt>
                <c:pt idx="1">
                  <c:v>ostali poslovni prihodi</c:v>
                </c:pt>
                <c:pt idx="2">
                  <c:v>financijski prihodi</c:v>
                </c:pt>
              </c:strCache>
            </c:strRef>
          </c:cat>
          <c:val>
            <c:numRef>
              <c:f>Sheet1!$B$2:$D$2</c:f>
              <c:numCache>
                <c:formatCode>#,##0</c:formatCode>
                <c:ptCount val="3"/>
                <c:pt idx="0">
                  <c:v>77.849999999999994</c:v>
                </c:pt>
                <c:pt idx="1">
                  <c:v>21.61</c:v>
                </c:pt>
                <c:pt idx="2" formatCode="#,##0.00">
                  <c:v>0.55000000000000004</c:v>
                </c:pt>
              </c:numCache>
            </c:numRef>
          </c:val>
          <c:extLst>
            <c:ext xmlns:c16="http://schemas.microsoft.com/office/drawing/2014/chart" uri="{C3380CC4-5D6E-409C-BE32-E72D297353CC}">
              <c16:uniqueId val="{00000006-EF13-445A-8EBD-1980980FA0D6}"/>
            </c:ext>
          </c:extLst>
        </c:ser>
        <c:dLbls>
          <c:showLegendKey val="0"/>
          <c:showVal val="0"/>
          <c:showCatName val="1"/>
          <c:showSerName val="0"/>
          <c:showPercent val="0"/>
          <c:showBubbleSize val="0"/>
          <c:showLeaderLines val="1"/>
        </c:dLbls>
        <c:firstSliceAng val="11"/>
        <c:holeSize val="9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 </a:t>
            </a:r>
          </a:p>
        </c:rich>
      </c:tx>
      <c:layout>
        <c:manualLayout>
          <c:xMode val="edge"/>
          <c:yMode val="edge"/>
          <c:x val="0.49365486118968854"/>
          <c:y val="7.368421052631578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manualLayout>
          <c:layoutTarget val="inner"/>
          <c:xMode val="edge"/>
          <c:yMode val="edge"/>
          <c:x val="0.37932891094092691"/>
          <c:y val="0"/>
          <c:w val="0.32292165534102757"/>
          <c:h val="0.84391220190554939"/>
        </c:manualLayout>
      </c:layout>
      <c:doughnutChart>
        <c:varyColors val="1"/>
        <c:ser>
          <c:idx val="0"/>
          <c:order val="0"/>
          <c:tx>
            <c:strRef>
              <c:f>Sheet1!$A$2</c:f>
              <c:strCache>
                <c:ptCount val="1"/>
                <c:pt idx="0">
                  <c:v>ukupni rashodi</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D144-4E2B-884D-A1E58FC688E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D144-4E2B-884D-A1E58FC688E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D144-4E2B-884D-A1E58FC688E6}"/>
              </c:ext>
            </c:extLst>
          </c:dPt>
          <c:dPt>
            <c:idx val="3"/>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7-D144-4E2B-884D-A1E58FC688E6}"/>
              </c:ext>
            </c:extLst>
          </c:dPt>
          <c:dPt>
            <c:idx val="4"/>
            <c:bubble3D val="0"/>
            <c:explosion val="59"/>
            <c:spPr>
              <a:solidFill>
                <a:schemeClr val="accent5">
                  <a:lumMod val="60000"/>
                </a:schemeClr>
              </a:solidFill>
              <a:ln w="19050">
                <a:solidFill>
                  <a:schemeClr val="lt1"/>
                </a:solidFill>
              </a:ln>
              <a:effectLst/>
            </c:spPr>
            <c:extLst>
              <c:ext xmlns:c16="http://schemas.microsoft.com/office/drawing/2014/chart" uri="{C3380CC4-5D6E-409C-BE32-E72D297353CC}">
                <c16:uniqueId val="{00000009-D144-4E2B-884D-A1E58FC688E6}"/>
              </c:ext>
            </c:extLst>
          </c:dPt>
          <c:dPt>
            <c:idx val="5"/>
            <c:bubble3D val="0"/>
            <c:explosion val="2"/>
            <c:spPr>
              <a:solidFill>
                <a:schemeClr val="accent4">
                  <a:lumMod val="60000"/>
                </a:schemeClr>
              </a:solidFill>
              <a:ln w="19050">
                <a:solidFill>
                  <a:schemeClr val="lt1"/>
                </a:solidFill>
              </a:ln>
              <a:effectLst/>
            </c:spPr>
            <c:extLst>
              <c:ext xmlns:c16="http://schemas.microsoft.com/office/drawing/2014/chart" uri="{C3380CC4-5D6E-409C-BE32-E72D297353CC}">
                <c16:uniqueId val="{0000000B-D144-4E2B-884D-A1E58FC688E6}"/>
              </c:ext>
            </c:extLst>
          </c:dPt>
          <c:dLbls>
            <c:dLbl>
              <c:idx val="0"/>
              <c:layout>
                <c:manualLayout>
                  <c:x val="3.1699070160608467E-2"/>
                  <c:y val="8.6299892125134836E-3"/>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fld id="{0E735B31-1ED7-42E9-8A85-F09CAE1A5958}" type="VALUE">
                      <a:rPr lang="en-US"/>
                      <a:pPr>
                        <a:defRPr/>
                      </a:pPr>
                      <a:t>[VALUE]</a:t>
                    </a:fld>
                    <a:endParaRPr lang="hr-HR"/>
                  </a:p>
                </c:rich>
              </c:tx>
              <c:spPr>
                <a:noFill/>
                <a:ln>
                  <a:no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hr-HR"/>
                </a:p>
              </c:txPr>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15:dlblFieldTable/>
                  <c15:showDataLabelsRange val="0"/>
                </c:ext>
                <c:ext xmlns:c16="http://schemas.microsoft.com/office/drawing/2014/chart" uri="{C3380CC4-5D6E-409C-BE32-E72D297353CC}">
                  <c16:uniqueId val="{00000001-D144-4E2B-884D-A1E58FC688E6}"/>
                </c:ext>
              </c:extLst>
            </c:dLbl>
            <c:dLbl>
              <c:idx val="1"/>
              <c:layout>
                <c:manualLayout>
                  <c:x val="1.690617075232452E-2"/>
                  <c:y val="-5.609492988133781E-2"/>
                </c:manualLayout>
              </c:layout>
              <c:tx>
                <c:rich>
                  <a:bodyPr/>
                  <a:lstStyle/>
                  <a:p>
                    <a:fld id="{73BA6CFF-2D10-45D3-BD4B-E2AA748C4729}" type="VALUE">
                      <a:rPr lang="en-US" baseline="0">
                        <a:solidFill>
                          <a:schemeClr val="tx1"/>
                        </a:solidFill>
                      </a:rPr>
                      <a:pPr/>
                      <a:t>[VALUE]</a:t>
                    </a:fld>
                    <a:endParaRPr lang="hr-H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144-4E2B-884D-A1E58FC688E6}"/>
                </c:ext>
              </c:extLst>
            </c:dLbl>
            <c:dLbl>
              <c:idx val="2"/>
              <c:layout>
                <c:manualLayout>
                  <c:x val="3.8038884192730271E-2"/>
                  <c:y val="0"/>
                </c:manualLayout>
              </c:layout>
              <c:tx>
                <c:rich>
                  <a:bodyPr/>
                  <a:lstStyle/>
                  <a:p>
                    <a:fld id="{DDBEDA87-104E-4594-A2F8-100C47161F90}" type="VALUE">
                      <a:rPr lang="en-US"/>
                      <a:pPr/>
                      <a:t>[VALUE]</a:t>
                    </a:fld>
                    <a:endParaRPr lang="hr-H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144-4E2B-884D-A1E58FC688E6}"/>
                </c:ext>
              </c:extLst>
            </c:dLbl>
            <c:dLbl>
              <c:idx val="3"/>
              <c:layout>
                <c:manualLayout>
                  <c:x val="-8.6757990867579904E-2"/>
                  <c:y val="-6.9930069930069935E-2"/>
                </c:manualLayout>
              </c:layout>
              <c:tx>
                <c:rich>
                  <a:bodyPr/>
                  <a:lstStyle/>
                  <a:p>
                    <a:r>
                      <a:rPr lang="en-US" baseline="0"/>
                      <a:t> </a:t>
                    </a:r>
                    <a:fld id="{1C331686-9325-41E8-9BC0-50F4045153A8}" type="VALUE">
                      <a:rPr lang="en-US" baseline="0"/>
                      <a:pPr/>
                      <a:t>[VALUE]</a:t>
                    </a:fld>
                    <a:endParaRPr lang="en-US" baseline="0"/>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144-4E2B-884D-A1E58FC688E6}"/>
                </c:ext>
              </c:extLst>
            </c:dLbl>
            <c:dLbl>
              <c:idx val="4"/>
              <c:layout>
                <c:manualLayout>
                  <c:x val="-2.2830984884285914E-2"/>
                  <c:y val="6.3108716673573692E-2"/>
                </c:manualLayout>
              </c:layout>
              <c:tx>
                <c:rich>
                  <a:bodyPr/>
                  <a:lstStyle/>
                  <a:p>
                    <a:fld id="{2309D445-DD74-4442-984B-87BEA61116C6}" type="VALUE">
                      <a:rPr lang="en-US"/>
                      <a:pPr/>
                      <a:t>[VALUE]</a:t>
                    </a:fld>
                    <a:endParaRPr lang="hr-HR"/>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D144-4E2B-884D-A1E58FC688E6}"/>
                </c:ext>
              </c:extLst>
            </c:dLbl>
            <c:dLbl>
              <c:idx val="5"/>
              <c:layout>
                <c:manualLayout>
                  <c:x val="2.7397260273972601E-2"/>
                  <c:y val="-8.3915900372593291E-2"/>
                </c:manualLayout>
              </c:layout>
              <c:tx>
                <c:rich>
                  <a:bodyPr/>
                  <a:lstStyle/>
                  <a:p>
                    <a:r>
                      <a:rPr lang="en-US"/>
                      <a:t> </a:t>
                    </a:r>
                    <a:fld id="{E52EA42B-7094-4252-88AB-EC494031F95D}" type="VALUE">
                      <a:rPr lang="en-US"/>
                      <a:pPr/>
                      <a:t>[VALUE]</a:t>
                    </a:fld>
                    <a:endParaRPr lang="en-US"/>
                  </a:p>
                </c:rich>
              </c:tx>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D144-4E2B-884D-A1E58FC688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Sheet1!$B$1:$G$1</c:f>
              <c:strCache>
                <c:ptCount val="6"/>
                <c:pt idx="0">
                  <c:v>materijalni troškovi</c:v>
                </c:pt>
                <c:pt idx="1">
                  <c:v>troškovi osoblja</c:v>
                </c:pt>
                <c:pt idx="2">
                  <c:v>amortizacija</c:v>
                </c:pt>
                <c:pt idx="3">
                  <c:v>ostali troškovi</c:v>
                </c:pt>
                <c:pt idx="4">
                  <c:v>ostali poslovni rashodi </c:v>
                </c:pt>
                <c:pt idx="5">
                  <c:v>financijski rashodi</c:v>
                </c:pt>
              </c:strCache>
            </c:strRef>
          </c:cat>
          <c:val>
            <c:numRef>
              <c:f>Sheet1!$B$2:$G$2</c:f>
              <c:numCache>
                <c:formatCode>0%</c:formatCode>
                <c:ptCount val="6"/>
                <c:pt idx="0">
                  <c:v>0.54720000000000002</c:v>
                </c:pt>
                <c:pt idx="1">
                  <c:v>0.14910000000000001</c:v>
                </c:pt>
                <c:pt idx="2">
                  <c:v>0.25459999999999999</c:v>
                </c:pt>
                <c:pt idx="3">
                  <c:v>3.5999999999999997E-2</c:v>
                </c:pt>
                <c:pt idx="4" formatCode="0.00%">
                  <c:v>1.1000000000000001E-3</c:v>
                </c:pt>
                <c:pt idx="5">
                  <c:v>1.21E-2</c:v>
                </c:pt>
              </c:numCache>
            </c:numRef>
          </c:val>
          <c:extLst>
            <c:ext xmlns:c16="http://schemas.microsoft.com/office/drawing/2014/chart" uri="{C3380CC4-5D6E-409C-BE32-E72D297353CC}">
              <c16:uniqueId val="{0000000C-D144-4E2B-884D-A1E58FC688E6}"/>
            </c:ext>
          </c:extLst>
        </c:ser>
        <c:dLbls>
          <c:showLegendKey val="0"/>
          <c:showVal val="0"/>
          <c:showCatName val="1"/>
          <c:showSerName val="0"/>
          <c:showPercent val="0"/>
          <c:showBubbleSize val="0"/>
          <c:showLeaderLines val="1"/>
        </c:dLbls>
        <c:firstSliceAng val="0"/>
        <c:holeSize val="90"/>
      </c:doughnutChart>
      <c:spPr>
        <a:noFill/>
        <a:ln>
          <a:solidFill>
            <a:schemeClr val="accent1">
              <a:alpha val="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zero"/>
    <c:showDLblsOverMax val="0"/>
  </c:chart>
  <c:spPr>
    <a:solidFill>
      <a:schemeClr val="bg1"/>
    </a:solidFill>
    <a:ln w="9525" cap="flat" cmpd="sng" algn="ctr">
      <a:no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50B-4F2C-BFB7-8CACB11E76C2}"/>
              </c:ext>
            </c:extLst>
          </c:dPt>
          <c:dPt>
            <c:idx val="1"/>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50B-4F2C-BFB7-8CACB11E76C2}"/>
              </c:ext>
            </c:extLst>
          </c:dPt>
          <c:dPt>
            <c:idx val="2"/>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50B-4F2C-BFB7-8CACB11E76C2}"/>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50B-4F2C-BFB7-8CACB11E76C2}"/>
              </c:ext>
            </c:extLst>
          </c:dPt>
          <c:dLbls>
            <c:dLbl>
              <c:idx val="0"/>
              <c:layout>
                <c:manualLayout>
                  <c:x val="7.213473315835521E-2"/>
                  <c:y val="9.5959595959595953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DEEDA568-485D-48B5-841E-CADC80FF1211}" type="VALUE">
                      <a:rPr lang="en-US">
                        <a:solidFill>
                          <a:sysClr val="windowText" lastClr="000000"/>
                        </a:solidFill>
                      </a:rPr>
                      <a:pPr>
                        <a:defRPr>
                          <a:solidFill>
                            <a:sysClr val="windowText" lastClr="000000"/>
                          </a:solidFill>
                        </a:defRPr>
                      </a:pPr>
                      <a:t>[VALUE]</a:t>
                    </a:fld>
                    <a:endParaRPr lang="hr-HR"/>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hr-H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50B-4F2C-BFB7-8CACB11E76C2}"/>
                </c:ext>
              </c:extLst>
            </c:dLbl>
            <c:dLbl>
              <c:idx val="1"/>
              <c:layout>
                <c:manualLayout>
                  <c:x val="-8.8713674304225484E-2"/>
                  <c:y val="6.637795275590550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2C509A71-7578-4308-93F6-AE94FC0B679C}" type="VALUE">
                      <a:rPr lang="en-US">
                        <a:solidFill>
                          <a:sysClr val="windowText" lastClr="000000"/>
                        </a:solidFill>
                      </a:rPr>
                      <a:pPr>
                        <a:defRPr>
                          <a:solidFill>
                            <a:sysClr val="windowText" lastClr="000000"/>
                          </a:solidFill>
                        </a:defRPr>
                      </a:pPr>
                      <a:t>[VALUE]</a:t>
                    </a:fld>
                    <a:endParaRPr lang="hr-HR"/>
                  </a:p>
                </c:rich>
              </c:tx>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hr-H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50B-4F2C-BFB7-8CACB11E76C2}"/>
                </c:ext>
              </c:extLst>
            </c:dLbl>
            <c:dLbl>
              <c:idx val="2"/>
              <c:layout>
                <c:manualLayout>
                  <c:x val="-0.22916666666666666"/>
                  <c:y val="-8.333333333333332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0D8DFA92-256A-4830-9083-4ACD8778D99E}" type="VALUE">
                      <a:rPr lang="en-US">
                        <a:solidFill>
                          <a:sysClr val="windowText" lastClr="000000"/>
                        </a:solidFill>
                      </a:rPr>
                      <a:pPr>
                        <a:defRPr>
                          <a:solidFill>
                            <a:sysClr val="windowText" lastClr="000000"/>
                          </a:solidFill>
                        </a:defRPr>
                      </a:pPr>
                      <a:t>[VALUE]</a:t>
                    </a:fld>
                    <a:endParaRPr lang="hr-HR"/>
                  </a:p>
                </c:rich>
              </c:tx>
              <c:spPr>
                <a:solidFill>
                  <a:srgbClr val="FFC00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hr-H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50B-4F2C-BFB7-8CACB11E76C2}"/>
                </c:ext>
              </c:extLst>
            </c:dLbl>
            <c:dLbl>
              <c:idx val="3"/>
              <c:layout>
                <c:manualLayout>
                  <c:x val="0.15872124092596523"/>
                  <c:y val="-9.8124154935178565E-2"/>
                </c:manualLayout>
              </c:layout>
              <c:tx>
                <c:rich>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fld id="{98F1FEDE-4468-42E3-AA2D-E83974929830}" type="VALUE">
                      <a:rPr lang="en-US">
                        <a:solidFill>
                          <a:sysClr val="windowText" lastClr="000000"/>
                        </a:solidFill>
                      </a:rPr>
                      <a:pPr>
                        <a:defRPr>
                          <a:solidFill>
                            <a:sysClr val="windowText" lastClr="000000"/>
                          </a:solidFill>
                        </a:defRPr>
                      </a:pPr>
                      <a:t>[VALUE]</a:t>
                    </a:fld>
                    <a:endParaRPr lang="hr-HR"/>
                  </a:p>
                </c:rich>
              </c:tx>
              <c:spPr>
                <a:solidFill>
                  <a:srgbClr val="00B050"/>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hr-HR"/>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650B-4F2C-BFB7-8CACB11E76C2}"/>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Ukupni prihodi</c:v>
                </c:pt>
                <c:pt idx="1">
                  <c:v>Ukupni rashodi</c:v>
                </c:pt>
                <c:pt idx="2">
                  <c:v>Porez na dobit</c:v>
                </c:pt>
                <c:pt idx="3">
                  <c:v>Dobit razdoblja</c:v>
                </c:pt>
              </c:strCache>
            </c:strRef>
          </c:cat>
          <c:val>
            <c:numRef>
              <c:f>Sheet1!$B$2:$B$5</c:f>
              <c:numCache>
                <c:formatCode>#,##0</c:formatCode>
                <c:ptCount val="4"/>
                <c:pt idx="0">
                  <c:v>12637010</c:v>
                </c:pt>
                <c:pt idx="1">
                  <c:v>12587887</c:v>
                </c:pt>
                <c:pt idx="2">
                  <c:v>7980</c:v>
                </c:pt>
                <c:pt idx="3">
                  <c:v>41143</c:v>
                </c:pt>
              </c:numCache>
            </c:numRef>
          </c:val>
          <c:extLst>
            <c:ext xmlns:c16="http://schemas.microsoft.com/office/drawing/2014/chart" uri="{C3380CC4-5D6E-409C-BE32-E72D297353CC}">
              <c16:uniqueId val="{00000008-650B-4F2C-BFB7-8CACB11E76C2}"/>
            </c:ext>
          </c:extLst>
        </c:ser>
        <c:dLbls>
          <c:showLegendKey val="0"/>
          <c:showVal val="0"/>
          <c:showCatName val="0"/>
          <c:showSerName val="0"/>
          <c:showPercent val="1"/>
          <c:showBubbleSize val="0"/>
          <c:showLeaderLines val="1"/>
        </c:dLbls>
        <c:firstSliceAng val="0"/>
        <c:holeSize val="90"/>
      </c:doughnutChart>
      <c:spPr>
        <a:noFill/>
        <a:ln>
          <a:noFill/>
        </a:ln>
        <a:effectLst/>
      </c:spPr>
    </c:plotArea>
    <c:legend>
      <c:legendPos val="r"/>
      <c:layout>
        <c:manualLayout>
          <c:xMode val="edge"/>
          <c:yMode val="edge"/>
          <c:x val="0.75891348040954343"/>
          <c:y val="0.1780291099976139"/>
          <c:w val="0.2410865195904566"/>
          <c:h val="0.340911476974469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62AE8-F127-4BBA-A36D-0B4F374B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1303</TotalTime>
  <Pages>1</Pages>
  <Words>17061</Words>
  <Characters>97251</Characters>
  <Application>Microsoft Office Word</Application>
  <DocSecurity>0</DocSecurity>
  <Lines>810</Lines>
  <Paragraphs>228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Nika.Dorcic</dc:creator>
  <cp:keywords/>
  <dc:description/>
  <cp:lastModifiedBy>Nika Dorčić</cp:lastModifiedBy>
  <cp:revision>330</cp:revision>
  <cp:lastPrinted>2025-06-09T11:01:00Z</cp:lastPrinted>
  <dcterms:created xsi:type="dcterms:W3CDTF">2025-05-19T12:41:00Z</dcterms:created>
  <dcterms:modified xsi:type="dcterms:W3CDTF">2025-06-09T11:02:00Z</dcterms:modified>
</cp:coreProperties>
</file>